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7</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7</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10</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16</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17</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20</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22</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研究问题概述</w:t>
      </w:r>
      <w:r>
        <w:tab/>
      </w:r>
      <w:r>
        <w:fldChar w:fldCharType="begin"/>
      </w:r>
      <w:r>
        <w:instrText xml:space="preserve"> PAGEREF _Toc816010318 \h </w:instrText>
      </w:r>
      <w:r>
        <w:fldChar w:fldCharType="separate"/>
      </w:r>
      <w:r>
        <w:t>22</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学生状态分布上的有效教师监督</w:t>
      </w:r>
      <w:r>
        <w:tab/>
      </w:r>
      <w:r>
        <w:fldChar w:fldCharType="begin"/>
      </w:r>
      <w:r>
        <w:instrText xml:space="preserve"> PAGEREF _Toc854844884 \h </w:instrText>
      </w:r>
      <w:r>
        <w:fldChar w:fldCharType="separate"/>
      </w:r>
      <w:r>
        <w:t>23</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稀疏监督下的散度目标与尾部质量</w:t>
      </w:r>
      <w:r>
        <w:tab/>
      </w:r>
      <w:r>
        <w:fldChar w:fldCharType="begin"/>
      </w:r>
      <w:r>
        <w:instrText xml:space="preserve"> PAGEREF _Toc712366958 \h </w:instrText>
      </w:r>
      <w:r>
        <w:fldChar w:fldCharType="separate"/>
      </w:r>
      <w:r>
        <w:t>24</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监督粒度选择与资源效率</w:t>
      </w:r>
      <w:r>
        <w:tab/>
      </w:r>
      <w:r>
        <w:fldChar w:fldCharType="begin"/>
      </w:r>
      <w:r>
        <w:instrText xml:space="preserve"> PAGEREF _Toc530131081 \h </w:instrText>
      </w:r>
      <w:r>
        <w:fldChar w:fldCharType="separate"/>
      </w:r>
      <w:r>
        <w:t>25</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3.5 本章总结</w:t>
      </w:r>
      <w:r>
        <w:rPr>
          <w:rFonts w:hint="eastAsia" w:ascii="黑体" w:hAnsi="黑体" w:eastAsia="黑体" w:cs="黑体"/>
          <w:lang w:val="en-US" w:eastAsia="zh-CN"/>
        </w:rPr>
        <w:t/>
      </w:r>
      <w:r>
        <w:tab/>
      </w:r>
      <w:r>
        <w:fldChar w:fldCharType="begin"/>
      </w:r>
      <w:r>
        <w:instrText xml:space="preserve"> PAGEREF _Toc3426964 \h </w:instrText>
      </w:r>
      <w:r>
        <w:fldChar w:fldCharType="separate"/>
      </w:r>
      <w:r>
        <w:t>26</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27</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27</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29</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31</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散度基线与稀疏反馈目标的定义</w:t>
      </w:r>
      <w:r>
        <w:tab/>
      </w:r>
      <w:r>
        <w:fldChar w:fldCharType="begin"/>
      </w:r>
      <w:r>
        <w:instrText xml:space="preserve"> PAGEREF _Toc307070742 \h </w:instrText>
      </w:r>
      <w:r>
        <w:fldChar w:fldCharType="separate"/>
      </w:r>
      <w:r>
        <w:t>34</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37</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41</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42</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42</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44</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45</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45</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45</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46</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47</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49</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最后，教师反馈的保留范围不仅影响数据量，也会改变训练目标。全词表监督保留完整分布；常规 Top-K 只选择高概率 token，若在子集内重新归一化，支持集以外的总概率质量将从目标中消失；K1 则以单样本估计替代词表求和，可能带来较大的梯度波动。已有工作给出了稀疏监督和效率优化的线索，但在具体 Function Calling 状态中，尾部质量有多大、截断目标如何影响训练、固定的 K 是否合理，仍需在统一协议下分析[11][14][15]。</w:t>
      </w:r>
    </w:p>
    <w:p w14:paraId="0A9C58A2">
      <w:pPr>
        <w:ind w:firstLine="420"/>
        <w:jc w:val="both"/>
      </w:pPr>
      <w:r>
        <w:t>据此，本文保留三个递进的研究问题：第一，在学生自主生成的工具调用过程中，如何识别并覆盖具有训练价值的前缀状态；第二，在稀疏教师反馈下，如何避免 Top-K 截断和重归一化掩盖尾部概率质量，并明确不同散度目标的作用；第三，在有限反馈预算下，如何按分布状态选择监督粒度。本文拟围绕这三个问题构建一个相互衔接的在线策略蒸馏方案，并通过受控实验检验其适用范围，而非预先断言性能收益。</w:t>
      </w:r>
    </w:p>
    <w:p w14:paraId="044C70A9">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w:t>
      </w:r>
    </w:p>
    <w:p w14:paraId="327DDAEA">
      <w:pPr>
        <w:ind w:firstLine="420"/>
        <w:jc w:val="both"/>
      </w:pPr>
      <w:r>
        <w:t>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研究问题概述</w:t>
      </w:r>
      <w:bookmarkEnd w:id="17"/>
    </w:p>
    <w:p w14:paraId="71C6F5B5">
      <w:pPr>
        <w:ind w:firstLine="420"/>
        <w:jc w:val="both"/>
      </w:pPr>
      <w:r>
        <w:t>本文仍以学生状态分布、散度目标和监督信息粒度为三条主线，但不将它们分别处理为互不关联的参数比较。研究先建立单轮 Function Calling 的在策略训练与状态分析流程，再针对 Top-K 截断后的目标偏差设计保留尾部质量的监督形式，最后研究如何在固定反馈预算下选择监督粒度。模型、数据、LoRA 配置和评测脚本是共同实验条件，三项研究内容分别见第 3.2、3.3 和 3.4 节。</w:t>
      </w:r>
    </w:p>
    <w:p w14:paraId="264D2FA9">
      <w:pPr>
        <w:pStyle w:val="17"/>
        <w:ind w:firstLine="420"/>
        <w:jc w:val="both"/>
      </w:pPr>
      <w:r>
        <w:t>1. 学生状态分布问题：学生自主生成的函数名、参数和结构化格式状态具有不同错误特征，如何组织这些状态，使教师反馈覆盖真正影响工具调用结果的位置？</w:t>
      </w:r>
    </w:p>
    <w:p w14:paraId="1E031E97">
      <w:pPr>
        <w:pStyle w:val="17"/>
        <w:ind w:firstLine="420"/>
        <w:jc w:val="both"/>
      </w:pPr>
      <w:r>
        <w:t>2. 散度目标问题：不同 KL 方向改变分布匹配偏好；在 Top-K 截断下，支持集外的概率质量如何影响目标定义，能否通过残余类别保留这部分信息？</w:t>
      </w:r>
    </w:p>
    <w:p w14:paraId="2D6DF87B">
      <w:pPr>
        <w:pStyle w:val="17"/>
        <w:ind w:firstLine="420"/>
        <w:jc w:val="both"/>
      </w:pPr>
      <w:r>
        <w:t>3. 监督信息粒度问题：不同状态的教师分布集中程度并不相同，如何在反馈预算有限的条件下选择 K，并检验任务效果、训练稳定性与成本之间的权衡？</w:t>
      </w:r>
    </w:p>
    <w:p w14:paraId="1EEDD05E">
      <w:pPr>
        <w:pStyle w:val="3"/>
      </w:pPr>
      <w:bookmarkStart w:id="18" w:name="_Toc854844884"/>
      <w:r>
        <w:rPr>
          <w:rFonts w:ascii="黑体" w:hAnsi="黑体" w:eastAsia="黑体" w:cs="黑体"/>
          <w:b/>
          <w:color w:val="000000"/>
          <w:sz w:val="24"/>
        </w:rPr>
        <w:t>3.2 学生状态分布上的有效教师监督</w:t>
      </w:r>
      <w:bookmarkEnd w:id="18"/>
    </w:p>
    <w:p w14:paraId="306F781D">
      <w:pPr>
        <w:ind w:firstLine="420"/>
        <w:jc w:val="both"/>
      </w:pPr>
      <w:r>
        <w:t>学生 rollout 决定教师实际监督的前缀状态。本文先在单轮 Function Calling 场景建立可复现的在策略基线：学生按固定采样协议生成函数调用，冻结教师在同一学生前缀上提供条件分布，训练掩码只保留有效的 assistant 输出位置。与离线参考轨迹相比，学生轨迹能暴露部署时可能遇到的格式偏移、函数误选和参数错误；但这些状态是否适合监督，仍须由实际错误和训练结果判断[7][10][11]。</w:t>
      </w:r>
    </w:p>
    <w:p w14:paraId="7FDDC4C9">
      <w:pPr>
        <w:ind w:firstLine="420"/>
        <w:jc w:val="both"/>
      </w:pPr>
      <w:r>
        <w:t>在基线之上，本文拟根据可确定的工具调用边界，把有效生成位置划分为函数选择、参数键、参数值和结构标记等类别，并记录解析失败及无法可靠归类的位置。状态划分仅使用消息边界、工具 schema、解析规则与已有标注；对含糊的语义错误不强行指定“第一个错误 token”。这种划分使教师反馈的分布可被观察，也为后续分析不同位置的概率集中程度提供依据。</w:t>
      </w:r>
    </w:p>
    <w:p w14:paraId="7FDDC4CA">
      <w:pPr>
        <w:ind w:firstLine="420"/>
        <w:jc w:val="both"/>
      </w:pPr>
      <w:r>
        <w:t>研究将在相同 rollout 数量和有效训练 token 预算下比较均匀使用状态与按类别分层使用状态的结果，报告各类状态的占比、错误率、损失和工具调用指标。只有当状态分层能稳定改变关键错误的覆盖范围时，才进一步把它用于监督位置选择；否则保留统一掩码作为简洁基线。</w:t>
      </w:r>
    </w:p>
    <w:p w14:paraId="1514E400">
      <w:pPr>
        <w:pStyle w:val="3"/>
      </w:pPr>
      <w:bookmarkStart w:id="19" w:name="_Toc712366958"/>
      <w:r>
        <w:rPr>
          <w:rFonts w:ascii="黑体" w:hAnsi="黑体" w:eastAsia="黑体" w:cs="黑体"/>
          <w:b/>
          <w:color w:val="000000"/>
          <w:sz w:val="24"/>
        </w:rPr>
        <w:t>3.3 稀疏监督下的散度目标与尾部质量</w:t>
      </w:r>
      <w:bookmarkEnd w:id="19"/>
    </w:p>
    <w:p w14:paraId="6EF7E413">
      <w:pPr>
        <w:ind w:firstLine="420"/>
        <w:jc w:val="both"/>
      </w:pPr>
      <w:r>
        <w:t>Forward KL、Reverse KL 与广义散度在完整词表上具有不同的概率加权方式，可能带来候选覆盖、模式集中或折中的优化行为。本文在相同学生轨迹、教师模型和有效位置上保留这些目标作为机制对照，结合熵、支持集重叠、梯度范数与 Function Calling 错误类型分析差异，而不以单一准确率给散度排序[7][8][9][12]。</w:t>
      </w:r>
    </w:p>
    <w:p w14:paraId="7FDDC4CB">
      <w:pPr>
        <w:ind w:firstLine="420"/>
        <w:jc w:val="both"/>
      </w:pPr>
      <w:r>
        <w:t>本课题的主要方法切入点是稀疏反馈的目标定义。常规 Top-K 在教师支持集内重新归一化后，舍弃了支持集外的总概率质量；若师生两侧都在子集内重新归一化，模型无法直接学习“其他 token 合计还占多少概率”。本文拟在教师 Top-K 中保留原始概率，并将其余 token 合并为一个残余类别；学生在同一支持集上计算对应概率与残余质量，由此构成共同的 K+1 类分布并计算散度。该方法保留尾部总质量，但并不恢复尾部 token 之间的相对分布。</w:t>
      </w:r>
    </w:p>
    <w:p w14:paraId="7FDDC4CC">
      <w:pPr>
        <w:ind w:firstLine="420"/>
        <w:jc w:val="both"/>
      </w:pPr>
      <w:r>
        <w:t>研究将比较完整词表目标、常规重归一化 Top-K 和残余类别 Top-K 的损失、梯度、分布统计及任务表现，并分别考察教师分布集中与分散的状态。若尾部质量普遍很小，或残余类别没有带来可重复的差异，就不能把这一构造写成有效改进，而应据结果收缩或调整方法。</w:t>
      </w:r>
    </w:p>
    <w:p w14:paraId="7F13BEDA">
      <w:pPr>
        <w:pStyle w:val="3"/>
      </w:pPr>
      <w:bookmarkStart w:id="20" w:name="_Toc530131081"/>
      <w:r>
        <w:rPr>
          <w:rFonts w:ascii="黑体" w:hAnsi="黑体" w:eastAsia="黑体" w:cs="黑体"/>
          <w:b/>
          <w:color w:val="000000"/>
          <w:sz w:val="24"/>
        </w:rPr>
        <w:t>3.4 监督粒度选择与资源效率</w:t>
      </w:r>
      <w:bookmarkEnd w:id="20"/>
    </w:p>
    <w:p w14:paraId="7DA378CA">
      <w:pPr>
        <w:ind w:firstLine="420"/>
        <w:jc w:val="both"/>
      </w:pPr>
      <w:r>
        <w:t>全词表、固定 Top-K 和 K1 sampled-token 提供信息量与反馈大小不同的参照。K1 是对相应词表求和项的随机估计，不等同于保留概率最大的一个 token；Top-K 的主要风险是截断偏差与尾部信息损失，K1 则还需关注单样本估计方差。比较时要分别报告任务质量、数值稳定性和实际资源开销，不能把反馈数据量的减少直接称为教师前向计算量的减少[11][14][15]。</w:t>
      </w:r>
    </w:p>
    <w:p w14:paraId="7FDDC4CD">
      <w:pPr>
        <w:ind w:firstLine="420"/>
        <w:jc w:val="both"/>
      </w:pPr>
      <w:r>
        <w:t>固定 K 对所有状态使用同样数量的候选，但教师分布的集中程度可能随函数选择、参数与格式位置变化。本文拟设置累计概率质量阈值，在预先限定的最大 K 内选择达到阈值的最小支持集；达到上限后仍存在的尾部质量继续由残余类别表示。阈值和上限属于需要在验证集确定的超参数，不使用测试集调节，也不预设不同状态一定需要不同 K。</w:t>
      </w:r>
    </w:p>
    <w:p w14:paraId="7FDDC4CE">
      <w:pPr>
        <w:ind w:firstLine="420"/>
        <w:jc w:val="both"/>
      </w:pPr>
      <w:r>
        <w:t>研究将以相同学生更新次数、有效 token 数和可比的教师反馈字节数，对照固定 K 与自适应 K，并记录所选 K 的分布、残余概率质量、训练时间、显存和工具调用表现。若动态选择的额外开销超过收益，固定 K 仍是合理结论；研究重点是给出可复现的适用边界。</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研究问题、拟采用的方法与研究目的的递进关系如图 1 所示。首先通过单轮工具调用轨迹和状态分层明确教师监督所处的位置；随后在稀疏反馈中保留 Top-K 以外的总概率质量，分析目标定义对梯度和行为的影响；最后在反馈预算下选择 K，并检验这种设计是否改善任务效果与成本之间的关系。三个部分共享同一任务、模型、数据划分和评测规则。</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研究问题、研究方案与研究目的的</w:t>
      </w:r>
      <w:r>
        <w:rPr>
          <w:rFonts w:hint="eastAsia"/>
          <w:sz w:val="21"/>
          <w:lang w:val="en-US" w:eastAsia="zh-CN"/>
        </w:rPr>
        <w:t>结构关系</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本文以学生在单轮 Function Calling 中真实访问的状态为起点，将教师反馈、目标构造和参数更新连接为同一训练流程。学生生成调用轨迹后，系统根据消息边界与工具结构标记有效状态；冻结教师在这些学生前缀上输出条件概率。基线实验分别使用完整分布、常规 Top-K 和单样本估计，拟研究的方法则在 Top-K 支持集外保留一个残余概率类别，并根据教师概率质量选择反馈粒度。这样，状态来源、目标定义和信息预算可以逐层分析，而不是作为九种组合的简单罗列。</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上式中的统一估计项在完整词表方案下为完整散度，在常规 Top-K 方案下为支持集内重归一化目标，在 K1 方案下为后文定义的单样本估计。本文另拟构建保留尾部总质量的 Top-K 目标，作为对常规截断方案的定点改进；其中支持集由教师确定，师生均在相同支持集及同一个残余类别上计算概率。训练更新只对条件分布损失反向传播，学生离散采样轨迹仅作为状态序列，不对采样操作求梯度。学生仍只在 LoRA 参数子空间更新，因此总体优化问题可写为：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统一目标的作用是让三个研究问题相互衔接：学生轨迹和位置标记确定教师在哪些状态上监督；散度及残余类别构造确定教师概率如何变成训练信号；固定或自适应 K 决定每个状态保留多少显式反馈。总体技术路线如图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教师不重新生成替代答案，而是在学生已经到达的前缀上评分，使监督对应学生可能实际访问的状态。对同一前缀，师生两侧分别计算 logits 并通过 softmax 得到条件概率分布。状态另按函数选择、参数键、参数值和结构标记分类；无法根据 schema 与解析规则可靠分类的位置单独记录，不把推测的错误位置当作已验证标签。</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给出各环节固定与记录的变量。所有对照组共享输入、生成协议、数据划分和有效位置定义；状态分层实验仅改变同预算下所使用的位置，损失实验则固定轨迹与位置后再切换目标。教师反馈同时记录 Top-K 累计概率、残余质量及所选 K，使后续结果能够区分状态选择、目标定义和反馈粒度的影响。训练、反馈与评测关系见图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4.4 散度基线与稀疏反馈目标的定义</w:t>
      </w:r>
      <w:bookmarkEnd w:id="41"/>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为把散度比较与拟研究的方法区分开，表 4-2 将实验安排为四层对照：完整词表散度基线、固定 K 下的常规截断与残余类别目标、固定 K 与自适应 K、以及 K1 低反馈量参照。每层实验只改变一个核心因素，并共享模型、数据、学生轨迹、有效位置和训练预算。</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tblHeader/>
          <w:jc w:val="center"/>
        </w:trPr>
        <w:tc>
          <w:tcPr>
            <w:tcW w:w="1150" w:type="dxa"/>
            <w:vAlign w:val="center"/>
          </w:tcPr>
          <w:p w14:paraId="0C984810">
            <w:pPr>
              <w:spacing w:before="0" w:after="0" w:line="240" w:lineRule="auto"/>
              <w:ind w:firstLine="0"/>
              <w:jc w:val="left"/>
            </w:pPr>
            <w:r>
              <w:rPr>
                <w:rFonts w:ascii="Times New Roman" w:hAnsi="Times New Roman" w:eastAsia="宋体"/>
                <w:b/>
                <w:sz w:val="19"/>
              </w:rPr>
              <w:t>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研究作用</w:t>
            </w:r>
          </w:p>
        </w:tc>
      </w:tr>
      <w:tr w14:paraId="568DC1CB">
        <w:trPr>
          <w:jc w:val="center"/>
        </w:trPr>
        <w:tc>
          <w:tcPr>
            <w:tcW w:w="1150" w:type="dxa"/>
            <w:vAlign w:val="center"/>
          </w:tcPr>
          <w:p w14:paraId="24BA4DC4">
            <w:pPr>
              <w:spacing w:before="0" w:after="0" w:line="240" w:lineRule="auto"/>
              <w:ind w:firstLine="0"/>
              <w:jc w:val="left"/>
            </w:pPr>
            <w:r>
              <w:rPr>
                <w:rFonts w:ascii="Times New Roman" w:hAnsi="Times New Roman" w:eastAsia="宋体"/>
                <w:b w:val="0"/>
                <w:sz w:val="19"/>
              </w:rPr>
              <w:t>完整词表散度基线</w:t>
            </w:r>
          </w:p>
        </w:tc>
        <w:tc>
          <w:tcPr>
            <w:tcW w:w="2350" w:type="dxa"/>
            <w:vAlign w:val="center"/>
          </w:tcPr>
          <w:p w14:paraId="1E409E4D">
            <w:pPr>
              <w:spacing w:before="0" w:after="0" w:line="240" w:lineRule="auto"/>
              <w:ind w:firstLine="0"/>
              <w:jc w:val="left"/>
            </w:pPr>
            <w:r>
              <w:rPr>
                <w:rFonts w:ascii="Times New Roman" w:hAnsi="Times New Roman" w:eastAsia="宋体"/>
                <w:b w:val="0"/>
                <w:sz w:val="19"/>
              </w:rPr>
              <w:t>学生模型、教师模型、数据、rollout、训练预算、评价协议</w:t>
            </w:r>
          </w:p>
        </w:tc>
        <w:tc>
          <w:tcPr>
            <w:tcW w:w="1450" w:type="dxa"/>
            <w:vAlign w:val="center"/>
          </w:tcPr>
          <w:p w14:paraId="702B1700">
            <w:pPr>
              <w:spacing w:before="0" w:after="0" w:line="240" w:lineRule="auto"/>
              <w:ind w:firstLine="0"/>
              <w:jc w:val="left"/>
            </w:pPr>
            <w:r>
              <w:rPr>
                <w:rFonts w:ascii="Times New Roman" w:hAnsi="Times New Roman" w:eastAsia="宋体"/>
                <w:b w:val="0"/>
                <w:sz w:val="19"/>
              </w:rPr>
              <w:t>Forward KL、Reverse KL、广义散度</w:t>
            </w:r>
          </w:p>
        </w:tc>
        <w:tc>
          <w:tcPr>
            <w:tcW w:w="1900" w:type="dxa"/>
            <w:vAlign w:val="center"/>
          </w:tcPr>
          <w:p w14:paraId="169573F0">
            <w:pPr>
              <w:spacing w:before="0" w:after="0" w:line="240" w:lineRule="auto"/>
              <w:ind w:firstLine="0"/>
              <w:jc w:val="left"/>
            </w:pPr>
            <w:r>
              <w:rPr>
                <w:rFonts w:ascii="Times New Roman" w:hAnsi="Times New Roman" w:eastAsia="宋体"/>
                <w:b w:val="0"/>
                <w:sz w:val="19"/>
              </w:rPr>
              <w:t>分布覆盖、模式集中、训练稳定性、任务指标</w:t>
            </w:r>
          </w:p>
        </w:tc>
        <w:tc>
          <w:tcPr>
            <w:tcW w:w="1456" w:type="dxa"/>
            <w:vAlign w:val="center"/>
          </w:tcPr>
          <w:p w14:paraId="4AA4DF2E">
            <w:pPr>
              <w:spacing w:before="0" w:after="0" w:line="240" w:lineRule="auto"/>
              <w:ind w:firstLine="0"/>
              <w:jc w:val="left"/>
            </w:pPr>
            <w:r>
              <w:rPr>
                <w:rFonts w:ascii="Times New Roman" w:hAnsi="Times New Roman" w:eastAsia="宋体"/>
                <w:b w:val="0"/>
                <w:sz w:val="19"/>
              </w:rPr>
              <w:t>确定散度偏好基线</w:t>
            </w:r>
          </w:p>
        </w:tc>
      </w:tr>
      <w:tr w14:paraId="17480239">
        <w:trPr>
          <w:jc w:val="center"/>
        </w:trPr>
        <w:tc>
          <w:tcPr>
            <w:tcW w:w="1150" w:type="dxa"/>
            <w:vAlign w:val="center"/>
          </w:tcPr>
          <w:p w14:paraId="4DBCBCCE">
            <w:pPr>
              <w:spacing w:before="0" w:after="0" w:line="240" w:lineRule="auto"/>
              <w:ind w:firstLine="0"/>
              <w:jc w:val="left"/>
            </w:pPr>
            <w:r>
              <w:rPr>
                <w:rFonts w:ascii="Times New Roman" w:hAnsi="Times New Roman" w:eastAsia="宋体"/>
                <w:b w:val="0"/>
                <w:sz w:val="19"/>
              </w:rPr>
              <w:t>固定 K 的目标对照</w:t>
            </w:r>
          </w:p>
        </w:tc>
        <w:tc>
          <w:tcPr>
            <w:tcW w:w="2350" w:type="dxa"/>
            <w:vAlign w:val="center"/>
          </w:tcPr>
          <w:p w14:paraId="4F4C009D">
            <w:pPr>
              <w:spacing w:before="0" w:after="0" w:line="240" w:lineRule="auto"/>
              <w:ind w:firstLine="0"/>
              <w:jc w:val="left"/>
            </w:pPr>
            <w:r>
              <w:rPr>
                <w:rFonts w:ascii="Times New Roman" w:hAnsi="Times New Roman" w:eastAsia="宋体"/>
                <w:b w:val="0"/>
                <w:sz w:val="19"/>
              </w:rPr>
              <w:t>学生模型、教师模型、数据、支持集来源、K、训练预算</w:t>
            </w:r>
          </w:p>
        </w:tc>
        <w:tc>
          <w:tcPr>
            <w:tcW w:w="1450" w:type="dxa"/>
            <w:vAlign w:val="center"/>
          </w:tcPr>
          <w:p w14:paraId="11D8717A">
            <w:pPr>
              <w:spacing w:before="0" w:after="0" w:line="240" w:lineRule="auto"/>
              <w:ind w:firstLine="0"/>
              <w:jc w:val="left"/>
            </w:pPr>
            <w:r>
              <w:rPr>
                <w:rFonts w:ascii="Times New Roman" w:hAnsi="Times New Roman" w:eastAsia="宋体"/>
                <w:b w:val="0"/>
                <w:sz w:val="19"/>
              </w:rPr>
              <w:t>常规重归一化 Top-K vs 残余类别 Top-K</w:t>
            </w:r>
          </w:p>
        </w:tc>
        <w:tc>
          <w:tcPr>
            <w:tcW w:w="1900" w:type="dxa"/>
            <w:vAlign w:val="center"/>
          </w:tcPr>
          <w:p w14:paraId="3A35555F">
            <w:pPr>
              <w:spacing w:before="0" w:after="0" w:line="240" w:lineRule="auto"/>
              <w:ind w:firstLine="0"/>
              <w:jc w:val="left"/>
            </w:pPr>
            <w:r>
              <w:rPr>
                <w:rFonts w:ascii="Times New Roman" w:hAnsi="Times New Roman" w:eastAsia="宋体"/>
                <w:b w:val="0"/>
                <w:sz w:val="19"/>
              </w:rPr>
              <w:t>尾部概率质量、损失与梯度、任务指标</w:t>
            </w:r>
          </w:p>
        </w:tc>
        <w:tc>
          <w:tcPr>
            <w:tcW w:w="1456" w:type="dxa"/>
            <w:vAlign w:val="center"/>
          </w:tcPr>
          <w:p w14:paraId="0A52DD0F">
            <w:pPr>
              <w:spacing w:before="0" w:after="0" w:line="240" w:lineRule="auto"/>
              <w:ind w:firstLine="0"/>
              <w:jc w:val="left"/>
            </w:pPr>
            <w:r>
              <w:rPr>
                <w:rFonts w:ascii="Times New Roman" w:hAnsi="Times New Roman" w:eastAsia="宋体"/>
                <w:b w:val="0"/>
                <w:sz w:val="19"/>
              </w:rPr>
              <w:t>识别截断目标的尾部信息作用</w:t>
            </w:r>
          </w:p>
        </w:tc>
      </w:tr>
      <w:tr w14:paraId="5DED9877">
        <w:trPr>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固定目标的反馈粒度</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学生模型、教师模型、数据、目标定义、有效 token、训练预算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固定 K vs 自适应 K</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所选 K、残余质量、训练时间、显存、任务指标</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检验反馈预算下的适用边界</w:t>
            </w:r>
          </w:p>
        </w:tc>
      </w:tr>
      <w:tr w14:paraId="7FDDC4CF">
        <w:trPr>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K1 低反馈量边界基线</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学生模型、教师模型、数据、采样分布、训练预算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K1 sampled-token（与选定 Top-K 目标对照）</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估计方差、异常 loss、反馈字节数、任务指标</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刻画极低反馈量与单样本估计风险</w:t>
            </w:r>
          </w:p>
        </w:tc>
      </w:tr>
    </w:tbl>
    <w:p w14:paraId="26F667FD">
      <w:pPr>
        <w:ind w:firstLine="420"/>
        <w:jc w:val="both"/>
      </w:pPr>
      <w:r>
        <w:t>散度方向与监督粒度不再被安排为全部组合的穷举矩阵。表 4-2 将实验分为三层：完整词表散度基线用于观察优化偏好；固定 K 下比较常规截断与保留残余质量的目标，用于识别尾部信息的作用；在选定目标上比较固定 K、自适应 K 与 K1，以判断反馈预算和估计波动的影响。各层均固定其余变量。</w:t>
      </w:r>
    </w:p>
    <w:p w14:paraId="7D429E15">
      <w:pPr>
        <w:ind w:firstLine="420"/>
        <w:jc w:val="both"/>
      </w:pPr>
      <w:r>
        <w:t>完整词表方案直接使用师生完整概率分布计算散度，作为信息最充分的基线。常规 Top-K 方案由教师分布选出支持集，并分别计算教师和学生在该集合内的概率质量：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常规截断基线在选定支持集内分别归一化师生概率，如式（4-18）所示。拟研究的残余类别目标不对所选概率重新归一化，而是把支持集外的教师概率总和与学生概率总和分别作为第 K+1 类，在共同支持集上计算 Forward KL；这样只保留尾部总质量，不宣称恢复尾部内部结构。训练中将单独记录残余质量与数值异常，以判断该构造是否有实际作用。</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718B00F7">
      <w:pPr>
        <w:ind w:firstLine="420"/>
        <w:jc w:val="both"/>
      </w:pPr>
      <w:r>
        <w:t>K1 sampled-token 将词表求和改写为单样本重要性估计，作为低反馈量基线。样本从提议分布抽取，Forward KL 和 Reverse KL 对应的单样本估计分别为：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0" w:name="_RefEq4_29"/>
            <w:r>
              <w:t>(4-</w:t>
            </w:r>
            <w:r>
              <w:fldChar w:fldCharType="begin"/>
            </w:r>
            <w:r>
              <w:instrText xml:space="preserve"> SEQ Eq4 \* ARABIC </w:instrText>
            </w:r>
            <w:r>
              <w:fldChar w:fldCharType="separate"/>
            </w:r>
            <w:r>
              <w:t>19</w:t>
            </w:r>
            <w:r>
              <w:fldChar w:fldCharType="end"/>
            </w:r>
            <w:r>
              <w:t>)</w:t>
            </w:r>
            <w:bookmarkEnd w:id="5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为控制估计方差，提议分布须覆盖被估计分布的支持集，并记录其定义、随机种子和概率下界。自适应 K 的候选规则是在最大支持集大小内选择达到预设累计教师概率质量的最小 K；仍未覆盖的概率由残余类别表示。阈值在验证集上确定，并与相同反馈预算的固定 K 比较。所有目标统一使用 log-sum-exp、有效位置归一化和有限值检查，防止混合精度下出现 NaN 或 Inf。仅保存较少概率值不等于减少教师模型前向计算，二者分别计量。</w:t>
      </w:r>
    </w:p>
    <w:p w14:paraId="264AD57D">
      <w:pPr>
        <w:pStyle w:val="3"/>
        <w:jc w:val="left"/>
      </w:pPr>
      <w:bookmarkStart w:id="51" w:name="_Toc534757053"/>
      <w:r>
        <w:rPr>
          <w:rFonts w:ascii="黑体" w:hAnsi="黑体" w:eastAsia="黑体" w:cs="黑体"/>
          <w:b/>
          <w:color w:val="000000"/>
          <w:sz w:val="24"/>
        </w:rPr>
        <w:t>4.5 评价指标和公平性</w:t>
      </w:r>
      <w:bookmarkEnd w:id="51"/>
    </w:p>
    <w:p w14:paraId="1E75A657">
      <w:pPr>
        <w:ind w:firstLine="420"/>
        <w:jc w:val="both"/>
      </w:pPr>
      <w:r>
        <w:t>本文从任务正确性、训练稳定性和资源成本三个层面评价方法，具体指标及其作用见表 4-3。</w:t>
      </w:r>
    </w:p>
    <w:p w14:paraId="245845D3">
      <w:pPr>
        <w:ind w:firstLine="420"/>
        <w:jc w:val="both"/>
      </w:pPr>
      <w:bookmarkStart w:id="76" w:name="_GoBack"/>
      <w:bookmarkEnd w:id="76"/>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2"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2"/>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3" w:name="_RefEq4_32"/>
            <w:r>
              <w:t>(4-</w:t>
            </w:r>
            <w:r>
              <w:fldChar w:fldCharType="begin"/>
            </w:r>
            <w:r>
              <w:instrText xml:space="preserve"> SEQ Eq4 \* ARABIC </w:instrText>
            </w:r>
            <w:r>
              <w:fldChar w:fldCharType="separate"/>
            </w:r>
            <w:r>
              <w:t>20</w:t>
            </w:r>
            <w:r>
              <w:fldChar w:fldCharType="end"/>
            </w:r>
            <w:r>
              <w:t>)</w:t>
            </w:r>
            <w:bookmarkEnd w:id="53"/>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4" w:name="_RefEq4_33"/>
            <w:r>
              <w:t>(4-</w:t>
            </w:r>
            <w:r>
              <w:fldChar w:fldCharType="begin"/>
            </w:r>
            <w:r>
              <w:instrText xml:space="preserve"> SEQ Eq4 \* ARABIC </w:instrText>
            </w:r>
            <w:r>
              <w:fldChar w:fldCharType="separate"/>
            </w:r>
            <w:r>
              <w:t>21</w:t>
            </w:r>
            <w:r>
              <w:fldChar w:fldCharType="end"/>
            </w:r>
            <w:r>
              <w:t>)</w:t>
            </w:r>
            <w:bookmarkEnd w:id="54"/>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5" w:name="_RefEq4_34"/>
            <w:r>
              <w:t>(4-</w:t>
            </w:r>
            <w:r>
              <w:fldChar w:fldCharType="begin"/>
            </w:r>
            <w:r>
              <w:instrText xml:space="preserve"> SEQ Eq4 \* ARABIC </w:instrText>
            </w:r>
            <w:r>
              <w:fldChar w:fldCharType="separate"/>
            </w:r>
            <w:r>
              <w:t>22</w:t>
            </w:r>
            <w:r>
              <w:fldChar w:fldCharType="end"/>
            </w:r>
            <w:r>
              <w:t>)</w:t>
            </w:r>
            <w:bookmarkEnd w:id="55"/>
          </w:p>
        </w:tc>
      </w:tr>
    </w:tbl>
    <w:p w14:paraId="04F1D07C">
      <w:pPr>
        <w:ind w:firstLine="420"/>
        <w:jc w:val="both"/>
      </w:pPr>
      <w:r>
        <w:t>其中“≡”依据 schema 允许的类型转换、顺序不敏感字段和等价表示判定。本文分别报告 JSON 可解析率、schema 合法率、函数选择和参数正确率；只有当数据集提供可执行工具且执行环境经过验证时，才报告工具执行成功率和端到端任务完成率。否则采用结构化调用匹配评价，并明确该指标与真实工具执行的边界。BFCL 的任务划分与判定规则为评测设计提供参考[27]。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6" w:name="_RefEq4_35"/>
            <w:r>
              <w:t>(4-</w:t>
            </w:r>
            <w:r>
              <w:fldChar w:fldCharType="begin"/>
            </w:r>
            <w:r>
              <w:instrText xml:space="preserve"> SEQ Eq4 \* ARABIC </w:instrText>
            </w:r>
            <w:r>
              <w:fldChar w:fldCharType="separate"/>
            </w:r>
            <w:r>
              <w:t>23</w:t>
            </w:r>
            <w:r>
              <w:fldChar w:fldCharType="end"/>
            </w:r>
            <w:r>
              <w:t>)</w:t>
            </w:r>
            <w:bookmarkEnd w:id="56"/>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7" w:name="_RefEq4_36"/>
            <w:r>
              <w:t>(4-</w:t>
            </w:r>
            <w:r>
              <w:fldChar w:fldCharType="begin"/>
            </w:r>
            <w:r>
              <w:instrText xml:space="preserve"> SEQ Eq4 \* ARABIC </w:instrText>
            </w:r>
            <w:r>
              <w:fldChar w:fldCharType="separate"/>
            </w:r>
            <w:r>
              <w:t>24</w:t>
            </w:r>
            <w:r>
              <w:fldChar w:fldCharType="end"/>
            </w:r>
            <w:r>
              <w:t>)</w:t>
            </w:r>
            <w:bookmarkEnd w:id="57"/>
          </w:p>
        </w:tc>
      </w:tr>
    </w:tbl>
    <w:p w14:paraId="3E2F0339">
      <w:pPr>
        <w:ind w:firstLine="420"/>
        <w:jc w:val="both"/>
      </w:pPr>
      <w:r>
        <w:t>熵与支持集重叠用于观察师生概率分布是否接近；针对本研究方法，还将记录教师 Top-K 外的总概率质量、学生对应质量及二者差异，并按函数、参数和结构位置分层分析。与异常损失、梯度范数和格式错误率结合后，可判断差异来自状态选择、截断目标还是监督粒度，避免只凭最终准确率解释机制。</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58" w:name="_RefEq4_37"/>
            <w:r>
              <w:t>(4-</w:t>
            </w:r>
            <w:r>
              <w:fldChar w:fldCharType="begin"/>
            </w:r>
            <w:r>
              <w:instrText xml:space="preserve"> SEQ Eq4 \* ARABIC </w:instrText>
            </w:r>
            <w:r>
              <w:fldChar w:fldCharType="separate"/>
            </w:r>
            <w:r>
              <w:t>25</w:t>
            </w:r>
            <w:r>
              <w:fldChar w:fldCharType="end"/>
            </w:r>
            <w:r>
              <w:t>)</w:t>
            </w:r>
            <w:bookmarkEnd w:id="58"/>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59" w:name="_RefEq4_38"/>
            <w:r>
              <w:t>(4-</w:t>
            </w:r>
            <w:r>
              <w:fldChar w:fldCharType="begin"/>
            </w:r>
            <w:r>
              <w:instrText xml:space="preserve"> SEQ Eq4 \* ARABIC </w:instrText>
            </w:r>
            <w:r>
              <w:fldChar w:fldCharType="separate"/>
            </w:r>
            <w:r>
              <w:t>26</w:t>
            </w:r>
            <w:r>
              <w:fldChar w:fldCharType="end"/>
            </w:r>
            <w:r>
              <w:t>)</w:t>
            </w:r>
            <w:bookmarkEnd w:id="59"/>
          </w:p>
        </w:tc>
      </w:tr>
    </w:tbl>
    <w:p w14:paraId="2DE6B7B8">
      <w:pPr>
        <w:ind w:firstLine="420"/>
        <w:jc w:val="both"/>
      </w:pPr>
      <w:r>
        <w:t>除总成本外，本文同时报告教师处理 token 数、教师前向墙钟时间、峰值显存、训练时间和推理吞吐，并单独统计传输或保存的教师反馈字节数与所选 K 的分布。吞吐量按生成 token 数除以墙钟时间计算。缩小反馈表示可能降低传输和存储开销，但是否节省教师计算须以实际计时为准。</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0" w:name="_RefEq4_39"/>
            <w:r>
              <w:t>(4-</w:t>
            </w:r>
            <w:r>
              <w:fldChar w:fldCharType="begin"/>
            </w:r>
            <w:r>
              <w:instrText xml:space="preserve"> SEQ Eq4 \* ARABIC </w:instrText>
            </w:r>
            <w:r>
              <w:fldChar w:fldCharType="separate"/>
            </w:r>
            <w:r>
              <w:t>27</w:t>
            </w:r>
            <w:r>
              <w:fldChar w:fldCharType="end"/>
            </w:r>
            <w:r>
              <w:t>)</w:t>
            </w:r>
            <w:bookmarkEnd w:id="60"/>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1" w:name="_RefEq4_40"/>
            <w:r>
              <w:t>(4-</w:t>
            </w:r>
            <w:r>
              <w:fldChar w:fldCharType="begin"/>
            </w:r>
            <w:r>
              <w:instrText xml:space="preserve"> SEQ Eq4 \* ARABIC </w:instrText>
            </w:r>
            <w:r>
              <w:fldChar w:fldCharType="separate"/>
            </w:r>
            <w:r>
              <w:t>28</w:t>
            </w:r>
            <w:r>
              <w:fldChar w:fldCharType="end"/>
            </w:r>
            <w:r>
              <w:t>)</w:t>
            </w:r>
            <w:bookmarkEnd w:id="61"/>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62" w:name="_Toc442727076"/>
      <w:r>
        <w:rPr>
          <w:rFonts w:ascii="黑体" w:hAnsi="黑体" w:eastAsia="黑体" w:cs="黑体"/>
          <w:b/>
          <w:color w:val="000000"/>
          <w:sz w:val="24"/>
        </w:rPr>
        <w:t>4.6 可行性分析</w:t>
      </w:r>
      <w:bookmarkEnd w:id="62"/>
    </w:p>
    <w:p w14:paraId="40E26365">
      <w:pPr>
        <w:ind w:firstLine="420"/>
        <w:jc w:val="both"/>
      </w:pPr>
      <w:r>
        <w:t>方案采用可获得的小规模同家族模型与开源工具链。冻结教师只参与前向评分，学生通过 LoRA 更新；PyTorch、Transformers、PEFT 和 vLLM[20]分别用于训练、适配与部署测量。正式实验前先以少量单轮样本检查 tokenizer、模板、状态标记、Top-K 累计质量、残余类别的概率归一化、目标数值、梯度传播和运行成本。只有这些基础检查通过，且尾部质量在实际样本中具有分析价值，才扩大训练规模；若现象不明显，则根据错误统计收缩方法范围并调整研究重点。</w:t>
      </w:r>
    </w:p>
    <w:p w14:paraId="6CC957E8">
      <w:pPr>
        <w:pStyle w:val="2"/>
      </w:pPr>
      <w:bookmarkStart w:id="63" w:name="_Toc2030613124"/>
      <w:r>
        <w:rPr>
          <w:rFonts w:ascii="黑体" w:hAnsi="黑体" w:eastAsia="黑体" w:cs="黑体"/>
          <w:b/>
          <w:color w:val="000000"/>
          <w:sz w:val="28"/>
        </w:rPr>
        <w:t>5．进度安排，预期达到的目标</w:t>
      </w:r>
      <w:bookmarkEnd w:id="63"/>
    </w:p>
    <w:p w14:paraId="4D67942D">
      <w:pPr>
        <w:pStyle w:val="3"/>
      </w:pPr>
      <w:bookmarkStart w:id="64" w:name="_Toc704656944"/>
      <w:r>
        <w:rPr>
          <w:rFonts w:ascii="黑体" w:hAnsi="黑体" w:eastAsia="黑体" w:cs="黑体"/>
          <w:b/>
          <w:color w:val="000000"/>
          <w:sz w:val="24"/>
        </w:rPr>
        <w:t>5.1 进度安排</w:t>
      </w:r>
      <w:bookmarkEnd w:id="64"/>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5"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5"/>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6"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6"/>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67" w:name="_Toc1944428250"/>
      <w:r>
        <w:rPr>
          <w:rFonts w:ascii="黑体" w:hAnsi="黑体" w:eastAsia="黑体" w:cs="黑体"/>
          <w:b/>
          <w:color w:val="000000"/>
          <w:sz w:val="24"/>
        </w:rPr>
        <w:t>5.2 预期达到的目标</w:t>
      </w:r>
      <w:bookmarkEnd w:id="67"/>
    </w:p>
    <w:p w14:paraId="5C45F9E1">
      <w:pPr>
        <w:pStyle w:val="17"/>
        <w:ind w:firstLine="420"/>
        <w:jc w:val="both"/>
      </w:pPr>
      <w:r>
        <w:t>1. 建立以 Qwen3-0.6B 为学生、冻结的 Qwen3-4B 为教师的单轮 Function Calling 在线策略蒸馏流程，并完成状态边界、有效位置和分层错误记录。</w:t>
      </w:r>
    </w:p>
    <w:p w14:paraId="661280AE">
      <w:pPr>
        <w:pStyle w:val="17"/>
        <w:ind w:firstLine="420"/>
        <w:jc w:val="both"/>
      </w:pPr>
      <w:r>
        <w:t>2. 在统一轨迹与训练预算下完成完整分布散度基线，以及常规 Top-K 与保留尾部质量的 Top-K 目标对比；检验目标差异是否具有可重复的任务或稳定性影响。</w:t>
      </w:r>
    </w:p>
    <w:p w14:paraId="4D24F9B5">
      <w:pPr>
        <w:pStyle w:val="17"/>
        <w:ind w:firstLine="420"/>
        <w:jc w:val="both"/>
      </w:pPr>
      <w:r>
        <w:t>3. 建立固定 K、按累计概率质量选择 K 与 K1 的反馈粒度对照，并按照数据集实际条件分层评价格式、函数选择、参数生成和可验证的工具调用结果。</w:t>
      </w:r>
    </w:p>
    <w:p w14:paraId="444409D5">
      <w:pPr>
        <w:pStyle w:val="17"/>
        <w:ind w:firstLine="420"/>
        <w:jc w:val="both"/>
      </w:pPr>
      <w:r>
        <w:t>4. 同时记录损失、梯度、熵、残余概率质量、反馈字节数、教师前向时间、训练显存和任务表现，分析效果与资源开销之间的关系。</w:t>
      </w:r>
    </w:p>
    <w:p w14:paraId="1F6068D2">
      <w:pPr>
        <w:pStyle w:val="17"/>
        <w:ind w:firstLine="420"/>
        <w:jc w:val="both"/>
      </w:pPr>
      <w:r>
        <w:t>5. 通过 vLLM 或等效的可复现测试程序评估最终学生模型，报告适用边界与失败案例，不把尚未运行的对比写成性能结论。</w:t>
      </w:r>
    </w:p>
    <w:p w14:paraId="34BA0ABE">
      <w:pPr>
        <w:pStyle w:val="17"/>
        <w:ind w:firstLine="420"/>
        <w:jc w:val="both"/>
      </w:pPr>
      <w:r>
        <w:t>6. 完成项目文档、实验记录、毕业论文和答辩材料。</w:t>
      </w:r>
    </w:p>
    <w:p w14:paraId="11B7E0CE">
      <w:pPr>
        <w:ind w:firstLine="420"/>
        <w:jc w:val="both"/>
      </w:pPr>
      <w:r>
        <w:t>预期形成一套可复现的单轮工具调用 OPD 流程、一种待实验检验的尾部质量保留目标及其监督粒度选择策略，并提供完整的基线、消融、成本统计和失败案例。最终论文将以实际结果判断方法是否有效；即使未取得性能优势，也需明确其原因和适用条件。</w:t>
      </w:r>
    </w:p>
    <w:p w14:paraId="629A1AD4">
      <w:pPr>
        <w:pStyle w:val="2"/>
      </w:pPr>
      <w:bookmarkStart w:id="68" w:name="_Toc1746941351"/>
      <w:r>
        <w:rPr>
          <w:rFonts w:ascii="黑体" w:hAnsi="黑体" w:eastAsia="黑体" w:cs="黑体"/>
          <w:b/>
          <w:color w:val="000000"/>
          <w:sz w:val="28"/>
        </w:rPr>
        <w:t>6．课题已具备和所需的条件、经费</w:t>
      </w:r>
      <w:bookmarkEnd w:id="68"/>
    </w:p>
    <w:p w14:paraId="15508BCB">
      <w:pPr>
        <w:pStyle w:val="3"/>
      </w:pPr>
      <w:bookmarkStart w:id="69" w:name="_Toc446864473"/>
      <w:r>
        <w:rPr>
          <w:rFonts w:ascii="黑体" w:hAnsi="黑体" w:eastAsia="黑体" w:cs="黑体"/>
          <w:b/>
          <w:color w:val="000000"/>
          <w:sz w:val="24"/>
        </w:rPr>
        <w:t>6.1 已具备条件</w:t>
      </w:r>
      <w:bookmarkEnd w:id="69"/>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70" w:name="_Toc700884152"/>
      <w:r>
        <w:rPr>
          <w:rFonts w:ascii="黑体" w:hAnsi="黑体" w:eastAsia="黑体" w:cs="黑体"/>
          <w:b/>
          <w:color w:val="000000"/>
          <w:sz w:val="24"/>
        </w:rPr>
        <w:t>6.2 所需条件</w:t>
      </w:r>
      <w:bookmarkEnd w:id="70"/>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71" w:name="_Toc812138869"/>
      <w:r>
        <w:rPr>
          <w:rFonts w:ascii="黑体" w:hAnsi="黑体" w:eastAsia="黑体" w:cs="黑体"/>
          <w:b/>
          <w:color w:val="000000"/>
          <w:sz w:val="24"/>
        </w:rPr>
        <w:t>6.3 经费</w:t>
      </w:r>
      <w:bookmarkEnd w:id="71"/>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2"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2"/>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3" w:name="_Toc211910951"/>
      <w:r>
        <w:rPr>
          <w:rFonts w:ascii="黑体" w:hAnsi="黑体" w:eastAsia="黑体" w:cs="黑体"/>
          <w:b/>
          <w:color w:val="000000"/>
          <w:sz w:val="28"/>
        </w:rPr>
        <w:t>7．研究过程中可能遇到的困难和问题，解决的措施</w:t>
      </w:r>
      <w:bookmarkEnd w:id="73"/>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4"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实施时先审计数据、模型、tokenizer 和消息模板，再用少量单轮样本检查状态标记、支持集累计质量、残余概率、损失数值与梯度。训练资源通过短序列验证、小批量训练、梯度累积和必要的教师反馈缓存控制。完整分布、常规 Top-K、残余类别 Top-K 与 K1 应共享输入、mask、评测规则和记录格式，并保存异常 loss、非法结构及失败调用以便追溯。</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方法风险主要有两类：若教师分布在大多数有效位置过于集中，Top-K 外的概率质量可能很小，残余类别难以产生可测差异；若概率质量分散，自适应 K 可能频繁达到上限，未必节省反馈开销。研究先在小样本上统计这些分布，再以相同 K 或相同反馈预算做消融；若候选方法不优于简洁基线，应如实报告并据错误类型缩小改进范围。支持集并集与极端概率比裁剪仅作为后续备选，不与主方法同时改变。</w:t>
      </w:r>
    </w:p>
    <w:p w14:paraId="0874BB6A">
      <w:pPr>
        <w:pStyle w:val="2"/>
      </w:pPr>
      <w:bookmarkStart w:id="75" w:name="_Toc1059466731"/>
      <w:r>
        <w:rPr>
          <w:rFonts w:ascii="黑体" w:hAnsi="黑体" w:eastAsia="黑体" w:cs="黑体"/>
          <w:b/>
          <w:color w:val="000000"/>
          <w:sz w:val="28"/>
        </w:rPr>
        <w:t>8．主要参考文献</w:t>
      </w:r>
      <w:bookmarkEnd w:id="75"/>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26"/>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14962</Words>
  <Characters>21926</Characters>
  <Lines>34</Lines>
  <Paragraphs>9</Paragraphs>
  <TotalTime>10</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2022-10-17T02:38:00Z</dcterms:created>
  <dc:creator>董 睿璞</dc:creator>
  <cp:lastModifiedBy>Dr.Oppenheimer</cp:lastModifiedBy>
  <dcterms:modified xsi:type="dcterms:W3CDTF">2026-09-27T11:43:03Z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