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3</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3</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3</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4</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4</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4</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6</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7</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9</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10</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11</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12</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研究问题概述</w:t>
      </w:r>
      <w:r>
        <w:tab/>
      </w:r>
      <w:r>
        <w:fldChar w:fldCharType="begin"/>
      </w:r>
      <w:r>
        <w:instrText xml:space="preserve"> PAGEREF _Toc816010318 \h </w:instrText>
      </w:r>
      <w:r>
        <w:fldChar w:fldCharType="separate"/>
      </w:r>
      <w:r>
        <w:t>12</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3.2 学生状态分布上的有效教师监督</w:t>
      </w:r>
      <w:r>
        <w:tab/>
      </w:r>
      <w:r>
        <w:fldChar w:fldCharType="begin"/>
      </w:r>
      <w:r>
        <w:instrText xml:space="preserve"> PAGEREF _Toc854844884 \h </w:instrText>
      </w:r>
      <w:r>
        <w:fldChar w:fldCharType="separate"/>
      </w:r>
      <w:r>
        <w:t>12</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3.3 不同散度目标的优化偏好</w:t>
      </w:r>
      <w:r>
        <w:tab/>
      </w:r>
      <w:r>
        <w:fldChar w:fldCharType="begin"/>
      </w:r>
      <w:r>
        <w:instrText xml:space="preserve"> PAGEREF _Toc712366958 \h </w:instrText>
      </w:r>
      <w:r>
        <w:fldChar w:fldCharType="separate"/>
      </w:r>
      <w:r>
        <w:t>13</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3.4 监督信息粒度与资源效率</w:t>
      </w:r>
      <w:r>
        <w:tab/>
      </w:r>
      <w:r>
        <w:fldChar w:fldCharType="begin"/>
      </w:r>
      <w:r>
        <w:instrText xml:space="preserve"> PAGEREF _Toc530131081 \h </w:instrText>
      </w:r>
      <w:r>
        <w:fldChar w:fldCharType="separate"/>
      </w:r>
      <w:r>
        <w:t>13</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 xml:space="preserve">3.5 </w:t>
      </w:r>
      <w:r>
        <w:rPr>
          <w:rFonts w:hint="eastAsia" w:ascii="黑体" w:hAnsi="黑体" w:eastAsia="黑体" w:cs="黑体"/>
          <w:lang w:val="en-US" w:eastAsia="zh-CN"/>
        </w:rPr>
        <w:t>本章总结</w:t>
      </w:r>
      <w:r>
        <w:tab/>
      </w:r>
      <w:r>
        <w:fldChar w:fldCharType="begin"/>
      </w:r>
      <w:r>
        <w:instrText xml:space="preserve"> PAGEREF _Toc3426964 \h </w:instrText>
      </w:r>
      <w:r>
        <w:fldChar w:fldCharType="separate"/>
      </w:r>
      <w:r>
        <w:t>13</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14</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14</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15</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16</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损失与监督信息粒度/估计方式的定义原则</w:t>
      </w:r>
      <w:r>
        <w:tab/>
      </w:r>
      <w:r>
        <w:fldChar w:fldCharType="begin"/>
      </w:r>
      <w:r>
        <w:instrText xml:space="preserve"> PAGEREF _Toc307070742 \h </w:instrText>
      </w:r>
      <w:r>
        <w:fldChar w:fldCharType="separate"/>
      </w:r>
      <w:r>
        <w:t>18</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评价指标和公平性</w:t>
      </w:r>
      <w:r>
        <w:tab/>
      </w:r>
      <w:r>
        <w:fldChar w:fldCharType="begin"/>
      </w:r>
      <w:r>
        <w:instrText xml:space="preserve"> PAGEREF _Toc534757053 \h </w:instrText>
      </w:r>
      <w:r>
        <w:fldChar w:fldCharType="separate"/>
      </w:r>
      <w:r>
        <w:t>20</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22</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22</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22</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24</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24</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24</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25</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25</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26</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27</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梳理离线蒸馏、在线策略蒸馏、KL 散度和工具增强模型的发展脉络，明确 OPD 在 Function Calling 场景中的研究问题。</w:t>
      </w:r>
    </w:p>
    <w:p w14:paraId="6CEC8EBA">
      <w:pPr>
        <w:pStyle w:val="17"/>
        <w:ind w:firstLine="420"/>
        <w:jc w:val="both"/>
      </w:pPr>
      <w:r>
        <w:t>2. 在统一的 OPD 后训练流程中比较主要散度方向和监督信息粒度（或估计方式），具体实验见第 3、4 节。</w:t>
      </w:r>
    </w:p>
    <w:p w14:paraId="1582C878">
      <w:pPr>
        <w:pStyle w:val="17"/>
        <w:ind w:firstLine="420"/>
        <w:jc w:val="both"/>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044C70A9">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w:t>
      </w:r>
    </w:p>
    <w:p w14:paraId="327DDAEA">
      <w:pPr>
        <w:ind w:firstLine="420"/>
        <w:jc w:val="both"/>
      </w:pPr>
      <w:r>
        <w:t>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研究问题概述</w:t>
      </w:r>
      <w:bookmarkEnd w:id="17"/>
    </w:p>
    <w:p w14:paraId="71C6F5B5">
      <w:pPr>
        <w:ind w:firstLine="420"/>
        <w:jc w:val="both"/>
      </w:pPr>
      <w:r>
        <w:t>本文不把模型、数据、LoRA 配置和评测脚本分别列为独立研究内容，而把它们视为统一实验条件。在此基础上，研究内容归纳为以下三个问题，并分别对应第 3.2、3.3 和 3.4 节：</w:t>
      </w:r>
    </w:p>
    <w:p w14:paraId="264D2FA9">
      <w:pPr>
        <w:pStyle w:val="17"/>
        <w:ind w:firstLine="420"/>
        <w:jc w:val="both"/>
      </w:pPr>
      <w:r>
        <w:t>1. 学生状态分布问题：教师在学生自主生成的哪些状态上提供反馈，才能真正缓解训练与推理之间的分布偏移？</w:t>
      </w:r>
    </w:p>
    <w:p w14:paraId="1E031E97">
      <w:pPr>
        <w:pStyle w:val="17"/>
        <w:ind w:firstLine="420"/>
        <w:jc w:val="both"/>
      </w:pPr>
      <w:r>
        <w:t>2. 散度目标问题：Forward KL、Reverse KL 和广义散度如何改变学生的分布覆盖、模式选择与训练稳定性？</w:t>
      </w:r>
    </w:p>
    <w:p w14:paraId="2D6DF87B">
      <w:pPr>
        <w:pStyle w:val="17"/>
        <w:ind w:firstLine="420"/>
        <w:jc w:val="both"/>
      </w:pPr>
      <w:r>
        <w:t>3. 监督信息粒度问题：全词表、Top-K 和 K1 sampled-token 如何在任务效果、估计方差与教师反馈成本之间权衡？</w:t>
      </w:r>
    </w:p>
    <w:p w14:paraId="1EEDD05E">
      <w:pPr>
        <w:pStyle w:val="3"/>
      </w:pPr>
      <w:bookmarkStart w:id="18" w:name="_Toc854844884"/>
      <w:r>
        <w:rPr>
          <w:rFonts w:ascii="黑体" w:hAnsi="黑体" w:eastAsia="黑体" w:cs="黑体"/>
          <w:b/>
          <w:color w:val="000000"/>
          <w:sz w:val="24"/>
        </w:rPr>
        <w:t>3.2 学生状态分布上的有效教师监督</w:t>
      </w:r>
      <w:bookmarkEnd w:id="18"/>
    </w:p>
    <w:p w14:paraId="306F781D">
      <w:pPr>
        <w:ind w:firstLine="420"/>
        <w:jc w:val="both"/>
      </w:pPr>
      <w:r>
        <w:t>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9" w:name="_Toc712366958"/>
      <w:r>
        <w:rPr>
          <w:rFonts w:ascii="黑体" w:hAnsi="黑体" w:eastAsia="黑体" w:cs="黑体"/>
          <w:b/>
          <w:color w:val="000000"/>
          <w:sz w:val="24"/>
        </w:rPr>
        <w:t>3.3 不同散度目标的优化偏好</w:t>
      </w:r>
      <w:bookmarkEnd w:id="19"/>
    </w:p>
    <w:p w14:paraId="6EF7E413">
      <w:pPr>
        <w:ind w:firstLine="420"/>
        <w:jc w:val="both"/>
      </w:pPr>
      <w:r>
        <w:t>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20" w:name="_Toc530131081"/>
      <w:r>
        <w:rPr>
          <w:rFonts w:ascii="黑体" w:hAnsi="黑体" w:eastAsia="黑体" w:cs="黑体"/>
          <w:b/>
          <w:color w:val="000000"/>
          <w:sz w:val="24"/>
        </w:rPr>
        <w:t>3.4 监督信息粒度与资源效率</w:t>
      </w:r>
      <w:bookmarkEnd w:id="20"/>
    </w:p>
    <w:p w14:paraId="7DA378CA">
      <w:pPr>
        <w:ind w:firstLine="420"/>
        <w:jc w:val="both"/>
      </w:pPr>
      <w:r>
        <w:t>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研究问题、研究方案和研究目的的对应与递进关系如图 1 所示。学生状态分布问题通过在策略状态采样检验有效监督，不同散度目标通过受控比较解释优化机制，监督信息粒度问题通过分层实验形成任务效果与教师成本的选择依据。三个部分在各层内均由有效性分析递进到机制解释，再递进到性能与成本权衡。</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rPr>
          <w:rFonts w:hint="eastAsia" w:eastAsia="宋体"/>
          <w:lang w:val="en-US" w:eastAsia="zh-CN"/>
        </w:rP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研究问题、研究方案与研究目的的</w:t>
      </w:r>
      <w:r>
        <w:rPr>
          <w:rFonts w:hint="eastAsia"/>
          <w:sz w:val="21"/>
          <w:lang w:val="en-US" w:eastAsia="zh-CN"/>
        </w:rPr>
        <w:t>结构关系</w:t>
      </w:r>
    </w:p>
    <w:p w14:paraId="575D3309">
      <w:pPr>
        <w:pStyle w:val="2"/>
      </w:pPr>
      <w:bookmarkStart w:id="23" w:name="_Toc1762409126"/>
      <w:r>
        <w:rPr>
          <w:rFonts w:ascii="黑体" w:hAnsi="黑体" w:eastAsia="黑体" w:cs="黑体"/>
          <w:b/>
          <w:color w:val="000000"/>
          <w:sz w:val="28"/>
        </w:rPr>
        <w:t>4．研究方案</w:t>
      </w:r>
      <w:bookmarkEnd w:id="23"/>
      <w:bookmarkStart w:id="76" w:name="_GoBack"/>
      <w:bookmarkEnd w:id="76"/>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w:t>
      </w:r>
      <w:r>
        <w:rPr>
          <w:rFonts w:hint="eastAsia"/>
          <w:lang w:val="en-US" w:eastAsia="zh-CN"/>
        </w:rPr>
        <w:t>一起综合计算</w:t>
      </w:r>
      <w:r>
        <w:t>。具体过程是：学生先根据当前策略生成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5" w:name="_RefEq4_2"/>
            <w:r>
              <w:t>(4-</w:t>
            </w:r>
            <w:r>
              <w:fldChar w:fldCharType="begin"/>
            </w:r>
            <w:r>
              <w:instrText xml:space="preserve"> SEQ Eq4 \* ARABIC </w:instrText>
            </w:r>
            <w:r>
              <w:fldChar w:fldCharType="separate"/>
            </w:r>
            <w:r>
              <w:t>1</w:t>
            </w:r>
            <w:r>
              <w:fldChar w:fldCharType="end"/>
            </w:r>
            <w:r>
              <w:t>)</w:t>
            </w:r>
            <w:bookmarkEnd w:id="25"/>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6" w:name="_RefEq4_4"/>
            <w:r>
              <w:t>(4-</w:t>
            </w:r>
            <w:r>
              <w:fldChar w:fldCharType="begin"/>
            </w:r>
            <w:r>
              <w:instrText xml:space="preserve"> SEQ Eq4 \* ARABIC </w:instrText>
            </w:r>
            <w:r>
              <w:fldChar w:fldCharType="separate"/>
            </w:r>
            <w:r>
              <w:t>2</w:t>
            </w:r>
            <w:r>
              <w:fldChar w:fldCharType="end"/>
            </w:r>
            <w:r>
              <w:t>)</w:t>
            </w:r>
            <w:bookmarkEnd w:id="26"/>
          </w:p>
        </w:tc>
      </w:tr>
    </w:tbl>
    <w:p w14:paraId="7DD08C89">
      <w:pPr>
        <w:ind w:firstLine="0"/>
        <w:jc w:val="both"/>
      </w:pPr>
      <w:r>
        <w:t>上式中的统一估计项在全词表方案下等于完整散度，在 Top-K 方案下等于重归一化后的截断散度，在 K1 方案下等于后文给出的单样本重要性估计。每次参数更新只对师生条件分布之间的损失反向传播；学生生成的离散轨迹只作为状态序列使用，不对采样过程本身求梯度。学生生成分布决定教师看到什么状态，散度函数决定教师知识以何种偏好转化为梯度，估计方式则决定每个位置实际使用多少教师信息。学生只在 LoRA 参数子空间内更新，因此总体优化问题可写为：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7" w:name="_RefEq4_5"/>
            <w:r>
              <w:t>(4-</w:t>
            </w:r>
            <w:r>
              <w:fldChar w:fldCharType="begin"/>
            </w:r>
            <w:r>
              <w:instrText xml:space="preserve"> SEQ Eq4 \* ARABIC </w:instrText>
            </w:r>
            <w:r>
              <w:fldChar w:fldCharType="separate"/>
            </w:r>
            <w:r>
              <w:t>3</w:t>
            </w:r>
            <w:r>
              <w:fldChar w:fldCharType="end"/>
            </w:r>
            <w:r>
              <w:t>)</w:t>
            </w:r>
            <w:bookmarkEnd w:id="27"/>
          </w:p>
        </w:tc>
      </w:tr>
    </w:tbl>
    <w:p w14:paraId="1457368B">
      <w:pPr>
        <w:ind w:firstLine="420"/>
        <w:jc w:val="both"/>
      </w:pPr>
      <w:r>
        <w:t>三个研究问题由此统一到同一目标中：学生轨迹决定监督状态，散度决定优化偏好，监督信息粒度与估计方式决定信息量和计算成本。整体技术路线如图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8"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8"/>
      <w:r>
        <w:rPr>
          <w:rFonts w:ascii="Times New Roman" w:hAnsi="Times New Roman" w:eastAsia="宋体"/>
          <w:sz w:val="21"/>
        </w:rPr>
        <w:t xml:space="preserve">  研究总体技术路线</w:t>
      </w:r>
    </w:p>
    <w:p w14:paraId="51D0960D">
      <w:pPr>
        <w:pStyle w:val="3"/>
      </w:pPr>
      <w:bookmarkStart w:id="29" w:name="_Toc509749868"/>
      <w:r>
        <w:rPr>
          <w:rFonts w:ascii="黑体" w:hAnsi="黑体" w:eastAsia="黑体" w:cs="黑体"/>
          <w:b/>
          <w:color w:val="000000"/>
          <w:sz w:val="24"/>
        </w:rPr>
        <w:t>4.2 模型和数据准备</w:t>
      </w:r>
      <w:bookmarkEnd w:id="29"/>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0" w:name="_RefEq4_6"/>
            <w:r>
              <w:t>(4-</w:t>
            </w:r>
            <w:r>
              <w:fldChar w:fldCharType="begin"/>
            </w:r>
            <w:r>
              <w:instrText xml:space="preserve"> SEQ Eq4 \* ARABIC </w:instrText>
            </w:r>
            <w:r>
              <w:fldChar w:fldCharType="separate"/>
            </w:r>
            <w:r>
              <w:t>4</w:t>
            </w:r>
            <w:r>
              <w:fldChar w:fldCharType="end"/>
            </w:r>
            <w:r>
              <w:t>)</w:t>
            </w:r>
            <w:bookmarkEnd w:id="30"/>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1" w:name="_RefEq4_7"/>
            <w:r>
              <w:t>(4-</w:t>
            </w:r>
            <w:r>
              <w:fldChar w:fldCharType="begin"/>
            </w:r>
            <w:r>
              <w:instrText xml:space="preserve"> SEQ Eq4 \* ARABIC </w:instrText>
            </w:r>
            <w:r>
              <w:fldChar w:fldCharType="separate"/>
            </w:r>
            <w:r>
              <w:t>5</w:t>
            </w:r>
            <w:r>
              <w:fldChar w:fldCharType="end"/>
            </w:r>
            <w:r>
              <w:t>)</w:t>
            </w:r>
            <w:bookmarkEnd w:id="31"/>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rPr>
                <w:rFonts w:hint="default" w:eastAsia="宋体"/>
                <w:lang w:val="en-US" w:eastAsia="zh-CN"/>
              </w:rP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w:rPr>
                    <w:rFonts w:hint="default"/>
                    <w:lang w:val="en-US"/>
                  </w:rPr>
                  <m:t>,</m:t>
                </m:r>
                <m:sSub>
                  <m:sSubPr/>
                  <m:e>
                    <m:r>
                      <m:rPr/>
                      <m:t>D</m:t>
                    </m:r>
                  </m:e>
                  <m:sub>
                    <m:r>
                      <m:rPr>
                        <m:sty m:val="p"/>
                      </m:rPr>
                      <m:t>tr</m:t>
                    </m:r>
                  </m:sub>
                </m:sSub>
                <m:r>
                  <m:rPr>
                    <m:sty m:val="p"/>
                  </m:rPr>
                  <m:t>∩</m:t>
                </m:r>
                <m:sSub>
                  <m:sSubPr/>
                  <m:e>
                    <m:r>
                      <m:rPr/>
                      <m:t>D</m:t>
                    </m:r>
                  </m:e>
                  <m:sub>
                    <m:r>
                      <m:rPr>
                        <m:sty m:val="p"/>
                      </m:rPr>
                      <m:t>te</m:t>
                    </m:r>
                  </m:sub>
                </m:sSub>
                <m:r>
                  <m:rPr>
                    <m:sty m:val="p"/>
                  </m:rPr>
                  <m:t>=⌀</m:t>
                </m:r>
                <m:r>
                  <m:rPr>
                    <m:sty m:val="p"/>
                  </m:rPr>
                  <w:rPr>
                    <w:rFonts w:hint="default"/>
                    <w:lang w:val="en-US"/>
                  </w: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2" w:name="_RefEq4_8"/>
            <w:r>
              <w:t>(4-</w:t>
            </w:r>
            <w:r>
              <w:fldChar w:fldCharType="begin"/>
            </w:r>
            <w:r>
              <w:instrText xml:space="preserve"> SEQ Eq4 \* ARABIC </w:instrText>
            </w:r>
            <w:r>
              <w:fldChar w:fldCharType="separate"/>
            </w:r>
            <w:r>
              <w:t>6</w:t>
            </w:r>
            <w:r>
              <w:fldChar w:fldCharType="end"/>
            </w:r>
            <w:r>
              <w:t>)</w:t>
            </w:r>
            <w:bookmarkEnd w:id="32"/>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3" w:name="_Toc1053763593"/>
      <w:r>
        <w:rPr>
          <w:rFonts w:ascii="黑体" w:hAnsi="黑体" w:eastAsia="黑体" w:cs="黑体"/>
          <w:b/>
          <w:color w:val="000000"/>
          <w:sz w:val="24"/>
        </w:rPr>
        <w:t>4.3 学生 rollout 和教师反馈</w:t>
      </w:r>
      <w:bookmarkEnd w:id="3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4" w:name="_RefEq4_11"/>
            <w:r>
              <w:t>(4-</w:t>
            </w:r>
            <w:r>
              <w:fldChar w:fldCharType="begin"/>
            </w:r>
            <w:r>
              <w:instrText xml:space="preserve"> SEQ Eq4 \* ARABIC </w:instrText>
            </w:r>
            <w:r>
              <w:fldChar w:fldCharType="separate"/>
            </w:r>
            <w:r>
              <w:t>7</w:t>
            </w:r>
            <w:r>
              <w:fldChar w:fldCharType="end"/>
            </w:r>
            <w:r>
              <w:t>)</w:t>
            </w:r>
            <w:bookmarkEnd w:id="34"/>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5" w:name="_RefEq4_12"/>
            <w:r>
              <w:t>(4-</w:t>
            </w:r>
            <w:r>
              <w:fldChar w:fldCharType="begin"/>
            </w:r>
            <w:r>
              <w:instrText xml:space="preserve"> SEQ Eq4 \* ARABIC </w:instrText>
            </w:r>
            <w:r>
              <w:fldChar w:fldCharType="separate"/>
            </w:r>
            <w:r>
              <w:t>8</w:t>
            </w:r>
            <w:r>
              <w:fldChar w:fldCharType="end"/>
            </w:r>
            <w:r>
              <w:t>)</w:t>
            </w:r>
            <w:bookmarkEnd w:id="35"/>
          </w:p>
        </w:tc>
      </w:tr>
    </w:tbl>
    <w:p w14:paraId="516744BC">
      <w:pPr>
        <w:ind w:firstLine="420"/>
        <w:jc w:val="both"/>
      </w:pPr>
      <w:r>
        <w:t>教师并不重新生成一条替代答案，而是在学生已经到达的前缀上评分。这样，教师监督对应的是学生部署时真正可能访问的状态。对同一前缀，师生两侧分别计算 logits，并通过 softmax 得到条件概率分布：</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6" w:name="_RefEq4_13"/>
            <w:r>
              <w:t>(4-</w:t>
            </w:r>
            <w:r>
              <w:fldChar w:fldCharType="begin"/>
            </w:r>
            <w:r>
              <w:instrText xml:space="preserve"> SEQ Eq4 \* ARABIC </w:instrText>
            </w:r>
            <w:r>
              <w:fldChar w:fldCharType="separate"/>
            </w:r>
            <w:r>
              <w:t>9</w:t>
            </w:r>
            <w:r>
              <w:fldChar w:fldCharType="end"/>
            </w:r>
            <w:r>
              <w:t>)</w:t>
            </w:r>
            <w:bookmarkEnd w:id="36"/>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37" w:name="_RefEq4_15"/>
            <w:r>
              <w:t>(4-</w:t>
            </w:r>
            <w:r>
              <w:fldChar w:fldCharType="begin"/>
            </w:r>
            <w:r>
              <w:instrText xml:space="preserve"> SEQ Eq4 \* ARABIC </w:instrText>
            </w:r>
            <w:r>
              <w:fldChar w:fldCharType="separate"/>
            </w:r>
            <w:r>
              <w:t>10</w:t>
            </w:r>
            <w:r>
              <w:fldChar w:fldCharType="end"/>
            </w:r>
            <w:r>
              <w:t>)</w:t>
            </w:r>
            <w:bookmarkEnd w:id="37"/>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38" w:name="_RefEq4_16"/>
            <w:r>
              <w:t>(4-</w:t>
            </w:r>
            <w:r>
              <w:fldChar w:fldCharType="begin"/>
            </w:r>
            <w:r>
              <w:instrText xml:space="preserve"> SEQ Eq4 \* ARABIC </w:instrText>
            </w:r>
            <w:r>
              <w:fldChar w:fldCharType="separate"/>
            </w:r>
            <w:r>
              <w:t>11</w:t>
            </w:r>
            <w:r>
              <w:fldChar w:fldCharType="end"/>
            </w:r>
            <w:r>
              <w:t>)</w:t>
            </w:r>
            <w:bookmarkEnd w:id="38"/>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9"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9"/>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规则和同一有效位置掩码，使损失变化能够归因于散度类型或监督信息粒度，而不是生成长度、模板或后处理差异。训练、反馈与评测之间的关系见图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0"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0"/>
      <w:r>
        <w:rPr>
          <w:rFonts w:ascii="Times New Roman" w:hAnsi="Times New Roman" w:eastAsia="宋体"/>
          <w:sz w:val="21"/>
        </w:rPr>
        <w:t xml:space="preserve">  在线策略蒸馏训练与性能评测流程</w:t>
      </w:r>
    </w:p>
    <w:p w14:paraId="5E2DE293">
      <w:pPr>
        <w:pStyle w:val="3"/>
      </w:pPr>
      <w:bookmarkStart w:id="41" w:name="_Toc307070742"/>
      <w:r>
        <w:rPr>
          <w:rFonts w:ascii="黑体" w:hAnsi="黑体" w:eastAsia="黑体" w:cs="黑体"/>
          <w:b/>
          <w:color w:val="000000"/>
          <w:sz w:val="24"/>
        </w:rPr>
        <w:t>4.4 损失与监督信息粒度/估计方式的定义原则</w:t>
      </w:r>
      <w:bookmarkEnd w:id="41"/>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2" w:name="_RefEq4_17"/>
            <w:r>
              <w:t>(4-</w:t>
            </w:r>
            <w:r>
              <w:fldChar w:fldCharType="begin"/>
            </w:r>
            <w:r>
              <w:instrText xml:space="preserve"> SEQ Eq4 \* ARABIC </w:instrText>
            </w:r>
            <w:r>
              <w:fldChar w:fldCharType="separate"/>
            </w:r>
            <w:r>
              <w:t>12</w:t>
            </w:r>
            <w:r>
              <w:fldChar w:fldCharType="end"/>
            </w:r>
            <w:r>
              <w:t>)</w:t>
            </w:r>
            <w:bookmarkEnd w:id="42"/>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3" w:name="_RefEq4_18"/>
            <w:r>
              <w:t>(4-</w:t>
            </w:r>
            <w:r>
              <w:fldChar w:fldCharType="begin"/>
            </w:r>
            <w:r>
              <w:instrText xml:space="preserve"> SEQ Eq4 \* ARABIC </w:instrText>
            </w:r>
            <w:r>
              <w:fldChar w:fldCharType="separate"/>
            </w:r>
            <w:r>
              <w:t>13</w:t>
            </w:r>
            <w:r>
              <w:fldChar w:fldCharType="end"/>
            </w:r>
            <w:r>
              <w:t>)</w:t>
            </w:r>
            <w:bookmarkEnd w:id="43"/>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4" w:name="_RefEq4_19"/>
            <w:r>
              <w:t>(4-</w:t>
            </w:r>
            <w:r>
              <w:fldChar w:fldCharType="begin"/>
            </w:r>
            <w:r>
              <w:instrText xml:space="preserve"> SEQ Eq4 \* ARABIC </w:instrText>
            </w:r>
            <w:r>
              <w:fldChar w:fldCharType="separate"/>
            </w:r>
            <w:r>
              <w:t>14</w:t>
            </w:r>
            <w:r>
              <w:fldChar w:fldCharType="end"/>
            </w:r>
            <w:r>
              <w:t>)</w:t>
            </w:r>
            <w:bookmarkEnd w:id="44"/>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45" w:name="_RefEq4_20"/>
            <w:r>
              <w:t>(4-</w:t>
            </w:r>
            <w:r>
              <w:fldChar w:fldCharType="begin"/>
            </w:r>
            <w:r>
              <w:instrText xml:space="preserve"> SEQ Eq4 \* ARABIC </w:instrText>
            </w:r>
            <w:r>
              <w:fldChar w:fldCharType="separate"/>
            </w:r>
            <w:r>
              <w:t>15</w:t>
            </w:r>
            <w:r>
              <w:fldChar w:fldCharType="end"/>
            </w:r>
            <w:r>
              <w:t>)</w:t>
            </w:r>
            <w:bookmarkEnd w:id="45"/>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rPr>
                <w:rFonts w:hint="default"/>
                <w:lang w:val="en-US"/>
              </w:rP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w:rPr>
                    <w:rFonts w:hint="default"/>
                    <w:lang w:val="en-US"/>
                  </w:rPr>
                  <m:t>,</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6" w:name="_RefEq4_21"/>
            <w:r>
              <w:t>(4-</w:t>
            </w:r>
            <w:r>
              <w:fldChar w:fldCharType="begin"/>
            </w:r>
            <w:r>
              <w:instrText xml:space="preserve"> SEQ Eq4 \* ARABIC </w:instrText>
            </w:r>
            <w:r>
              <w:fldChar w:fldCharType="separate"/>
            </w:r>
            <w:r>
              <w:t>16</w:t>
            </w:r>
            <w:r>
              <w:fldChar w:fldCharType="end"/>
            </w:r>
            <w:r>
              <w:t>)</w:t>
            </w:r>
            <w:bookmarkEnd w:id="46"/>
          </w:p>
        </w:tc>
      </w:tr>
    </w:tbl>
    <w:p w14:paraId="0B274885">
      <w:pPr>
        <w:ind w:firstLine="420"/>
        <w:jc w:val="both"/>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7"/>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left"/>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left"/>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left"/>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left"/>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left"/>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left"/>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left"/>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left"/>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left"/>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left"/>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left"/>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left"/>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left"/>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left"/>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left"/>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left"/>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left"/>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left"/>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left"/>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left"/>
            </w:pPr>
            <w:r>
              <w:rPr>
                <w:rFonts w:ascii="Times New Roman" w:hAnsi="Times New Roman" w:eastAsia="宋体"/>
                <w:b w:val="0"/>
                <w:sz w:val="19"/>
              </w:rPr>
              <w:t>单样本随机估计</w:t>
            </w:r>
          </w:p>
        </w:tc>
      </w:tr>
    </w:tbl>
    <w:p w14:paraId="26F667FD">
      <w:pPr>
        <w:ind w:firstLine="420"/>
        <w:jc w:val="both"/>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both"/>
      </w:pPr>
      <w:r>
        <w:t>全词表方案以完整词表作为支持集，并直接使用师生完整概率分布计算散度，是信息最完整的基线。Top-K 方案则由教师分布确定支持集：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48" w:name="_RefEq4_24"/>
            <w:r>
              <w:t>(4-</w:t>
            </w:r>
            <w:r>
              <w:fldChar w:fldCharType="begin"/>
            </w:r>
            <w:r>
              <w:instrText xml:space="preserve"> SEQ Eq4 \* ARABIC </w:instrText>
            </w:r>
            <w:r>
              <w:fldChar w:fldCharType="separate"/>
            </w:r>
            <w:r>
              <w:t>17</w:t>
            </w:r>
            <w:r>
              <w:fldChar w:fldCharType="end"/>
            </w:r>
            <w:r>
              <w:t>)</w:t>
            </w:r>
            <w:bookmarkEnd w:id="48"/>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p>
        </w:tc>
      </w:tr>
    </w:tbl>
    <w:p w14:paraId="1E71EBD7">
      <w:pPr>
        <w:ind w:firstLine="420"/>
        <w:jc w:val="both"/>
      </w:pPr>
      <w:r>
        <w:t>在同一支持集上分别归一化师生概率，以避免把教师尾部概率无意并入某个保留 token：</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rPr>
                <w:rFonts w:hint="default"/>
                <w:lang w:val="en-US"/>
              </w:rP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9" w:name="_RefEq4_26"/>
            <w:r>
              <w:t>(4-</w:t>
            </w:r>
            <w:r>
              <w:fldChar w:fldCharType="begin"/>
            </w:r>
            <w:r>
              <w:instrText xml:space="preserve"> SEQ Eq4 \* ARABIC </w:instrText>
            </w:r>
            <w:r>
              <w:fldChar w:fldCharType="separate"/>
            </w:r>
            <w:r>
              <w:t>18</w:t>
            </w:r>
            <w:r>
              <w:fldChar w:fldCharType="end"/>
            </w:r>
            <w:r>
              <w:t>)</w:t>
            </w:r>
            <w:bookmarkEnd w:id="49"/>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rPr>
                <w:rFonts w:hint="default"/>
                <w:lang w:val="en-US"/>
              </w:rP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A7200DC">
            <w:pPr>
              <w:spacing w:before="0" w:after="0"/>
              <w:jc w:val="right"/>
              <w:rPr>
                <w:rFonts w:hint="default"/>
                <w:lang w:val="en-US"/>
              </w:rPr>
            </w:pPr>
          </w:p>
        </w:tc>
      </w:tr>
    </w:tbl>
    <w:p w14:paraId="718B00F7">
      <w:pPr>
        <w:ind w:firstLine="420"/>
        <w:jc w:val="both"/>
      </w:pPr>
      <w:r>
        <w:t>K1 sampled-token 将词表求和改写为单样本重要性估计。样本从提议分布中抽取，Forward KL 与 Reverse KL 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rPr>
                <w:rFonts w:hint="default"/>
                <w:lang w:val="en-US"/>
              </w:rP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50" w:name="_RefEq4_29"/>
            <w:r>
              <w:t>(4-</w:t>
            </w:r>
            <w:r>
              <w:fldChar w:fldCharType="begin"/>
            </w:r>
            <w:r>
              <w:instrText xml:space="preserve"> SEQ Eq4 \* ARABIC </w:instrText>
            </w:r>
            <w:r>
              <w:fldChar w:fldCharType="separate"/>
            </w:r>
            <w:r>
              <w:t>19</w:t>
            </w:r>
            <w:r>
              <w:fldChar w:fldCharType="end"/>
            </w:r>
            <w:r>
              <w:t>)</w:t>
            </w:r>
            <w:bookmarkEnd w:id="50"/>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rPr>
                <w:rFonts w:hint="default"/>
                <w:lang w:val="en-US"/>
              </w:rP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58B0A796">
            <w:pPr>
              <w:spacing w:before="0" w:after="0"/>
              <w:jc w:val="right"/>
            </w:pPr>
          </w:p>
        </w:tc>
      </w:tr>
    </w:tbl>
    <w:p w14:paraId="3D436604">
      <w:pPr>
        <w:ind w:firstLine="420"/>
        <w:jc w:val="both"/>
      </w:pPr>
      <w:r>
        <w:t>为控制方差，提议分布必须覆盖被估计分布的支持集，并记录其定义、随机种子和概率下界。所有方案统一采用 log-sum-exp、有效位置归一化和有限值检查，以避免混合精度下的 NaN 或 Inf。</w:t>
      </w:r>
    </w:p>
    <w:p w14:paraId="264AD57D">
      <w:pPr>
        <w:pStyle w:val="3"/>
        <w:jc w:val="left"/>
      </w:pPr>
      <w:bookmarkStart w:id="51" w:name="_Toc534757053"/>
      <w:r>
        <w:rPr>
          <w:rFonts w:ascii="黑体" w:hAnsi="黑体" w:eastAsia="黑体" w:cs="黑体"/>
          <w:b/>
          <w:color w:val="000000"/>
          <w:sz w:val="24"/>
        </w:rPr>
        <w:t>4.5 评价指标和公平性</w:t>
      </w:r>
      <w:bookmarkEnd w:id="51"/>
    </w:p>
    <w:p w14:paraId="1E75A657">
      <w:pPr>
        <w:ind w:firstLine="420"/>
        <w:jc w:val="both"/>
      </w:pPr>
      <w:r>
        <w:t>本文从任务正确性、训练稳定性和资源成本三个层面评价方法，具体指标及其作用见表 4-3。</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52"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52"/>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53" w:name="_RefEq4_32"/>
            <w:r>
              <w:t>(4-</w:t>
            </w:r>
            <w:r>
              <w:fldChar w:fldCharType="begin"/>
            </w:r>
            <w:r>
              <w:instrText xml:space="preserve"> SEQ Eq4 \* ARABIC </w:instrText>
            </w:r>
            <w:r>
              <w:fldChar w:fldCharType="separate"/>
            </w:r>
            <w:r>
              <w:t>20</w:t>
            </w:r>
            <w:r>
              <w:fldChar w:fldCharType="end"/>
            </w:r>
            <w:r>
              <w:t>)</w:t>
            </w:r>
            <w:bookmarkEnd w:id="53"/>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54" w:name="_RefEq4_33"/>
            <w:r>
              <w:t>(4-</w:t>
            </w:r>
            <w:r>
              <w:fldChar w:fldCharType="begin"/>
            </w:r>
            <w:r>
              <w:instrText xml:space="preserve"> SEQ Eq4 \* ARABIC </w:instrText>
            </w:r>
            <w:r>
              <w:fldChar w:fldCharType="separate"/>
            </w:r>
            <w:r>
              <w:t>21</w:t>
            </w:r>
            <w:r>
              <w:fldChar w:fldCharType="end"/>
            </w:r>
            <w:r>
              <w:t>)</w:t>
            </w:r>
            <w:bookmarkEnd w:id="54"/>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5" w:name="_RefEq4_34"/>
            <w:r>
              <w:t>(4-</w:t>
            </w:r>
            <w:r>
              <w:fldChar w:fldCharType="begin"/>
            </w:r>
            <w:r>
              <w:instrText xml:space="preserve"> SEQ Eq4 \* ARABIC </w:instrText>
            </w:r>
            <w:r>
              <w:fldChar w:fldCharType="separate"/>
            </w:r>
            <w:r>
              <w:t>22</w:t>
            </w:r>
            <w:r>
              <w:fldChar w:fldCharType="end"/>
            </w:r>
            <w:r>
              <w:t>)</w:t>
            </w:r>
            <w:bookmarkEnd w:id="55"/>
          </w:p>
        </w:tc>
      </w:tr>
    </w:tbl>
    <w:p w14:paraId="04F1D07C">
      <w:pPr>
        <w:ind w:firstLine="420"/>
        <w:jc w:val="both"/>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56" w:name="_RefEq4_35"/>
            <w:r>
              <w:t>(4-</w:t>
            </w:r>
            <w:r>
              <w:fldChar w:fldCharType="begin"/>
            </w:r>
            <w:r>
              <w:instrText xml:space="preserve"> SEQ Eq4 \* ARABIC </w:instrText>
            </w:r>
            <w:r>
              <w:fldChar w:fldCharType="separate"/>
            </w:r>
            <w:r>
              <w:t>23</w:t>
            </w:r>
            <w:r>
              <w:fldChar w:fldCharType="end"/>
            </w:r>
            <w:r>
              <w:t>)</w:t>
            </w:r>
            <w:bookmarkEnd w:id="56"/>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57" w:name="_RefEq4_36"/>
            <w:r>
              <w:t>(4-</w:t>
            </w:r>
            <w:r>
              <w:fldChar w:fldCharType="begin"/>
            </w:r>
            <w:r>
              <w:instrText xml:space="preserve"> SEQ Eq4 \* ARABIC </w:instrText>
            </w:r>
            <w:r>
              <w:fldChar w:fldCharType="separate"/>
            </w:r>
            <w:r>
              <w:t>24</w:t>
            </w:r>
            <w:r>
              <w:fldChar w:fldCharType="end"/>
            </w:r>
            <w:r>
              <w:t>)</w:t>
            </w:r>
            <w:bookmarkEnd w:id="57"/>
          </w:p>
        </w:tc>
      </w:tr>
    </w:tbl>
    <w:p w14:paraId="3E2F0339">
      <w:pPr>
        <w:ind w:firstLine="420"/>
        <w:jc w:val="both"/>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58" w:name="_RefEq4_37"/>
            <w:r>
              <w:t>(4-</w:t>
            </w:r>
            <w:r>
              <w:fldChar w:fldCharType="begin"/>
            </w:r>
            <w:r>
              <w:instrText xml:space="preserve"> SEQ Eq4 \* ARABIC </w:instrText>
            </w:r>
            <w:r>
              <w:fldChar w:fldCharType="separate"/>
            </w:r>
            <w:r>
              <w:t>25</w:t>
            </w:r>
            <w:r>
              <w:fldChar w:fldCharType="end"/>
            </w:r>
            <w:r>
              <w:t>)</w:t>
            </w:r>
            <w:bookmarkEnd w:id="58"/>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59" w:name="_RefEq4_38"/>
            <w:r>
              <w:t>(4-</w:t>
            </w:r>
            <w:r>
              <w:fldChar w:fldCharType="begin"/>
            </w:r>
            <w:r>
              <w:instrText xml:space="preserve"> SEQ Eq4 \* ARABIC </w:instrText>
            </w:r>
            <w:r>
              <w:fldChar w:fldCharType="separate"/>
            </w:r>
            <w:r>
              <w:t>26</w:t>
            </w:r>
            <w:r>
              <w:fldChar w:fldCharType="end"/>
            </w:r>
            <w:r>
              <w:t>)</w:t>
            </w:r>
            <w:bookmarkEnd w:id="59"/>
          </w:p>
        </w:tc>
      </w:tr>
    </w:tbl>
    <w:p w14:paraId="2DE6B7B8">
      <w:pPr>
        <w:ind w:firstLine="420"/>
        <w:jc w:val="both"/>
      </w:pPr>
      <w:r>
        <w:t>除总成本外，本文同时报告教师处理 token 数、峰值显存、墙钟时间和推理吞吐。吞吐量按生成 token 数除以墙钟时间计算，从而避免只比较最终准确率而忽略不同监督方式实际消耗的计算资源。</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60" w:name="_RefEq4_39"/>
            <w:r>
              <w:t>(4-</w:t>
            </w:r>
            <w:r>
              <w:fldChar w:fldCharType="begin"/>
            </w:r>
            <w:r>
              <w:instrText xml:space="preserve"> SEQ Eq4 \* ARABIC </w:instrText>
            </w:r>
            <w:r>
              <w:fldChar w:fldCharType="separate"/>
            </w:r>
            <w:r>
              <w:t>27</w:t>
            </w:r>
            <w:r>
              <w:fldChar w:fldCharType="end"/>
            </w:r>
            <w:r>
              <w:t>)</w:t>
            </w:r>
            <w:bookmarkEnd w:id="60"/>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61" w:name="_RefEq4_40"/>
            <w:r>
              <w:t>(4-</w:t>
            </w:r>
            <w:r>
              <w:fldChar w:fldCharType="begin"/>
            </w:r>
            <w:r>
              <w:instrText xml:space="preserve"> SEQ Eq4 \* ARABIC </w:instrText>
            </w:r>
            <w:r>
              <w:fldChar w:fldCharType="separate"/>
            </w:r>
            <w:r>
              <w:t>28</w:t>
            </w:r>
            <w:r>
              <w:fldChar w:fldCharType="end"/>
            </w:r>
            <w:r>
              <w:t>)</w:t>
            </w:r>
            <w:bookmarkEnd w:id="61"/>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62" w:name="_Toc442727076"/>
      <w:r>
        <w:rPr>
          <w:rFonts w:ascii="黑体" w:hAnsi="黑体" w:eastAsia="黑体" w:cs="黑体"/>
          <w:b/>
          <w:color w:val="000000"/>
          <w:sz w:val="24"/>
        </w:rPr>
        <w:t>4.6 可行性分析</w:t>
      </w:r>
      <w:bookmarkEnd w:id="62"/>
    </w:p>
    <w:p w14:paraId="40E26365">
      <w:pPr>
        <w:ind w:firstLine="420"/>
        <w:jc w:val="both"/>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63" w:name="_Toc2030613124"/>
      <w:r>
        <w:rPr>
          <w:rFonts w:ascii="黑体" w:hAnsi="黑体" w:eastAsia="黑体" w:cs="黑体"/>
          <w:b/>
          <w:color w:val="000000"/>
          <w:sz w:val="28"/>
        </w:rPr>
        <w:t>5．进度安排，预期达到的目标</w:t>
      </w:r>
      <w:bookmarkEnd w:id="63"/>
    </w:p>
    <w:p w14:paraId="4D67942D">
      <w:pPr>
        <w:pStyle w:val="3"/>
      </w:pPr>
      <w:bookmarkStart w:id="64" w:name="_Toc704656944"/>
      <w:r>
        <w:rPr>
          <w:rFonts w:ascii="黑体" w:hAnsi="黑体" w:eastAsia="黑体" w:cs="黑体"/>
          <w:b/>
          <w:color w:val="000000"/>
          <w:sz w:val="24"/>
        </w:rPr>
        <w:t>5.1 进度安排</w:t>
      </w:r>
      <w:bookmarkEnd w:id="64"/>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65"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5"/>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66"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66"/>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67" w:name="_Toc1944428250"/>
      <w:r>
        <w:rPr>
          <w:rFonts w:ascii="黑体" w:hAnsi="黑体" w:eastAsia="黑体" w:cs="黑体"/>
          <w:b/>
          <w:color w:val="000000"/>
          <w:sz w:val="24"/>
        </w:rPr>
        <w:t>5.2 预期达到的目标</w:t>
      </w:r>
      <w:bookmarkEnd w:id="67"/>
    </w:p>
    <w:p w14:paraId="5C45F9E1">
      <w:pPr>
        <w:pStyle w:val="17"/>
        <w:ind w:firstLine="420"/>
        <w:jc w:val="both"/>
      </w:pPr>
      <w:r>
        <w:t>1. 建立以 Qwen3-0.6B 为学生、冻结的 Qwen3-4B 为教师的 LoRA 在线策略蒸馏流程。</w:t>
      </w:r>
    </w:p>
    <w:p w14:paraId="661280AE">
      <w:pPr>
        <w:pStyle w:val="17"/>
        <w:ind w:firstLine="420"/>
        <w:jc w:val="both"/>
      </w:pPr>
      <w:r>
        <w:t>2. 在公开 Function Calling 数据上比较 Forward KL、Reverse KL、广义散度，以及全词表、Top-K 和 K1 sampled-token 三种监督方案。</w:t>
      </w:r>
    </w:p>
    <w:p w14:paraId="4D24F9B5">
      <w:pPr>
        <w:pStyle w:val="17"/>
        <w:ind w:firstLine="420"/>
        <w:jc w:val="both"/>
      </w:pPr>
      <w:r>
        <w:t>3. 建立分层评测方法，分别分析输出格式、函数选择、参数生成、调用执行和端到端任务完成情况。</w:t>
      </w:r>
    </w:p>
    <w:p w14:paraId="444409D5">
      <w:pPr>
        <w:pStyle w:val="17"/>
        <w:ind w:firstLine="420"/>
        <w:jc w:val="both"/>
      </w:pPr>
      <w:r>
        <w:t>4. 系统记录各方法的训练稳定性、教师反馈量、训练资源和部署表现。</w:t>
      </w:r>
    </w:p>
    <w:p w14:paraId="1F6068D2">
      <w:pPr>
        <w:pStyle w:val="17"/>
        <w:ind w:firstLine="420"/>
        <w:jc w:val="both"/>
      </w:pPr>
      <w:r>
        <w:t>5. 通过 vLLM 或自建测试程序验证最终模型，形成任务性能、训练成本和推理性能的对比结果。</w:t>
      </w:r>
    </w:p>
    <w:p w14:paraId="34BA0ABE">
      <w:pPr>
        <w:pStyle w:val="17"/>
        <w:ind w:firstLine="420"/>
        <w:jc w:val="both"/>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68" w:name="_Toc1746941351"/>
      <w:r>
        <w:rPr>
          <w:rFonts w:ascii="黑体" w:hAnsi="黑体" w:eastAsia="黑体" w:cs="黑体"/>
          <w:b/>
          <w:color w:val="000000"/>
          <w:sz w:val="28"/>
        </w:rPr>
        <w:t>6．课题已具备和所需的条件、经费</w:t>
      </w:r>
      <w:bookmarkEnd w:id="68"/>
    </w:p>
    <w:p w14:paraId="15508BCB">
      <w:pPr>
        <w:pStyle w:val="3"/>
      </w:pPr>
      <w:bookmarkStart w:id="69" w:name="_Toc446864473"/>
      <w:r>
        <w:rPr>
          <w:rFonts w:ascii="黑体" w:hAnsi="黑体" w:eastAsia="黑体" w:cs="黑体"/>
          <w:b/>
          <w:color w:val="000000"/>
          <w:sz w:val="24"/>
        </w:rPr>
        <w:t>6.1 已具备条件</w:t>
      </w:r>
      <w:bookmarkEnd w:id="69"/>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70" w:name="_Toc700884152"/>
      <w:r>
        <w:rPr>
          <w:rFonts w:ascii="黑体" w:hAnsi="黑体" w:eastAsia="黑体" w:cs="黑体"/>
          <w:b/>
          <w:color w:val="000000"/>
          <w:sz w:val="24"/>
        </w:rPr>
        <w:t>6.2 所需条件</w:t>
      </w:r>
      <w:bookmarkEnd w:id="70"/>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71" w:name="_Toc812138869"/>
      <w:r>
        <w:rPr>
          <w:rFonts w:ascii="黑体" w:hAnsi="黑体" w:eastAsia="黑体" w:cs="黑体"/>
          <w:b/>
          <w:color w:val="000000"/>
          <w:sz w:val="24"/>
        </w:rPr>
        <w:t>6.3 经费</w:t>
      </w:r>
      <w:bookmarkEnd w:id="71"/>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72"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2"/>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73" w:name="_Toc211910951"/>
      <w:r>
        <w:rPr>
          <w:rFonts w:ascii="黑体" w:hAnsi="黑体" w:eastAsia="黑体" w:cs="黑体"/>
          <w:b/>
          <w:color w:val="000000"/>
          <w:sz w:val="28"/>
        </w:rPr>
        <w:t>7．研究过程中可能遇到的困难和问题，解决的措施</w:t>
      </w:r>
      <w:bookmarkEnd w:id="73"/>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74"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4"/>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75" w:name="_Toc1059466731"/>
      <w:r>
        <w:rPr>
          <w:rFonts w:ascii="黑体" w:hAnsi="黑体" w:eastAsia="黑体" w:cs="黑体"/>
          <w:b/>
          <w:color w:val="000000"/>
          <w:sz w:val="28"/>
        </w:rPr>
        <w:t>8．主要参考文献</w:t>
      </w:r>
      <w:bookmarkEnd w:id="75"/>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47DDF6"/>
    <w:rsid w:val="4FD9A5F8"/>
    <w:rsid w:val="4FFF8CCD"/>
    <w:rsid w:val="5B7F2A6F"/>
    <w:rsid w:val="5BBFD06E"/>
    <w:rsid w:val="5BEE7428"/>
    <w:rsid w:val="5DFFEF69"/>
    <w:rsid w:val="5F3F4A54"/>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D6C748"/>
    <w:rsid w:val="7FFFCF3E"/>
    <w:rsid w:val="94EE1148"/>
    <w:rsid w:val="9AE84B35"/>
    <w:rsid w:val="9FB74D0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75DB6D"/>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735</Words>
  <Characters>4192</Characters>
  <Lines>34</Lines>
  <Paragraphs>9</Paragraphs>
  <TotalTime>6</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2022-10-16T18:38:00Z</dcterms:created>
  <dc:creator>董 睿璞</dc:creator>
  <cp:lastModifiedBy>Dr.Oppenheimer</cp:lastModifiedBy>
  <dcterms:modified xsi:type="dcterms:W3CDTF">2026-09-27T11:31:06Z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