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ACA72">
      <w:pPr>
        <w:spacing w:before="78" w:after="78"/>
        <w:ind w:left="420" w:leftChars="0" w:firstLine="420" w:firstLineChars="0"/>
        <w:jc w:val="both"/>
        <w:rPr>
          <w:rFonts w:eastAsia="楷体_GB2312"/>
          <w:b/>
          <w:spacing w:val="40"/>
          <w:sz w:val="36"/>
        </w:rPr>
      </w:pPr>
    </w:p>
    <w:p w14:paraId="0EE9D77E">
      <w:pPr>
        <w:spacing w:before="78" w:after="78"/>
        <w:ind w:firstLine="883"/>
        <w:jc w:val="center"/>
        <w:rPr>
          <w:rFonts w:eastAsia="楷体_GB2312"/>
          <w:b/>
          <w:spacing w:val="40"/>
          <w:sz w:val="36"/>
        </w:rPr>
      </w:pPr>
    </w:p>
    <w:p w14:paraId="3BFCB7BE">
      <w:pPr>
        <w:spacing w:before="78" w:after="78"/>
        <w:jc w:val="center"/>
        <w:rPr>
          <w:rFonts w:eastAsia="楷体_GB2312"/>
          <w:b/>
          <w:spacing w:val="40"/>
          <w:sz w:val="36"/>
        </w:rPr>
      </w:pPr>
      <w:r>
        <w:rPr>
          <w:rFonts w:eastAsia="楷体_GB2312"/>
          <w:b/>
          <w:spacing w:val="40"/>
          <w:sz w:val="36"/>
        </w:rPr>
        <w:drawing>
          <wp:inline distT="0" distB="0" distL="0" distR="0">
            <wp:extent cx="2137410" cy="403860"/>
            <wp:effectExtent l="0" t="0" r="0" b="0"/>
            <wp:docPr id="1" name="图1 研究框架" descr="研究问题、研究方案与研究目的的三层递进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 研究框架" descr="研究问题、研究方案与研究目的的三层递进关系"/>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37410" cy="403860"/>
                    </a:xfrm>
                    <a:prstGeom prst="rect">
                      <a:avLst/>
                    </a:prstGeom>
                    <a:noFill/>
                    <a:ln>
                      <a:noFill/>
                    </a:ln>
                  </pic:spPr>
                </pic:pic>
              </a:graphicData>
            </a:graphic>
          </wp:inline>
        </w:drawing>
      </w:r>
    </w:p>
    <w:p w14:paraId="6921CBFD">
      <w:pPr>
        <w:spacing w:before="78" w:after="78"/>
        <w:ind w:firstLine="883"/>
        <w:jc w:val="center"/>
        <w:rPr>
          <w:rFonts w:eastAsia="楷体_GB2312"/>
          <w:b/>
          <w:spacing w:val="40"/>
          <w:sz w:val="36"/>
        </w:rPr>
      </w:pPr>
    </w:p>
    <w:p w14:paraId="509B8C31">
      <w:pPr>
        <w:spacing w:before="78" w:after="78"/>
        <w:jc w:val="center"/>
        <w:rPr>
          <w:b/>
          <w:spacing w:val="40"/>
          <w:sz w:val="48"/>
        </w:rPr>
      </w:pPr>
      <w:r>
        <w:rPr>
          <w:rFonts w:hint="eastAsia" w:ascii="黑体" w:hAnsi="黑体" w:eastAsia="黑体" w:cs="黑体"/>
          <w:b/>
          <w:color w:val="000000"/>
          <w:spacing w:val="40"/>
          <w:sz w:val="48"/>
        </w:rPr>
        <w:t>毕业设计（论文）开题报告</w:t>
      </w:r>
    </w:p>
    <w:p w14:paraId="7A5E0120">
      <w:pPr>
        <w:spacing w:before="78" w:after="78"/>
        <w:ind w:firstLine="643"/>
        <w:rPr>
          <w:b/>
          <w:sz w:val="32"/>
        </w:rPr>
      </w:pPr>
    </w:p>
    <w:p w14:paraId="035E13DA">
      <w:pPr>
        <w:spacing w:before="78" w:after="78"/>
        <w:rPr>
          <w:b/>
          <w:sz w:val="32"/>
        </w:rPr>
      </w:pPr>
    </w:p>
    <w:p w14:paraId="4B2C42F9">
      <w:pPr>
        <w:spacing w:before="78" w:after="78"/>
        <w:ind w:firstLine="701" w:firstLineChars="250"/>
        <w:rPr>
          <w:b/>
          <w:sz w:val="28"/>
          <w:szCs w:val="21"/>
        </w:rPr>
      </w:pPr>
      <w:r>
        <w:rPr>
          <w:rFonts w:hint="eastAsia" w:ascii="黑体" w:hAnsi="黑体" w:eastAsia="黑体" w:cs="黑体"/>
          <w:b/>
          <w:color w:val="000000"/>
          <w:sz w:val="28"/>
          <w:szCs w:val="21"/>
        </w:rPr>
        <w:t>题</w:t>
      </w:r>
      <w:r>
        <w:rPr>
          <w:rFonts w:ascii="黑体" w:hAnsi="黑体" w:eastAsia="黑体" w:cs="黑体"/>
          <w:b/>
          <w:color w:val="000000"/>
          <w:sz w:val="28"/>
          <w:szCs w:val="21"/>
        </w:rPr>
        <w:t xml:space="preserve"> </w:t>
      </w:r>
      <w:r>
        <w:rPr>
          <w:rFonts w:hint="eastAsia" w:ascii="黑体" w:hAnsi="黑体" w:eastAsia="黑体" w:cs="黑体"/>
          <w:b/>
          <w:color w:val="000000"/>
          <w:sz w:val="28"/>
          <w:szCs w:val="21"/>
        </w:rPr>
        <w:t>目：基于在线策略蒸馏的大语言模型后训练方法研究</w:t>
      </w:r>
    </w:p>
    <w:p w14:paraId="7C122DCF">
      <w:pPr>
        <w:spacing w:before="78" w:after="78"/>
        <w:ind w:firstLine="643"/>
        <w:rPr>
          <w:b/>
          <w:sz w:val="32"/>
        </w:rPr>
      </w:pPr>
    </w:p>
    <w:p w14:paraId="607458DB">
      <w:pPr>
        <w:spacing w:before="78" w:after="78"/>
        <w:ind w:firstLine="643"/>
        <w:rPr>
          <w:b/>
          <w:sz w:val="32"/>
          <w:u w:val="single"/>
        </w:rPr>
      </w:pPr>
    </w:p>
    <w:p w14:paraId="6A81B0BC">
      <w:pPr>
        <w:spacing w:before="78" w:after="78"/>
        <w:ind w:firstLine="643"/>
        <w:rPr>
          <w:b/>
          <w:sz w:val="32"/>
          <w:u w:val="single"/>
        </w:rPr>
      </w:pPr>
    </w:p>
    <w:p w14:paraId="0C65FAB6">
      <w:pPr>
        <w:spacing w:before="78" w:after="78"/>
        <w:ind w:firstLine="643"/>
        <w:rPr>
          <w:b/>
          <w:sz w:val="32"/>
          <w:u w:val="single"/>
        </w:rPr>
      </w:pPr>
    </w:p>
    <w:p w14:paraId="3F4FC680">
      <w:pPr>
        <w:spacing w:before="249" w:beforeLines="80" w:after="60"/>
        <w:ind w:firstLine="2197" w:firstLineChars="686"/>
        <w:rPr>
          <w:b/>
          <w:sz w:val="32"/>
          <w:u w:val="single"/>
        </w:rPr>
      </w:pPr>
      <w:r>
        <w:rPr>
          <w:rFonts w:hint="eastAsia"/>
          <w:b/>
          <w:sz w:val="32"/>
        </w:rPr>
        <w:t>专</w:t>
      </w:r>
      <w:r>
        <w:rPr>
          <w:b/>
          <w:sz w:val="32"/>
        </w:rPr>
        <w:t xml:space="preserve">    </w:t>
      </w:r>
      <w:r>
        <w:rPr>
          <w:rFonts w:hint="eastAsia"/>
          <w:b/>
          <w:sz w:val="32"/>
        </w:rPr>
        <w:t>业</w:t>
      </w:r>
      <w:r>
        <w:rPr>
          <w:b/>
          <w:sz w:val="32"/>
        </w:rPr>
        <w:t xml:space="preserve"> </w:t>
      </w:r>
      <w:r>
        <w:rPr>
          <w:b/>
          <w:sz w:val="32"/>
          <w:u w:val="single"/>
        </w:rPr>
        <w:t xml:space="preserve">  </w:t>
      </w:r>
      <w:r>
        <w:rPr>
          <w:rFonts w:hint="eastAsia"/>
          <w:b/>
          <w:sz w:val="32"/>
          <w:u w:val="single"/>
          <w:lang w:val="en-US" w:eastAsia="zh-CN"/>
        </w:rPr>
        <w:t>计算机科学与技术</w:t>
      </w:r>
      <w:r>
        <w:rPr>
          <w:b/>
          <w:sz w:val="32"/>
          <w:u w:val="single"/>
        </w:rPr>
        <w:t xml:space="preserve">   </w:t>
      </w:r>
    </w:p>
    <w:p w14:paraId="727EE0AF">
      <w:pPr>
        <w:spacing w:before="249" w:beforeLines="80" w:after="60"/>
        <w:ind w:firstLine="2197" w:firstLineChars="686"/>
        <w:rPr>
          <w:b/>
          <w:sz w:val="32"/>
          <w:u w:val="single"/>
        </w:rPr>
      </w:pPr>
      <w:r>
        <w:rPr>
          <w:rFonts w:hint="eastAsia"/>
          <w:b/>
          <w:sz w:val="32"/>
        </w:rPr>
        <w:t>学</w:t>
      </w:r>
      <w:r>
        <w:rPr>
          <w:b/>
          <w:sz w:val="32"/>
        </w:rPr>
        <w:t xml:space="preserve">    </w:t>
      </w:r>
      <w:r>
        <w:rPr>
          <w:rFonts w:hint="eastAsia"/>
          <w:b/>
          <w:sz w:val="32"/>
        </w:rPr>
        <w:t>生</w:t>
      </w:r>
      <w:r>
        <w:rPr>
          <w:b/>
          <w:sz w:val="32"/>
        </w:rPr>
        <w:t xml:space="preserve"> </w:t>
      </w:r>
      <w:r>
        <w:rPr>
          <w:b/>
          <w:sz w:val="32"/>
          <w:u w:val="single"/>
        </w:rPr>
        <w:t xml:space="preserve">       </w:t>
      </w:r>
      <w:r>
        <w:rPr>
          <w:rFonts w:hint="eastAsia"/>
          <w:b/>
          <w:sz w:val="32"/>
          <w:u w:val="single"/>
          <w:lang w:val="en-US" w:eastAsia="zh-CN"/>
        </w:rPr>
        <w:t>张子琦</w:t>
      </w:r>
      <w:r>
        <w:rPr>
          <w:b/>
          <w:sz w:val="32"/>
          <w:u w:val="single"/>
        </w:rPr>
        <w:t xml:space="preserve">        </w:t>
      </w:r>
    </w:p>
    <w:p w14:paraId="087E7EA8">
      <w:pPr>
        <w:spacing w:before="249" w:beforeLines="80" w:after="60"/>
        <w:ind w:firstLine="2197" w:firstLineChars="686"/>
        <w:rPr>
          <w:b/>
          <w:sz w:val="32"/>
          <w:u w:val="single"/>
        </w:rPr>
      </w:pPr>
      <w:r>
        <w:rPr>
          <w:rFonts w:hint="eastAsia"/>
          <w:b/>
          <w:sz w:val="32"/>
        </w:rPr>
        <w:t>学</w:t>
      </w:r>
      <w:r>
        <w:rPr>
          <w:b/>
          <w:sz w:val="32"/>
        </w:rPr>
        <w:t xml:space="preserve">    </w:t>
      </w:r>
      <w:r>
        <w:rPr>
          <w:rFonts w:hint="eastAsia"/>
          <w:b/>
          <w:sz w:val="32"/>
        </w:rPr>
        <w:t>号</w:t>
      </w:r>
      <w:r>
        <w:rPr>
          <w:b/>
          <w:sz w:val="32"/>
        </w:rPr>
        <w:t xml:space="preserve"> </w:t>
      </w:r>
      <w:r>
        <w:rPr>
          <w:b/>
          <w:sz w:val="32"/>
          <w:u w:val="single"/>
        </w:rPr>
        <w:t xml:space="preserve">  </w:t>
      </w:r>
      <w:r>
        <w:rPr>
          <w:rFonts w:hint="eastAsia"/>
          <w:b/>
          <w:sz w:val="32"/>
          <w:u w:val="single"/>
          <w:lang w:val="en-US" w:eastAsia="zh-CN"/>
        </w:rPr>
        <w:t xml:space="preserve">   2023110966 </w:t>
      </w:r>
      <w:r>
        <w:rPr>
          <w:b/>
          <w:sz w:val="32"/>
          <w:u w:val="single"/>
        </w:rPr>
        <w:t xml:space="preserve"> </w:t>
      </w:r>
      <w:r>
        <w:rPr>
          <w:rFonts w:hint="eastAsia"/>
          <w:b/>
          <w:sz w:val="32"/>
          <w:u w:val="single"/>
          <w:lang w:val="en-US" w:eastAsia="zh-CN"/>
        </w:rPr>
        <w:t xml:space="preserve"> </w:t>
      </w:r>
      <w:r>
        <w:rPr>
          <w:b/>
          <w:sz w:val="32"/>
          <w:u w:val="single"/>
        </w:rPr>
        <w:t xml:space="preserve">   </w:t>
      </w:r>
    </w:p>
    <w:p w14:paraId="77CDA7DA">
      <w:pPr>
        <w:spacing w:before="249" w:beforeLines="80" w:after="60"/>
        <w:ind w:firstLine="2197" w:firstLineChars="686"/>
        <w:rPr>
          <w:b/>
          <w:sz w:val="32"/>
          <w:u w:val="single"/>
        </w:rPr>
      </w:pPr>
      <w:r>
        <w:rPr>
          <w:rFonts w:hint="eastAsia"/>
          <w:b/>
          <w:sz w:val="32"/>
        </w:rPr>
        <w:t>指导教师</w:t>
      </w:r>
      <w:r>
        <w:rPr>
          <w:b/>
          <w:sz w:val="32"/>
        </w:rPr>
        <w:t xml:space="preserve"> </w:t>
      </w:r>
      <w:r>
        <w:rPr>
          <w:b/>
          <w:sz w:val="32"/>
          <w:u w:val="single"/>
        </w:rPr>
        <w:t xml:space="preserve">     </w:t>
      </w:r>
      <w:r>
        <w:rPr>
          <w:rFonts w:hint="eastAsia"/>
          <w:b/>
          <w:sz w:val="32"/>
          <w:u w:val="single"/>
          <w:lang w:val="en-US" w:eastAsia="zh-CN"/>
        </w:rPr>
        <w:t xml:space="preserve"> </w:t>
      </w:r>
      <w:r>
        <w:rPr>
          <w:b/>
          <w:sz w:val="32"/>
          <w:u w:val="single"/>
        </w:rPr>
        <w:t xml:space="preserve">  </w:t>
      </w:r>
      <w:r>
        <w:rPr>
          <w:rFonts w:hint="eastAsia"/>
          <w:b/>
          <w:sz w:val="32"/>
          <w:u w:val="single"/>
          <w:lang w:val="en-US" w:eastAsia="zh-CN"/>
        </w:rPr>
        <w:t>徐冰</w:t>
      </w:r>
      <w:r>
        <w:rPr>
          <w:b/>
          <w:sz w:val="32"/>
          <w:u w:val="single"/>
        </w:rPr>
        <w:t xml:space="preserve">         </w:t>
      </w:r>
    </w:p>
    <w:p w14:paraId="27AD5893">
      <w:pPr>
        <w:spacing w:before="249" w:beforeLines="80" w:after="60"/>
        <w:ind w:firstLine="2197" w:firstLineChars="686"/>
        <w:rPr>
          <w:b/>
          <w:sz w:val="32"/>
          <w:u w:val="single"/>
        </w:rPr>
      </w:pPr>
      <w:r>
        <w:rPr>
          <w:rFonts w:hint="eastAsia"/>
          <w:b/>
          <w:sz w:val="32"/>
        </w:rPr>
        <w:t>日</w:t>
      </w:r>
      <w:r>
        <w:rPr>
          <w:b/>
          <w:sz w:val="32"/>
        </w:rPr>
        <w:t xml:space="preserve">    </w:t>
      </w:r>
      <w:r>
        <w:rPr>
          <w:rFonts w:hint="eastAsia"/>
          <w:b/>
          <w:sz w:val="32"/>
        </w:rPr>
        <w:t>期</w:t>
      </w:r>
      <w:r>
        <w:rPr>
          <w:b/>
          <w:sz w:val="32"/>
        </w:rPr>
        <w:t xml:space="preserve"> </w:t>
      </w:r>
      <w:r>
        <w:rPr>
          <w:b/>
          <w:sz w:val="32"/>
          <w:u w:val="single"/>
        </w:rPr>
        <w:t xml:space="preserve">        </w:t>
      </w:r>
      <w:r>
        <w:rPr>
          <w:rFonts w:hint="eastAsia"/>
          <w:b/>
          <w:sz w:val="32"/>
          <w:u w:val="single"/>
          <w:lang w:val="en-US" w:eastAsia="zh-CN"/>
        </w:rPr>
        <w:t>2026/9/25</w:t>
      </w:r>
      <w:r>
        <w:rPr>
          <w:b/>
          <w:sz w:val="32"/>
          <w:u w:val="single"/>
        </w:rPr>
        <w:t xml:space="preserve">     </w:t>
      </w:r>
    </w:p>
    <w:p w14:paraId="72043E55">
      <w:pPr>
        <w:sectPr>
          <w:pgSz w:w="11906" w:h="16838"/>
          <w:pgMar w:top="1440" w:right="1800" w:bottom="1440" w:left="1800" w:header="851" w:footer="992" w:gutter="0"/>
          <w:cols w:space="425" w:num="1"/>
          <w:docGrid w:type="lines" w:linePitch="312" w:charSpace="0"/>
        </w:sectPr>
      </w:pPr>
    </w:p>
    <w:p w14:paraId="68E0725A">
      <w:pPr>
        <w:spacing w:after="160" w:line="240" w:lineRule="auto"/>
        <w:jc w:val="center"/>
      </w:pPr>
      <w:r>
        <w:rPr>
          <w:rFonts w:ascii="Times New Roman" w:hAnsi="Times New Roman" w:eastAsia="Heiti SC"/>
          <w:b/>
          <w:sz w:val="32"/>
        </w:rPr>
        <w:t>目  录</w:t>
      </w:r>
    </w:p>
    <w:p w14:paraId="31C77235">
      <w:pPr>
        <w:pStyle w:val="7"/>
        <w:tabs>
          <w:tab w:val="right" w:leader="dot" w:pos="8306"/>
        </w:tabs>
      </w:pPr>
      <w:r>
        <w:fldChar w:fldCharType="begin"/>
      </w:r>
      <w:r>
        <w:instrText xml:space="preserve"> TOC \o "1-2" \h \z \u </w:instrText>
      </w:r>
      <w:r>
        <w:fldChar w:fldCharType="separate"/>
      </w:r>
      <w:r>
        <w:fldChar w:fldCharType="begin"/>
      </w:r>
      <w:r>
        <w:instrText xml:space="preserve"> HYPERLINK \l _Toc1147394467 </w:instrText>
      </w:r>
      <w:r>
        <w:fldChar w:fldCharType="separate"/>
      </w:r>
      <w:r>
        <w:rPr>
          <w:rFonts w:ascii="黑体" w:hAnsi="黑体" w:eastAsia="黑体" w:cs="黑体"/>
        </w:rPr>
        <w:t>1．课题来源及研究的目的和意义</w:t>
      </w:r>
      <w:r>
        <w:tab/>
      </w:r>
      <w:r>
        <w:fldChar w:fldCharType="begin"/>
      </w:r>
      <w:r>
        <w:instrText xml:space="preserve"> PAGEREF _Toc1147394467 \h </w:instrText>
      </w:r>
      <w:r>
        <w:fldChar w:fldCharType="separate"/>
      </w:r>
      <w:r>
        <w:t>4</w:t>
      </w:r>
      <w:r>
        <w:fldChar w:fldCharType="end"/>
      </w:r>
      <w:r>
        <w:fldChar w:fldCharType="end"/>
      </w:r>
    </w:p>
    <w:p w14:paraId="3C61E96A">
      <w:pPr>
        <w:pStyle w:val="8"/>
        <w:tabs>
          <w:tab w:val="right" w:leader="dot" w:pos="8306"/>
        </w:tabs>
      </w:pPr>
      <w:r>
        <w:fldChar w:fldCharType="begin"/>
      </w:r>
      <w:r>
        <w:instrText xml:space="preserve"> HYPERLINK \l _Toc2003140456 </w:instrText>
      </w:r>
      <w:r>
        <w:fldChar w:fldCharType="separate"/>
      </w:r>
      <w:r>
        <w:rPr>
          <w:rFonts w:ascii="黑体" w:hAnsi="黑体" w:eastAsia="黑体" w:cs="黑体"/>
        </w:rPr>
        <w:t>1.1 课题来源</w:t>
      </w:r>
      <w:r>
        <w:tab/>
      </w:r>
      <w:r>
        <w:fldChar w:fldCharType="begin"/>
      </w:r>
      <w:r>
        <w:instrText xml:space="preserve"> PAGEREF _Toc2003140456 \h </w:instrText>
      </w:r>
      <w:r>
        <w:fldChar w:fldCharType="separate"/>
      </w:r>
      <w:r>
        <w:t>4</w:t>
      </w:r>
      <w:r>
        <w:fldChar w:fldCharType="end"/>
      </w:r>
      <w:r>
        <w:fldChar w:fldCharType="end"/>
      </w:r>
    </w:p>
    <w:p w14:paraId="0654F897">
      <w:pPr>
        <w:pStyle w:val="8"/>
        <w:tabs>
          <w:tab w:val="right" w:leader="dot" w:pos="8306"/>
        </w:tabs>
      </w:pPr>
      <w:r>
        <w:fldChar w:fldCharType="begin"/>
      </w:r>
      <w:r>
        <w:instrText xml:space="preserve"> HYPERLINK \l _Toc680509973 </w:instrText>
      </w:r>
      <w:r>
        <w:fldChar w:fldCharType="separate"/>
      </w:r>
      <w:r>
        <w:rPr>
          <w:rFonts w:ascii="黑体" w:hAnsi="黑体" w:eastAsia="黑体" w:cs="黑体"/>
        </w:rPr>
        <w:t>1.2 研究背景</w:t>
      </w:r>
      <w:r>
        <w:tab/>
      </w:r>
      <w:r>
        <w:fldChar w:fldCharType="begin"/>
      </w:r>
      <w:r>
        <w:instrText xml:space="preserve"> PAGEREF _Toc680509973 \h </w:instrText>
      </w:r>
      <w:r>
        <w:fldChar w:fldCharType="separate"/>
      </w:r>
      <w:r>
        <w:t>5</w:t>
      </w:r>
      <w:r>
        <w:fldChar w:fldCharType="end"/>
      </w:r>
      <w:r>
        <w:fldChar w:fldCharType="end"/>
      </w:r>
    </w:p>
    <w:p w14:paraId="66908EC5">
      <w:pPr>
        <w:pStyle w:val="8"/>
        <w:tabs>
          <w:tab w:val="right" w:leader="dot" w:pos="8306"/>
        </w:tabs>
      </w:pPr>
      <w:r>
        <w:fldChar w:fldCharType="begin"/>
      </w:r>
      <w:r>
        <w:instrText xml:space="preserve"> HYPERLINK \l _Toc1980695936 </w:instrText>
      </w:r>
      <w:r>
        <w:fldChar w:fldCharType="separate"/>
      </w:r>
      <w:r>
        <w:rPr>
          <w:rFonts w:ascii="黑体" w:hAnsi="黑体" w:eastAsia="黑体" w:cs="黑体"/>
        </w:rPr>
        <w:t>1.3 研究目的和意义</w:t>
      </w:r>
      <w:r>
        <w:tab/>
      </w:r>
      <w:r>
        <w:fldChar w:fldCharType="begin"/>
      </w:r>
      <w:r>
        <w:instrText xml:space="preserve"> PAGEREF _Toc1980695936 \h </w:instrText>
      </w:r>
      <w:r>
        <w:fldChar w:fldCharType="separate"/>
      </w:r>
      <w:r>
        <w:t>6</w:t>
      </w:r>
      <w:r>
        <w:fldChar w:fldCharType="end"/>
      </w:r>
      <w:r>
        <w:fldChar w:fldCharType="end"/>
      </w:r>
    </w:p>
    <w:p w14:paraId="6CEF3724">
      <w:pPr>
        <w:pStyle w:val="7"/>
        <w:tabs>
          <w:tab w:val="right" w:leader="dot" w:pos="8306"/>
        </w:tabs>
      </w:pPr>
      <w:r>
        <w:fldChar w:fldCharType="begin"/>
      </w:r>
      <w:r>
        <w:instrText xml:space="preserve"> HYPERLINK \l _Toc1412584205 </w:instrText>
      </w:r>
      <w:r>
        <w:fldChar w:fldCharType="separate"/>
      </w:r>
      <w:r>
        <w:rPr>
          <w:rFonts w:ascii="黑体" w:hAnsi="黑体" w:eastAsia="黑体" w:cs="黑体"/>
        </w:rPr>
        <w:t>2．国内外在该方向的研究现状及分析</w:t>
      </w:r>
      <w:r>
        <w:tab/>
      </w:r>
      <w:r>
        <w:fldChar w:fldCharType="begin"/>
      </w:r>
      <w:r>
        <w:instrText xml:space="preserve"> PAGEREF _Toc1412584205 \h </w:instrText>
      </w:r>
      <w:r>
        <w:fldChar w:fldCharType="separate"/>
      </w:r>
      <w:r>
        <w:t>7</w:t>
      </w:r>
      <w:r>
        <w:fldChar w:fldCharType="end"/>
      </w:r>
      <w:r>
        <w:fldChar w:fldCharType="end"/>
      </w:r>
    </w:p>
    <w:p w14:paraId="7063BD9F">
      <w:pPr>
        <w:pStyle w:val="8"/>
        <w:tabs>
          <w:tab w:val="right" w:leader="dot" w:pos="8306"/>
        </w:tabs>
      </w:pPr>
      <w:r>
        <w:fldChar w:fldCharType="begin"/>
      </w:r>
      <w:r>
        <w:instrText xml:space="preserve"> HYPERLINK \l _Toc871015850 </w:instrText>
      </w:r>
      <w:r>
        <w:fldChar w:fldCharType="separate"/>
      </w:r>
      <w:r>
        <w:rPr>
          <w:rFonts w:ascii="黑体" w:hAnsi="黑体" w:eastAsia="黑体" w:cs="黑体"/>
        </w:rPr>
        <w:t>2.1 大语言模型后训练和知识蒸馏</w:t>
      </w:r>
      <w:r>
        <w:tab/>
      </w:r>
      <w:r>
        <w:fldChar w:fldCharType="begin"/>
      </w:r>
      <w:r>
        <w:instrText xml:space="preserve"> PAGEREF _Toc871015850 \h </w:instrText>
      </w:r>
      <w:r>
        <w:fldChar w:fldCharType="separate"/>
      </w:r>
      <w:r>
        <w:t>7</w:t>
      </w:r>
      <w:r>
        <w:fldChar w:fldCharType="end"/>
      </w:r>
      <w:r>
        <w:fldChar w:fldCharType="end"/>
      </w:r>
    </w:p>
    <w:p w14:paraId="52218BE7">
      <w:pPr>
        <w:pStyle w:val="8"/>
        <w:tabs>
          <w:tab w:val="right" w:leader="dot" w:pos="8306"/>
        </w:tabs>
      </w:pPr>
      <w:r>
        <w:fldChar w:fldCharType="begin"/>
      </w:r>
      <w:r>
        <w:instrText xml:space="preserve"> HYPERLINK \l _Toc1914852998 </w:instrText>
      </w:r>
      <w:r>
        <w:fldChar w:fldCharType="separate"/>
      </w:r>
      <w:r>
        <w:rPr>
          <w:rFonts w:ascii="黑体" w:hAnsi="黑体" w:eastAsia="黑体" w:cs="黑体"/>
        </w:rPr>
        <w:t>2.2 分布偏移与在线策略蒸馏</w:t>
      </w:r>
      <w:r>
        <w:tab/>
      </w:r>
      <w:r>
        <w:fldChar w:fldCharType="begin"/>
      </w:r>
      <w:r>
        <w:instrText xml:space="preserve"> PAGEREF _Toc1914852998 \h </w:instrText>
      </w:r>
      <w:r>
        <w:fldChar w:fldCharType="separate"/>
      </w:r>
      <w:r>
        <w:t>10</w:t>
      </w:r>
      <w:r>
        <w:fldChar w:fldCharType="end"/>
      </w:r>
      <w:r>
        <w:fldChar w:fldCharType="end"/>
      </w:r>
    </w:p>
    <w:p w14:paraId="6A173C48">
      <w:pPr>
        <w:pStyle w:val="8"/>
        <w:tabs>
          <w:tab w:val="right" w:leader="dot" w:pos="8306"/>
        </w:tabs>
      </w:pPr>
      <w:r>
        <w:fldChar w:fldCharType="begin"/>
      </w:r>
      <w:r>
        <w:instrText xml:space="preserve"> HYPERLINK \l _Toc744403444 </w:instrText>
      </w:r>
      <w:r>
        <w:fldChar w:fldCharType="separate"/>
      </w:r>
      <w:r>
        <w:rPr>
          <w:rFonts w:ascii="黑体" w:hAnsi="黑体" w:eastAsia="黑体" w:cs="黑体"/>
        </w:rPr>
        <w:t>2.3 KL 散度方向与广义散度</w:t>
      </w:r>
      <w:r>
        <w:tab/>
      </w:r>
      <w:r>
        <w:fldChar w:fldCharType="begin"/>
      </w:r>
      <w:r>
        <w:instrText xml:space="preserve"> PAGEREF _Toc744403444 \h </w:instrText>
      </w:r>
      <w:r>
        <w:fldChar w:fldCharType="separate"/>
      </w:r>
      <w:r>
        <w:t>13</w:t>
      </w:r>
      <w:r>
        <w:fldChar w:fldCharType="end"/>
      </w:r>
      <w:r>
        <w:fldChar w:fldCharType="end"/>
      </w:r>
    </w:p>
    <w:p w14:paraId="2DB40E74">
      <w:pPr>
        <w:pStyle w:val="8"/>
        <w:tabs>
          <w:tab w:val="right" w:leader="dot" w:pos="8306"/>
        </w:tabs>
      </w:pPr>
      <w:r>
        <w:fldChar w:fldCharType="begin"/>
      </w:r>
      <w:r>
        <w:instrText xml:space="preserve"> HYPERLINK \l _Toc2096439533 </w:instrText>
      </w:r>
      <w:r>
        <w:fldChar w:fldCharType="separate"/>
      </w:r>
      <w:r>
        <w:rPr>
          <w:rFonts w:ascii="黑体" w:hAnsi="黑体" w:eastAsia="黑体" w:cs="黑体"/>
        </w:rPr>
        <w:t>2.4 监督信息粒度与资源效率</w:t>
      </w:r>
      <w:r>
        <w:tab/>
      </w:r>
      <w:r>
        <w:fldChar w:fldCharType="begin"/>
      </w:r>
      <w:r>
        <w:instrText xml:space="preserve"> PAGEREF _Toc2096439533 \h </w:instrText>
      </w:r>
      <w:r>
        <w:fldChar w:fldCharType="separate"/>
      </w:r>
      <w:r>
        <w:t>15</w:t>
      </w:r>
      <w:r>
        <w:fldChar w:fldCharType="end"/>
      </w:r>
      <w:r>
        <w:fldChar w:fldCharType="end"/>
      </w:r>
    </w:p>
    <w:p w14:paraId="33F89AB2">
      <w:pPr>
        <w:pStyle w:val="8"/>
        <w:tabs>
          <w:tab w:val="right" w:leader="dot" w:pos="8306"/>
        </w:tabs>
      </w:pPr>
      <w:r>
        <w:fldChar w:fldCharType="begin"/>
      </w:r>
      <w:r>
        <w:instrText xml:space="preserve"> HYPERLINK \l _Toc1095034802 </w:instrText>
      </w:r>
      <w:r>
        <w:fldChar w:fldCharType="separate"/>
      </w:r>
      <w:r>
        <w:rPr>
          <w:rFonts w:ascii="黑体" w:hAnsi="黑体" w:eastAsia="黑体" w:cs="黑体"/>
        </w:rPr>
        <w:t>2.5 Function Calling 数据与评测研究</w:t>
      </w:r>
      <w:r>
        <w:tab/>
      </w:r>
      <w:r>
        <w:fldChar w:fldCharType="begin"/>
      </w:r>
      <w:r>
        <w:instrText xml:space="preserve"> PAGEREF _Toc1095034802 \h </w:instrText>
      </w:r>
      <w:r>
        <w:fldChar w:fldCharType="separate"/>
      </w:r>
      <w:r>
        <w:t>17</w:t>
      </w:r>
      <w:r>
        <w:fldChar w:fldCharType="end"/>
      </w:r>
      <w:r>
        <w:fldChar w:fldCharType="end"/>
      </w:r>
    </w:p>
    <w:p w14:paraId="6F950570">
      <w:pPr>
        <w:pStyle w:val="8"/>
        <w:tabs>
          <w:tab w:val="right" w:leader="dot" w:pos="8306"/>
        </w:tabs>
      </w:pPr>
      <w:r>
        <w:fldChar w:fldCharType="begin"/>
      </w:r>
      <w:r>
        <w:instrText xml:space="preserve"> HYPERLINK \l _Toc315062424 </w:instrText>
      </w:r>
      <w:r>
        <w:fldChar w:fldCharType="separate"/>
      </w:r>
      <w:r>
        <w:rPr>
          <w:rFonts w:ascii="黑体" w:hAnsi="黑体" w:eastAsia="黑体" w:cs="黑体"/>
        </w:rPr>
        <w:t>2.6 现有方法的问题与本文的研究切入点</w:t>
      </w:r>
      <w:r>
        <w:tab/>
      </w:r>
      <w:r>
        <w:fldChar w:fldCharType="begin"/>
      </w:r>
      <w:r>
        <w:instrText xml:space="preserve"> PAGEREF _Toc315062424 \h </w:instrText>
      </w:r>
      <w:r>
        <w:fldChar w:fldCharType="separate"/>
      </w:r>
      <w:r>
        <w:t>19</w:t>
      </w:r>
      <w:r>
        <w:fldChar w:fldCharType="end"/>
      </w:r>
      <w:r>
        <w:fldChar w:fldCharType="end"/>
      </w:r>
    </w:p>
    <w:p w14:paraId="49E4421E">
      <w:pPr>
        <w:pStyle w:val="7"/>
        <w:tabs>
          <w:tab w:val="right" w:leader="dot" w:pos="8306"/>
        </w:tabs>
      </w:pPr>
      <w:r>
        <w:fldChar w:fldCharType="begin"/>
      </w:r>
      <w:r>
        <w:instrText xml:space="preserve"> HYPERLINK \l _Toc1706970313 </w:instrText>
      </w:r>
      <w:r>
        <w:fldChar w:fldCharType="separate"/>
      </w:r>
      <w:r>
        <w:rPr>
          <w:rFonts w:ascii="黑体" w:hAnsi="黑体" w:eastAsia="黑体" w:cs="黑体"/>
        </w:rPr>
        <w:t>3．主要研究内容</w:t>
      </w:r>
      <w:r>
        <w:tab/>
      </w:r>
      <w:r>
        <w:fldChar w:fldCharType="begin"/>
      </w:r>
      <w:r>
        <w:instrText xml:space="preserve"> PAGEREF _Toc1706970313 \h </w:instrText>
      </w:r>
      <w:r>
        <w:fldChar w:fldCharType="separate"/>
      </w:r>
      <w:r>
        <w:t>20</w:t>
      </w:r>
      <w:r>
        <w:fldChar w:fldCharType="end"/>
      </w:r>
      <w:r>
        <w:fldChar w:fldCharType="end"/>
      </w:r>
    </w:p>
    <w:p w14:paraId="6D89D37F">
      <w:pPr>
        <w:pStyle w:val="8"/>
        <w:tabs>
          <w:tab w:val="right" w:leader="dot" w:pos="8306"/>
        </w:tabs>
      </w:pPr>
      <w:r>
        <w:fldChar w:fldCharType="begin"/>
      </w:r>
      <w:r>
        <w:instrText xml:space="preserve"> HYPERLINK \l _Toc816010318 </w:instrText>
      </w:r>
      <w:r>
        <w:fldChar w:fldCharType="separate"/>
      </w:r>
      <w:r>
        <w:rPr>
          <w:rFonts w:ascii="黑体" w:hAnsi="黑体" w:eastAsia="黑体" w:cs="黑体"/>
        </w:rPr>
        <w:t>3.1 研究思路与问题展开</w:t>
      </w:r>
      <w:r>
        <w:tab/>
      </w:r>
      <w:r>
        <w:fldChar w:fldCharType="begin"/>
      </w:r>
      <w:r>
        <w:instrText xml:space="preserve"> PAGEREF _Toc816010318 \h </w:instrText>
      </w:r>
      <w:r>
        <w:fldChar w:fldCharType="separate"/>
      </w:r>
      <w:r>
        <w:t>20</w:t>
      </w:r>
      <w:r>
        <w:fldChar w:fldCharType="end"/>
      </w:r>
      <w:r>
        <w:fldChar w:fldCharType="end"/>
      </w:r>
    </w:p>
    <w:p w14:paraId="7CCDA56F">
      <w:pPr>
        <w:pStyle w:val="8"/>
        <w:tabs>
          <w:tab w:val="right" w:leader="dot" w:pos="8306"/>
        </w:tabs>
      </w:pPr>
      <w:r>
        <w:fldChar w:fldCharType="begin"/>
      </w:r>
      <w:r>
        <w:instrText xml:space="preserve"> HYPERLINK \l _Toc854844884 </w:instrText>
      </w:r>
      <w:r>
        <w:fldChar w:fldCharType="separate"/>
      </w:r>
      <w:r>
        <w:rPr>
          <w:rFonts w:ascii="黑体" w:hAnsi="黑体" w:eastAsia="黑体" w:cs="黑体"/>
        </w:rPr>
        <w:t>3.2 三项研究问题</w:t>
      </w:r>
      <w:r>
        <w:tab/>
      </w:r>
      <w:r>
        <w:fldChar w:fldCharType="begin"/>
      </w:r>
      <w:r>
        <w:instrText xml:space="preserve"> PAGEREF _Toc854844884 \h </w:instrText>
      </w:r>
      <w:r>
        <w:fldChar w:fldCharType="separate"/>
      </w:r>
      <w:r>
        <w:t>21</w:t>
      </w:r>
      <w:r>
        <w:fldChar w:fldCharType="end"/>
      </w:r>
      <w:r>
        <w:fldChar w:fldCharType="end"/>
      </w:r>
    </w:p>
    <w:p w14:paraId="18E2482B">
      <w:pPr>
        <w:pStyle w:val="8"/>
        <w:tabs>
          <w:tab w:val="right" w:leader="dot" w:pos="8306"/>
        </w:tabs>
      </w:pPr>
      <w:r>
        <w:fldChar w:fldCharType="begin"/>
      </w:r>
      <w:r>
        <w:instrText xml:space="preserve"> HYPERLINK \l _Toc712366958 </w:instrText>
      </w:r>
      <w:r>
        <w:fldChar w:fldCharType="separate"/>
      </w:r>
      <w:r>
        <w:rPr>
          <w:rFonts w:ascii="黑体" w:hAnsi="黑体" w:eastAsia="黑体" w:cs="黑体"/>
        </w:rPr>
        <w:t>3.3 Top-K 稀疏反馈的缺陷与拟改进方法</w:t>
      </w:r>
      <w:r>
        <w:tab/>
      </w:r>
      <w:r>
        <w:fldChar w:fldCharType="begin"/>
      </w:r>
      <w:r>
        <w:instrText xml:space="preserve"> PAGEREF _Toc712366958 \h </w:instrText>
      </w:r>
      <w:r>
        <w:fldChar w:fldCharType="separate"/>
      </w:r>
      <w:r>
        <w:t>23</w:t>
      </w:r>
      <w:r>
        <w:fldChar w:fldCharType="end"/>
      </w:r>
      <w:r>
        <w:fldChar w:fldCharType="end"/>
      </w:r>
    </w:p>
    <w:p w14:paraId="7B10E72A">
      <w:pPr>
        <w:pStyle w:val="8"/>
        <w:tabs>
          <w:tab w:val="right" w:leader="dot" w:pos="8306"/>
        </w:tabs>
      </w:pPr>
      <w:r>
        <w:fldChar w:fldCharType="begin"/>
      </w:r>
      <w:r>
        <w:instrText xml:space="preserve"> HYPERLINK \l _Toc530131081 </w:instrText>
      </w:r>
      <w:r>
        <w:fldChar w:fldCharType="separate"/>
      </w:r>
      <w:r>
        <w:rPr>
          <w:rFonts w:ascii="黑体" w:hAnsi="黑体" w:eastAsia="黑体" w:cs="黑体"/>
        </w:rPr>
        <w:t>3.4 面向在线策略蒸馏的统一测试系统</w:t>
      </w:r>
      <w:r>
        <w:tab/>
      </w:r>
      <w:r>
        <w:fldChar w:fldCharType="begin"/>
      </w:r>
      <w:r>
        <w:instrText xml:space="preserve"> PAGEREF _Toc530131081 \h </w:instrText>
      </w:r>
      <w:r>
        <w:fldChar w:fldCharType="separate"/>
      </w:r>
      <w:r>
        <w:t>24</w:t>
      </w:r>
      <w:r>
        <w:fldChar w:fldCharType="end"/>
      </w:r>
      <w:r>
        <w:fldChar w:fldCharType="end"/>
      </w:r>
    </w:p>
    <w:p w14:paraId="06F3FF8D">
      <w:pPr>
        <w:pStyle w:val="8"/>
        <w:tabs>
          <w:tab w:val="right" w:leader="dot" w:pos="8306"/>
        </w:tabs>
      </w:pPr>
      <w:r>
        <w:fldChar w:fldCharType="begin"/>
      </w:r>
      <w:r>
        <w:instrText xml:space="preserve"> HYPERLINK \l _Toc3426964 </w:instrText>
      </w:r>
      <w:r>
        <w:fldChar w:fldCharType="separate"/>
      </w:r>
      <w:r>
        <w:rPr>
          <w:rFonts w:ascii="黑体" w:hAnsi="黑体" w:eastAsia="黑体" w:cs="黑体"/>
        </w:rPr>
        <w:t>3.5 三项研究的验证路径</w:t>
      </w:r>
      <w:r>
        <w:tab/>
      </w:r>
      <w:r>
        <w:fldChar w:fldCharType="begin"/>
      </w:r>
      <w:r>
        <w:instrText xml:space="preserve"> PAGEREF _Toc3426964 \h </w:instrText>
      </w:r>
      <w:r>
        <w:fldChar w:fldCharType="separate"/>
      </w:r>
      <w:r>
        <w:t>26</w:t>
      </w:r>
      <w:r>
        <w:fldChar w:fldCharType="end"/>
      </w:r>
      <w:r>
        <w:fldChar w:fldCharType="end"/>
      </w:r>
    </w:p>
    <w:p w14:paraId="06F3FF8D">
      <w:pPr>
        <w:pStyle w:val="8"/>
        <w:tabs>
          <w:tab w:val="right" w:leader="dot" w:pos="8306"/>
        </w:tabs>
      </w:pPr>
      <w:r>
        <w:fldChar w:fldCharType="begin"/>
      </w:r>
      <w:r>
        <w:instrText xml:space="preserve"> HYPERLINK \l _TocOPDSystemSummary </w:instrText>
      </w:r>
      <w:r>
        <w:fldChar w:fldCharType="separate"/>
      </w:r>
      <w:r>
        <w:rPr>
          <w:rFonts w:ascii="黑体" w:hAnsi="黑体" w:eastAsia="黑体" w:cs="黑体"/>
        </w:rPr>
        <w:t>3.6 本章总结</w:t>
      </w:r>
      <w:r>
        <w:tab/>
      </w:r>
      <w:r>
        <w:fldChar w:fldCharType="begin"/>
      </w:r>
      <w:r>
        <w:instrText xml:space="preserve"> PAGEREF _TocOPDSystemSummary \h </w:instrText>
      </w:r>
      <w:r>
        <w:fldChar w:fldCharType="separate"/>
      </w:r>
      <w:r>
        <w:t>27</w:t>
      </w:r>
      <w:r>
        <w:fldChar w:fldCharType="end"/>
      </w:r>
      <w:r>
        <w:fldChar w:fldCharType="end"/>
      </w:r>
    </w:p>
    <w:p w14:paraId="07F40BB2">
      <w:pPr>
        <w:pStyle w:val="7"/>
        <w:tabs>
          <w:tab w:val="right" w:leader="dot" w:pos="8306"/>
        </w:tabs>
      </w:pPr>
      <w:r>
        <w:fldChar w:fldCharType="begin"/>
      </w:r>
      <w:r>
        <w:instrText xml:space="preserve"> HYPERLINK \l _Toc1762409126 </w:instrText>
      </w:r>
      <w:r>
        <w:fldChar w:fldCharType="separate"/>
      </w:r>
      <w:r>
        <w:rPr>
          <w:rFonts w:ascii="黑体" w:hAnsi="黑体" w:eastAsia="黑体" w:cs="黑体"/>
        </w:rPr>
        <w:t>4．研究方案</w:t>
      </w:r>
      <w:r>
        <w:tab/>
      </w:r>
      <w:r>
        <w:fldChar w:fldCharType="begin"/>
      </w:r>
      <w:r>
        <w:instrText xml:space="preserve"> PAGEREF _Toc1762409126 \h </w:instrText>
      </w:r>
      <w:r>
        <w:fldChar w:fldCharType="separate"/>
      </w:r>
      <w:r>
        <w:t>28</w:t>
      </w:r>
      <w:r>
        <w:fldChar w:fldCharType="end"/>
      </w:r>
      <w:r>
        <w:fldChar w:fldCharType="end"/>
      </w:r>
    </w:p>
    <w:p w14:paraId="332D89B6">
      <w:pPr>
        <w:pStyle w:val="8"/>
        <w:tabs>
          <w:tab w:val="right" w:leader="dot" w:pos="8306"/>
        </w:tabs>
      </w:pPr>
      <w:r>
        <w:fldChar w:fldCharType="begin"/>
      </w:r>
      <w:r>
        <w:instrText xml:space="preserve"> HYPERLINK \l _Toc568237611 </w:instrText>
      </w:r>
      <w:r>
        <w:fldChar w:fldCharType="separate"/>
      </w:r>
      <w:r>
        <w:rPr>
          <w:rFonts w:ascii="黑体" w:hAnsi="黑体" w:eastAsia="黑体" w:cs="黑体"/>
        </w:rPr>
        <w:t>4.1 总体技术路线</w:t>
      </w:r>
      <w:r>
        <w:tab/>
      </w:r>
      <w:r>
        <w:fldChar w:fldCharType="begin"/>
      </w:r>
      <w:r>
        <w:instrText xml:space="preserve"> PAGEREF _Toc568237611 \h </w:instrText>
      </w:r>
      <w:r>
        <w:fldChar w:fldCharType="separate"/>
      </w:r>
      <w:r>
        <w:t>28</w:t>
      </w:r>
      <w:r>
        <w:fldChar w:fldCharType="end"/>
      </w:r>
      <w:r>
        <w:fldChar w:fldCharType="end"/>
      </w:r>
    </w:p>
    <w:p w14:paraId="7428956F">
      <w:pPr>
        <w:pStyle w:val="8"/>
        <w:tabs>
          <w:tab w:val="right" w:leader="dot" w:pos="8306"/>
        </w:tabs>
      </w:pPr>
      <w:r>
        <w:fldChar w:fldCharType="begin"/>
      </w:r>
      <w:r>
        <w:instrText xml:space="preserve"> HYPERLINK \l _Toc509749868 </w:instrText>
      </w:r>
      <w:r>
        <w:fldChar w:fldCharType="separate"/>
      </w:r>
      <w:r>
        <w:rPr>
          <w:rFonts w:ascii="黑体" w:hAnsi="黑体" w:eastAsia="黑体" w:cs="黑体"/>
        </w:rPr>
        <w:t>4.2 模型和数据准备</w:t>
      </w:r>
      <w:r>
        <w:tab/>
      </w:r>
      <w:r>
        <w:fldChar w:fldCharType="begin"/>
      </w:r>
      <w:r>
        <w:instrText xml:space="preserve"> PAGEREF _Toc509749868 \h </w:instrText>
      </w:r>
      <w:r>
        <w:fldChar w:fldCharType="separate"/>
      </w:r>
      <w:r>
        <w:t>30</w:t>
      </w:r>
      <w:r>
        <w:fldChar w:fldCharType="end"/>
      </w:r>
      <w:r>
        <w:fldChar w:fldCharType="end"/>
      </w:r>
    </w:p>
    <w:p w14:paraId="76DF98AC">
      <w:pPr>
        <w:pStyle w:val="8"/>
        <w:tabs>
          <w:tab w:val="right" w:leader="dot" w:pos="8306"/>
        </w:tabs>
      </w:pPr>
      <w:r>
        <w:fldChar w:fldCharType="begin"/>
      </w:r>
      <w:r>
        <w:instrText xml:space="preserve"> HYPERLINK \l _Toc1053763593 </w:instrText>
      </w:r>
      <w:r>
        <w:fldChar w:fldCharType="separate"/>
      </w:r>
      <w:r>
        <w:rPr>
          <w:rFonts w:ascii="黑体" w:hAnsi="黑体" w:eastAsia="黑体" w:cs="黑体"/>
        </w:rPr>
        <w:t>4.3 学生 rollout 和教师反馈</w:t>
      </w:r>
      <w:r>
        <w:tab/>
      </w:r>
      <w:r>
        <w:fldChar w:fldCharType="begin"/>
      </w:r>
      <w:r>
        <w:instrText xml:space="preserve"> PAGEREF _Toc1053763593 \h </w:instrText>
      </w:r>
      <w:r>
        <w:fldChar w:fldCharType="separate"/>
      </w:r>
      <w:r>
        <w:t>32</w:t>
      </w:r>
      <w:r>
        <w:fldChar w:fldCharType="end"/>
      </w:r>
      <w:r>
        <w:fldChar w:fldCharType="end"/>
      </w:r>
    </w:p>
    <w:p w14:paraId="33320ADB">
      <w:pPr>
        <w:pStyle w:val="8"/>
        <w:tabs>
          <w:tab w:val="right" w:leader="dot" w:pos="8306"/>
        </w:tabs>
      </w:pPr>
      <w:r>
        <w:fldChar w:fldCharType="begin"/>
      </w:r>
      <w:r>
        <w:instrText xml:space="preserve"> HYPERLINK \l _Toc307070742 </w:instrText>
      </w:r>
      <w:r>
        <w:fldChar w:fldCharType="separate"/>
      </w:r>
      <w:r>
        <w:rPr>
          <w:rFonts w:ascii="黑体" w:hAnsi="黑体" w:eastAsia="黑体" w:cs="黑体"/>
        </w:rPr>
        <w:t>4.4 散度目标分析与稀疏反馈定义</w:t>
      </w:r>
      <w:r>
        <w:tab/>
      </w:r>
      <w:r>
        <w:fldChar w:fldCharType="begin"/>
      </w:r>
      <w:r>
        <w:instrText xml:space="preserve"> PAGEREF _Toc307070742 \h </w:instrText>
      </w:r>
      <w:r>
        <w:fldChar w:fldCharType="separate"/>
      </w:r>
      <w:r>
        <w:t>35</w:t>
      </w:r>
      <w:r>
        <w:fldChar w:fldCharType="end"/>
      </w:r>
      <w:r>
        <w:fldChar w:fldCharType="end"/>
      </w:r>
    </w:p>
    <w:p w14:paraId="1B97AA14">
      <w:pPr>
        <w:pStyle w:val="8"/>
        <w:tabs>
          <w:tab w:val="right" w:leader="dot" w:pos="8306"/>
        </w:tabs>
      </w:pPr>
      <w:r>
        <w:fldChar w:fldCharType="begin"/>
      </w:r>
      <w:r>
        <w:instrText xml:space="preserve"> HYPERLINK \l _Toc534757053 </w:instrText>
      </w:r>
      <w:r>
        <w:fldChar w:fldCharType="separate"/>
      </w:r>
      <w:r>
        <w:rPr>
          <w:rFonts w:ascii="黑体" w:hAnsi="黑体" w:eastAsia="黑体" w:cs="黑体"/>
        </w:rPr>
        <w:t>4.5 统一测试系统的实现与评价指标</w:t>
      </w:r>
      <w:r>
        <w:tab/>
      </w:r>
      <w:r>
        <w:fldChar w:fldCharType="begin"/>
      </w:r>
      <w:r>
        <w:instrText xml:space="preserve"> PAGEREF _Toc534757053 \h </w:instrText>
      </w:r>
      <w:r>
        <w:fldChar w:fldCharType="separate"/>
      </w:r>
      <w:r>
        <w:t>40</w:t>
      </w:r>
      <w:r>
        <w:fldChar w:fldCharType="end"/>
      </w:r>
      <w:r>
        <w:fldChar w:fldCharType="end"/>
      </w:r>
    </w:p>
    <w:p w14:paraId="675AAA7F">
      <w:pPr>
        <w:pStyle w:val="8"/>
        <w:tabs>
          <w:tab w:val="right" w:leader="dot" w:pos="8306"/>
        </w:tabs>
      </w:pPr>
      <w:r>
        <w:fldChar w:fldCharType="begin"/>
      </w:r>
      <w:r>
        <w:instrText xml:space="preserve"> HYPERLINK \l _Toc442727076 </w:instrText>
      </w:r>
      <w:r>
        <w:fldChar w:fldCharType="separate"/>
      </w:r>
      <w:r>
        <w:rPr>
          <w:rFonts w:ascii="黑体" w:hAnsi="黑体" w:eastAsia="黑体" w:cs="黑体"/>
        </w:rPr>
        <w:t>4.6 可行性分析</w:t>
      </w:r>
      <w:r>
        <w:tab/>
      </w:r>
      <w:r>
        <w:fldChar w:fldCharType="begin"/>
      </w:r>
      <w:r>
        <w:instrText xml:space="preserve"> PAGEREF _Toc442727076 \h </w:instrText>
      </w:r>
      <w:r>
        <w:fldChar w:fldCharType="separate"/>
      </w:r>
      <w:r>
        <w:t>45</w:t>
      </w:r>
      <w:r>
        <w:fldChar w:fldCharType="end"/>
      </w:r>
      <w:r>
        <w:fldChar w:fldCharType="end"/>
      </w:r>
    </w:p>
    <w:p w14:paraId="29CA60D3">
      <w:pPr>
        <w:pStyle w:val="7"/>
        <w:tabs>
          <w:tab w:val="right" w:leader="dot" w:pos="8306"/>
        </w:tabs>
      </w:pPr>
      <w:r>
        <w:fldChar w:fldCharType="begin"/>
      </w:r>
      <w:r>
        <w:instrText xml:space="preserve"> HYPERLINK \l _Toc2030613124 </w:instrText>
      </w:r>
      <w:r>
        <w:fldChar w:fldCharType="separate"/>
      </w:r>
      <w:r>
        <w:rPr>
          <w:rFonts w:ascii="黑体" w:hAnsi="黑体" w:eastAsia="黑体" w:cs="黑体"/>
        </w:rPr>
        <w:t>5．进度安排，预期达到的目标</w:t>
      </w:r>
      <w:r>
        <w:tab/>
      </w:r>
      <w:r>
        <w:fldChar w:fldCharType="begin"/>
      </w:r>
      <w:r>
        <w:instrText xml:space="preserve"> PAGEREF _Toc2030613124 \h </w:instrText>
      </w:r>
      <w:r>
        <w:fldChar w:fldCharType="separate"/>
      </w:r>
      <w:r>
        <w:t>46</w:t>
      </w:r>
      <w:r>
        <w:fldChar w:fldCharType="end"/>
      </w:r>
      <w:r>
        <w:fldChar w:fldCharType="end"/>
      </w:r>
    </w:p>
    <w:p w14:paraId="66CC936E">
      <w:pPr>
        <w:pStyle w:val="8"/>
        <w:tabs>
          <w:tab w:val="right" w:leader="dot" w:pos="8306"/>
        </w:tabs>
      </w:pPr>
      <w:r>
        <w:fldChar w:fldCharType="begin"/>
      </w:r>
      <w:r>
        <w:instrText xml:space="preserve"> HYPERLINK \l _Toc704656944 </w:instrText>
      </w:r>
      <w:r>
        <w:fldChar w:fldCharType="separate"/>
      </w:r>
      <w:r>
        <w:rPr>
          <w:rFonts w:ascii="黑体" w:hAnsi="黑体" w:eastAsia="黑体" w:cs="黑体"/>
        </w:rPr>
        <w:t>5.1 进度安排</w:t>
      </w:r>
      <w:r>
        <w:tab/>
      </w:r>
      <w:r>
        <w:fldChar w:fldCharType="begin"/>
      </w:r>
      <w:r>
        <w:instrText xml:space="preserve"> PAGEREF _Toc704656944 \h </w:instrText>
      </w:r>
      <w:r>
        <w:fldChar w:fldCharType="separate"/>
      </w:r>
      <w:r>
        <w:t>46</w:t>
      </w:r>
      <w:r>
        <w:fldChar w:fldCharType="end"/>
      </w:r>
      <w:r>
        <w:fldChar w:fldCharType="end"/>
      </w:r>
    </w:p>
    <w:p w14:paraId="3313CA45">
      <w:pPr>
        <w:pStyle w:val="8"/>
        <w:tabs>
          <w:tab w:val="right" w:leader="dot" w:pos="8306"/>
        </w:tabs>
      </w:pPr>
      <w:r>
        <w:fldChar w:fldCharType="begin"/>
      </w:r>
      <w:r>
        <w:instrText xml:space="preserve"> HYPERLINK \l _Toc1944428250 </w:instrText>
      </w:r>
      <w:r>
        <w:fldChar w:fldCharType="separate"/>
      </w:r>
      <w:r>
        <w:rPr>
          <w:rFonts w:ascii="黑体" w:hAnsi="黑体" w:eastAsia="黑体" w:cs="黑体"/>
        </w:rPr>
        <w:t>5.2 预期达到的目标</w:t>
      </w:r>
      <w:r>
        <w:tab/>
      </w:r>
      <w:r>
        <w:fldChar w:fldCharType="begin"/>
      </w:r>
      <w:r>
        <w:instrText xml:space="preserve"> PAGEREF _Toc1944428250 \h </w:instrText>
      </w:r>
      <w:r>
        <w:fldChar w:fldCharType="separate"/>
      </w:r>
      <w:r>
        <w:t>48</w:t>
      </w:r>
      <w:r>
        <w:fldChar w:fldCharType="end"/>
      </w:r>
      <w:r>
        <w:fldChar w:fldCharType="end"/>
      </w:r>
    </w:p>
    <w:p w14:paraId="6034102A">
      <w:pPr>
        <w:pStyle w:val="7"/>
        <w:tabs>
          <w:tab w:val="right" w:leader="dot" w:pos="8306"/>
        </w:tabs>
      </w:pPr>
      <w:r>
        <w:fldChar w:fldCharType="begin"/>
      </w:r>
      <w:r>
        <w:instrText xml:space="preserve"> HYPERLINK \l _Toc1746941351 </w:instrText>
      </w:r>
      <w:r>
        <w:fldChar w:fldCharType="separate"/>
      </w:r>
      <w:r>
        <w:rPr>
          <w:rFonts w:ascii="黑体" w:hAnsi="黑体" w:eastAsia="黑体" w:cs="黑体"/>
        </w:rPr>
        <w:t>6．课题已具备和所需的条件、经费</w:t>
      </w:r>
      <w:r>
        <w:tab/>
      </w:r>
      <w:r>
        <w:fldChar w:fldCharType="begin"/>
      </w:r>
      <w:r>
        <w:instrText xml:space="preserve"> PAGEREF _Toc1746941351 \h </w:instrText>
      </w:r>
      <w:r>
        <w:fldChar w:fldCharType="separate"/>
      </w:r>
      <w:r>
        <w:t>49</w:t>
      </w:r>
      <w:r>
        <w:fldChar w:fldCharType="end"/>
      </w:r>
      <w:r>
        <w:fldChar w:fldCharType="end"/>
      </w:r>
    </w:p>
    <w:p w14:paraId="0280DBA9">
      <w:pPr>
        <w:pStyle w:val="8"/>
        <w:tabs>
          <w:tab w:val="right" w:leader="dot" w:pos="8306"/>
        </w:tabs>
      </w:pPr>
      <w:r>
        <w:fldChar w:fldCharType="begin"/>
      </w:r>
      <w:r>
        <w:instrText xml:space="preserve"> HYPERLINK \l _Toc446864473 </w:instrText>
      </w:r>
      <w:r>
        <w:fldChar w:fldCharType="separate"/>
      </w:r>
      <w:r>
        <w:rPr>
          <w:rFonts w:ascii="黑体" w:hAnsi="黑体" w:eastAsia="黑体" w:cs="黑体"/>
        </w:rPr>
        <w:t>6.1 已具备条件</w:t>
      </w:r>
      <w:r>
        <w:tab/>
      </w:r>
      <w:r>
        <w:fldChar w:fldCharType="begin"/>
      </w:r>
      <w:r>
        <w:instrText xml:space="preserve"> PAGEREF _Toc446864473 \h </w:instrText>
      </w:r>
      <w:r>
        <w:fldChar w:fldCharType="separate"/>
      </w:r>
      <w:r>
        <w:t>49</w:t>
      </w:r>
      <w:r>
        <w:fldChar w:fldCharType="end"/>
      </w:r>
      <w:r>
        <w:fldChar w:fldCharType="end"/>
      </w:r>
    </w:p>
    <w:p w14:paraId="44BA26E2">
      <w:pPr>
        <w:pStyle w:val="8"/>
        <w:tabs>
          <w:tab w:val="right" w:leader="dot" w:pos="8306"/>
        </w:tabs>
      </w:pPr>
      <w:r>
        <w:fldChar w:fldCharType="begin"/>
      </w:r>
      <w:r>
        <w:instrText xml:space="preserve"> HYPERLINK \l _Toc700884152 </w:instrText>
      </w:r>
      <w:r>
        <w:fldChar w:fldCharType="separate"/>
      </w:r>
      <w:r>
        <w:rPr>
          <w:rFonts w:ascii="黑体" w:hAnsi="黑体" w:eastAsia="黑体" w:cs="黑体"/>
        </w:rPr>
        <w:t>6.2 所需条件</w:t>
      </w:r>
      <w:r>
        <w:tab/>
      </w:r>
      <w:r>
        <w:fldChar w:fldCharType="begin"/>
      </w:r>
      <w:r>
        <w:instrText xml:space="preserve"> PAGEREF _Toc700884152 \h </w:instrText>
      </w:r>
      <w:r>
        <w:fldChar w:fldCharType="separate"/>
      </w:r>
      <w:r>
        <w:t>50</w:t>
      </w:r>
      <w:r>
        <w:fldChar w:fldCharType="end"/>
      </w:r>
      <w:r>
        <w:fldChar w:fldCharType="end"/>
      </w:r>
    </w:p>
    <w:p w14:paraId="05BC8E53">
      <w:pPr>
        <w:pStyle w:val="8"/>
        <w:tabs>
          <w:tab w:val="right" w:leader="dot" w:pos="8306"/>
        </w:tabs>
      </w:pPr>
      <w:r>
        <w:fldChar w:fldCharType="begin"/>
      </w:r>
      <w:r>
        <w:instrText xml:space="preserve"> HYPERLINK \l _Toc812138869 </w:instrText>
      </w:r>
      <w:r>
        <w:fldChar w:fldCharType="separate"/>
      </w:r>
      <w:r>
        <w:rPr>
          <w:rFonts w:ascii="黑体" w:hAnsi="黑体" w:eastAsia="黑体" w:cs="黑体"/>
        </w:rPr>
        <w:t>6.3 经费</w:t>
      </w:r>
      <w:r>
        <w:tab/>
      </w:r>
      <w:r>
        <w:fldChar w:fldCharType="begin"/>
      </w:r>
      <w:r>
        <w:instrText xml:space="preserve"> PAGEREF _Toc812138869 \h </w:instrText>
      </w:r>
      <w:r>
        <w:fldChar w:fldCharType="separate"/>
      </w:r>
      <w:r>
        <w:t>50</w:t>
      </w:r>
      <w:r>
        <w:fldChar w:fldCharType="end"/>
      </w:r>
      <w:r>
        <w:fldChar w:fldCharType="end"/>
      </w:r>
    </w:p>
    <w:p w14:paraId="7CCF3078">
      <w:pPr>
        <w:pStyle w:val="7"/>
        <w:tabs>
          <w:tab w:val="right" w:leader="dot" w:pos="8306"/>
        </w:tabs>
      </w:pPr>
      <w:r>
        <w:fldChar w:fldCharType="begin"/>
      </w:r>
      <w:r>
        <w:instrText xml:space="preserve"> HYPERLINK \l _Toc211910951 </w:instrText>
      </w:r>
      <w:r>
        <w:fldChar w:fldCharType="separate"/>
      </w:r>
      <w:r>
        <w:rPr>
          <w:rFonts w:ascii="黑体" w:hAnsi="黑体" w:eastAsia="黑体" w:cs="黑体"/>
        </w:rPr>
        <w:t>7．研究过程中可能遇到的困难和问题，解决的措施</w:t>
      </w:r>
      <w:r>
        <w:tab/>
      </w:r>
      <w:r>
        <w:fldChar w:fldCharType="begin"/>
      </w:r>
      <w:r>
        <w:instrText xml:space="preserve"> PAGEREF _Toc211910951 \h </w:instrText>
      </w:r>
      <w:r>
        <w:fldChar w:fldCharType="separate"/>
      </w:r>
      <w:r>
        <w:t>52</w:t>
      </w:r>
      <w:r>
        <w:fldChar w:fldCharType="end"/>
      </w:r>
      <w:r>
        <w:fldChar w:fldCharType="end"/>
      </w:r>
    </w:p>
    <w:p w14:paraId="13292365">
      <w:pPr>
        <w:pStyle w:val="7"/>
        <w:tabs>
          <w:tab w:val="right" w:leader="dot" w:pos="8306"/>
        </w:tabs>
      </w:pPr>
      <w:r>
        <w:fldChar w:fldCharType="begin"/>
      </w:r>
      <w:r>
        <w:instrText xml:space="preserve"> HYPERLINK \l _Toc1059466731 </w:instrText>
      </w:r>
      <w:r>
        <w:fldChar w:fldCharType="separate"/>
      </w:r>
      <w:r>
        <w:rPr>
          <w:rFonts w:ascii="黑体" w:hAnsi="黑体" w:eastAsia="黑体" w:cs="黑体"/>
        </w:rPr>
        <w:t>8．主要参考文献</w:t>
      </w:r>
      <w:r>
        <w:tab/>
      </w:r>
      <w:r>
        <w:fldChar w:fldCharType="begin"/>
      </w:r>
      <w:r>
        <w:instrText xml:space="preserve"> PAGEREF _Toc1059466731 \h </w:instrText>
      </w:r>
      <w:r>
        <w:fldChar w:fldCharType="separate"/>
      </w:r>
      <w:r>
        <w:t>55</w:t>
      </w:r>
      <w:r>
        <w:fldChar w:fldCharType="end"/>
      </w:r>
      <w:r>
        <w:fldChar w:fldCharType="end"/>
      </w:r>
    </w:p>
    <w:p w14:paraId="623AE19C">
      <w:pPr>
        <w:tabs>
          <w:tab w:val="right" w:leader="dot" w:pos="8731"/>
        </w:tabs>
        <w:spacing w:before="0" w:after="0" w:line="240" w:lineRule="auto"/>
        <w:ind w:left="0"/>
      </w:pPr>
      <w:r>
        <w:fldChar w:fldCharType="end"/>
      </w:r>
    </w:p>
    <w:p w14:paraId="449E6D0B">
      <w:r>
        <w:br w:type="page"/>
      </w:r>
    </w:p>
    <w:p w14:paraId="444931B1">
      <w:pPr>
        <w:pStyle w:val="2"/>
      </w:pPr>
      <w:bookmarkStart w:id="0" w:name="_Toc1147394467"/>
      <w:r>
        <w:rPr>
          <w:rFonts w:ascii="黑体" w:hAnsi="黑体" w:eastAsia="黑体" w:cs="黑体"/>
          <w:b/>
          <w:color w:val="000000"/>
          <w:sz w:val="28"/>
        </w:rPr>
        <w:t>1．课题来源及研究的目的和意义</w:t>
      </w:r>
      <w:bookmarkEnd w:id="0"/>
    </w:p>
    <w:p w14:paraId="5244ADAC">
      <w:pPr>
        <w:pStyle w:val="3"/>
      </w:pPr>
      <w:bookmarkStart w:id="1" w:name="_Toc2003140456"/>
      <w:r>
        <w:rPr>
          <w:rFonts w:ascii="黑体" w:hAnsi="黑体" w:eastAsia="黑体" w:cs="黑体"/>
          <w:b/>
          <w:color w:val="000000"/>
          <w:sz w:val="24"/>
        </w:rPr>
        <w:t>1.1 课题来源</w:t>
      </w:r>
      <w:bookmarkEnd w:id="1"/>
    </w:p>
    <w:p w14:paraId="0068B391">
      <w:pPr>
        <w:ind w:firstLine="420"/>
        <w:jc w:val="both"/>
      </w:pPr>
      <w:r>
        <w:t>本课题研究大语言模型在工具调用任务中的在线策略蒸馏。研究从三个相互关联的环节展开：学生生成并实际访问的状态、师生分布的匹配目标，以及有限教师反馈所保留的 token 信息。学生状态决定教师在何处指导，散度目标决定学生如何更新，反馈粒度则影响目标信息的传递。本文分别分析这三个环节，并进一步研究 Top-K 反馈中尾部概率和关键决策候选的遗漏。</w:t>
      </w:r>
    </w:p>
    <w:p w14:paraId="4589AFE8">
      <w:pPr>
        <w:ind w:firstLine="420"/>
        <w:jc w:val="both"/>
      </w:pPr>
      <w:r>
        <w:t>计划采用 Qwen3-0.6B LoRA 学生和冻结的 Qwen3-4B 教师，从公开 Function Calling 数据中筛选单轮调用样本。研究先在学生生成的前缀上比较监督位置与完整词表散度，再固定主要目标，测量 Top-K 截断造成的信息损失。候选方法尝试在关键位置补入被教师 Top-K 漏掉的学生高概率决策 token，并通过同预算实验评价任务效果与计算成本。模型版本、数据划分和硬件条件将在实验前核定。</w:t>
      </w:r>
    </w:p>
    <w:p w14:paraId="38DF9D6D">
      <w:pPr>
        <w:pStyle w:val="3"/>
      </w:pPr>
      <w:bookmarkStart w:id="2" w:name="_Toc680509973"/>
      <w:r>
        <w:rPr>
          <w:rFonts w:ascii="黑体" w:hAnsi="黑体" w:eastAsia="黑体" w:cs="黑体"/>
          <w:b/>
          <w:color w:val="000000"/>
          <w:sz w:val="24"/>
        </w:rPr>
        <w:t>1.2 研究背景</w:t>
      </w:r>
      <w:bookmarkEnd w:id="2"/>
    </w:p>
    <w:p w14:paraId="1E7E09AB">
      <w:pPr>
        <w:ind w:firstLine="420"/>
        <w:jc w:val="both"/>
      </w:pPr>
      <w:r>
        <w:t>大语言模型经预训练获得语言规律和知识表示，后训练则进一步塑造指令遵循、结构化输出和工具使用能力。知识蒸馏借助教师的软分布传递候选之间的相对偏好。Hinton 等人提出温度缩放与软目标的基本思想[1]，序列级蒸馏随后将教师生成的序列用于学生训练[2]。在自回归生成中，学生一旦沿自身预测继续生成，后续前缀便可能偏离训练数据；蒸馏效果因此还取决于教师反馈是否覆盖这些实际到访的状态。</w:t>
      </w:r>
    </w:p>
    <w:p w14:paraId="4CD1AD20">
      <w:pPr>
        <w:ind w:firstLine="420"/>
        <w:jc w:val="both"/>
      </w:pPr>
      <w:r>
        <w:t>Function Calling 要求模型依据用户请求和接口说明，生成符合 schema 的函数调用。Gorilla/APIBench 检验 API 文档理解、函数选择和参数正确性[22]；API-Bank 将工具检索、调用规划与执行结果纳入评测[23]。这类任务具有清楚的决策节点：模型既要选择是否调用工具及调用哪个函数，也要生成可解析、可执行的参数。因此，工具调用适合观察 token 级蒸馏信号如何影响完整任务。</w:t>
      </w:r>
    </w:p>
    <w:p w14:paraId="17F46F4A">
      <w:pPr>
        <w:ind w:firstLine="420"/>
        <w:jc w:val="both"/>
      </w:pPr>
      <w:r>
        <w:t>Function Calling 还具备较明确的自动评测条件。给定用户请求、候选函数和调用 schema，可以分别检查函数名称、输出结构、参数键值、类型约束与执行结果。BFCL 将评测扩展到串行调用、并行调用和拒答等场景，并通过结构匹配等方式判断调用是否正确[27]。因此，本课题能够把 token 级分布匹配与端到端任务表现联系起来。</w:t>
      </w:r>
    </w:p>
    <w:p w14:paraId="02610039">
      <w:pPr>
        <w:ind w:firstLine="420"/>
        <w:jc w:val="both"/>
      </w:pPr>
      <w:r>
        <w:t>工具调用错误可按函数选择、结构合法性、参数键值和执行结果分层识别。例如，模型可能选对函数却遗漏必需参数，也可能输出合法 JSON，但参数取值不满足约束。多轮任务还涉及调用顺序和工具结果利用[23][27]。本文的主要训练实验先聚焦单轮调用；多轮及并行场景用于说明应用范围，并在具备相应数据和评测环境时另行分析。</w:t>
      </w:r>
    </w:p>
    <w:p w14:paraId="7AD88161">
      <w:pPr>
        <w:ind w:firstLine="420"/>
        <w:jc w:val="both"/>
      </w:pPr>
      <w:r>
        <w:t>数据准备时，将统计单轮、多工具候选、并行调用、多轮工具结果和无适用工具等样本类型。核心实验选取能够统一解析与评价的单轮调用，并按工具 schema、问题模板和数据来源隔离训练、验证与测试集。明确任务边界后，学生状态、散度目标和反馈粒度的影响才能在可比条件下分析。</w:t>
      </w:r>
    </w:p>
    <w:p w14:paraId="59356753">
      <w:pPr>
        <w:pStyle w:val="3"/>
      </w:pPr>
      <w:bookmarkStart w:id="3" w:name="_Toc1980695936"/>
      <w:r>
        <w:rPr>
          <w:rFonts w:ascii="黑体" w:hAnsi="黑体" w:eastAsia="黑体" w:cs="黑体"/>
          <w:b/>
          <w:color w:val="000000"/>
          <w:sz w:val="24"/>
        </w:rPr>
        <w:t>1.3 研究目的和意义</w:t>
      </w:r>
      <w:bookmarkEnd w:id="3"/>
    </w:p>
    <w:p w14:paraId="58E876DD">
      <w:pPr>
        <w:ind w:firstLine="420"/>
        <w:jc w:val="both"/>
      </w:pPr>
      <w:r>
        <w:t>本课题拟实现以下研究目标：</w:t>
      </w:r>
    </w:p>
    <w:p w14:paraId="6FA8B508">
      <w:pPr>
        <w:pStyle w:val="17"/>
        <w:ind w:firstLine="420"/>
        <w:jc w:val="both"/>
      </w:pPr>
      <w:r>
        <w:t>1. 研究工具调用决策状态上的联合蒸馏方法：依据位置类型和师生分歧选择重点监督位置，并在这些位置按教师候选欠覆盖与学生错误候选过估程度调节双向散度，使训练预算和更新方向共同服务于关键调用决策。</w:t>
      </w:r>
    </w:p>
    <w:p w14:paraId="6CEC8EBA">
      <w:pPr>
        <w:pStyle w:val="17"/>
        <w:ind w:firstLine="420"/>
        <w:jc w:val="both"/>
      </w:pPr>
      <w:r>
        <w:t>2. 研究有限教师反馈下的决策感知稀疏蒸馏方法，在 Top-K 支持集中补入漏选的关键决策 token，保留其余尾部概率总量，并按位置风险分配显式候选预算。</w:t>
      </w:r>
    </w:p>
    <w:p w14:paraId="1582C878">
      <w:pPr>
        <w:pStyle w:val="17"/>
        <w:ind w:firstLine="420"/>
        <w:jc w:val="both"/>
      </w:pPr>
      <w:r>
        <w:t>3. 建设在线策略蒸馏的统一测试系统，以可重放轨迹连接同前缀配对回放与独立闭环训练，形成结构化调用错误追踪、同预算比较及分项资源计量的可复查协议。</w:t>
      </w:r>
    </w:p>
    <w:p w14:paraId="1280B22F">
      <w:pPr>
        <w:ind w:firstLine="420"/>
        <w:jc w:val="both"/>
      </w:pPr>
      <w:r>
        <w:t>三项研究沿“决策状态与目标联合设计—有限反馈改进—系统化验证”展开。第一项方法同时决定关键位置及相应更新方向，第二项在有限教师反馈下保留决策信号，第三项分别测量固定前缀上的局部机制和重新训练后的调用表现。三项均须给出可执行规则、受控比较与适用边界。</w:t>
      </w:r>
    </w:p>
    <w:p w14:paraId="486FC300">
      <w:pPr>
        <w:pStyle w:val="2"/>
      </w:pPr>
      <w:bookmarkStart w:id="4" w:name="_Toc1412584205"/>
      <w:r>
        <w:rPr>
          <w:rFonts w:ascii="黑体" w:hAnsi="黑体" w:eastAsia="黑体" w:cs="黑体"/>
          <w:b/>
          <w:color w:val="000000"/>
          <w:sz w:val="28"/>
        </w:rPr>
        <w:t>2．国内外在该方向的研究现状及分析</w:t>
      </w:r>
      <w:bookmarkEnd w:id="4"/>
    </w:p>
    <w:p w14:paraId="4756E8EE">
      <w:pPr>
        <w:pStyle w:val="3"/>
      </w:pPr>
      <w:bookmarkStart w:id="5" w:name="_Toc871015850"/>
      <w:r>
        <w:rPr>
          <w:rFonts w:ascii="黑体" w:hAnsi="黑体" w:eastAsia="黑体" w:cs="黑体"/>
          <w:b/>
          <w:color w:val="000000"/>
          <w:sz w:val="24"/>
        </w:rPr>
        <w:t>2.1 大语言模型后训练和知识蒸馏</w:t>
      </w:r>
      <w:bookmarkEnd w:id="5"/>
    </w:p>
    <w:p w14:paraId="63C19B99">
      <w:pPr>
        <w:ind w:firstLine="420"/>
        <w:jc w:val="both"/>
      </w:pPr>
      <w:r>
        <w:t>相关后训练方法可按监督来源区分。监督微调学习给定目标序列，知识蒸馏利用教师的软分布，偏好优化使用回答之间的偏好关系，强化学习依据任务或环境奖励更新策略。SFT 和序列级蒸馏容易组织结构化样本，但固定前缀与学生推理时的状态可能存在差距[1][2][5]。后文据此比较各类方法的状态来源与优化信号。</w:t>
      </w:r>
    </w:p>
    <w:p w14:paraId="79D4A854">
      <w:pPr>
        <w:ind w:firstLine="420"/>
        <w:jc w:val="both"/>
      </w:pPr>
      <w:r>
        <w:t>知识蒸馏的有效信息来自教师对多个候选的概率分配。在给定生成位置，软目标比 one-hot 标签提供更多相对偏好；进入自回归任务后，前缀来源、采样协议和序列长度也会影响这一偏好的作用。f-divergence 视角将若干分布匹配目标纳入同一框架，为分析序列级蒸馏提供了工具[6]。</w:t>
      </w:r>
    </w:p>
    <w:p w14:paraId="5630C873">
      <w:pPr>
        <w:ind w:firstLine="420"/>
        <w:jc w:val="both"/>
      </w:pPr>
      <w:r>
        <w:t>国内研究已将大模型后训练与轻量化方案作为具体对象。吴春志等比较了全参数、部分参数、新增参数和无参数微调的训练开销及适配方式[28]；舒善富等面向代码大模型，以自适应知识蒸馏协调正向与反向 KL 散度，讨论单一散度对不同概率区域的学习偏好[29]。这些工作为本课题选择 LoRA 学生和分析散度目标提供了参照。</w:t>
      </w:r>
    </w:p>
    <w:p w14:paraId="582869BE">
      <w:pPr>
        <w:ind w:firstLine="420"/>
        <w:jc w:val="both"/>
      </w:pPr>
      <w:r>
        <w:t>按照训练状态和反馈来源，相关方法可作如下区分：</w:t>
      </w:r>
    </w:p>
    <w:p w14:paraId="5A36676E">
      <w:pPr>
        <w:ind w:firstLine="420"/>
        <w:jc w:val="both"/>
      </w:pPr>
    </w:p>
    <w:p w14:paraId="48CDB1C7">
      <w:pPr>
        <w:keepNext/>
        <w:spacing w:before="80" w:after="80" w:line="240" w:lineRule="auto"/>
        <w:ind w:left="0" w:right="0" w:firstLine="0"/>
        <w:jc w:val="center"/>
      </w:pPr>
      <w:r>
        <w:rPr>
          <w:rFonts w:ascii="Times New Roman" w:hAnsi="Times New Roman" w:eastAsia="Songti SC"/>
          <w:sz w:val="21"/>
        </w:rPr>
        <w:t xml:space="preserve">表 </w:t>
      </w:r>
      <w:bookmarkStart w:id="6" w:name="_RefTable2_1"/>
      <w:r>
        <w:rPr>
          <w:rFonts w:ascii="Times New Roman" w:hAnsi="Times New Roman" w:eastAsia="Songti SC"/>
          <w:sz w:val="21"/>
        </w:rPr>
        <w:t>2-</w:t>
      </w:r>
      <w:r>
        <w:rPr>
          <w:rFonts w:ascii="Times New Roman" w:hAnsi="Times New Roman" w:eastAsia="Songti SC"/>
          <w:sz w:val="21"/>
        </w:rPr>
        <w:fldChar w:fldCharType="begin"/>
      </w:r>
      <w:r>
        <w:rPr>
          <w:rFonts w:ascii="Times New Roman" w:hAnsi="Times New Roman" w:eastAsia="Songti SC"/>
          <w:sz w:val="21"/>
        </w:rPr>
        <w:instrText xml:space="preserve"> SEQ TableCh2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6"/>
      <w:r>
        <w:rPr>
          <w:rFonts w:ascii="Times New Roman" w:hAnsi="Times New Roman" w:eastAsia="Songti SC"/>
          <w:sz w:val="21"/>
        </w:rPr>
        <w:t xml:space="preserve">  后训练方法的状态与监督来源对比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1973"/>
        <w:gridCol w:w="2319"/>
        <w:gridCol w:w="2115"/>
      </w:tblGrid>
      <w:tr w14:paraId="25621ACA">
        <w:trPr>
          <w:tblHeader/>
        </w:trPr>
        <w:tc>
          <w:tcPr>
            <w:tcW w:w="4148" w:type="dxa"/>
          </w:tcPr>
          <w:p w14:paraId="4AC86784">
            <w:pPr>
              <w:ind w:firstLine="0"/>
              <w:jc w:val="left"/>
            </w:pPr>
            <w:r>
              <w:rPr>
                <w:b/>
              </w:rPr>
              <w:t>方法类别</w:t>
            </w:r>
          </w:p>
        </w:tc>
        <w:tc>
          <w:tcPr>
            <w:tcW w:w="4148" w:type="dxa"/>
          </w:tcPr>
          <w:p w14:paraId="30076F5E">
            <w:pPr>
              <w:ind w:firstLine="0"/>
              <w:jc w:val="left"/>
            </w:pPr>
            <w:r>
              <w:rPr>
                <w:b/>
              </w:rPr>
              <w:t>学生训练时的主要状态</w:t>
            </w:r>
          </w:p>
        </w:tc>
        <w:tc>
          <w:tcPr>
            <w:tcW w:w="4148" w:type="dxa"/>
          </w:tcPr>
          <w:p w14:paraId="3D0E28BB">
            <w:pPr>
              <w:ind w:firstLine="0"/>
              <w:jc w:val="left"/>
            </w:pPr>
            <w:r>
              <w:rPr>
                <w:b/>
              </w:rPr>
              <w:t>监督或奖励来源</w:t>
            </w:r>
          </w:p>
        </w:tc>
        <w:tc>
          <w:tcPr>
            <w:tcW w:w="4148" w:type="dxa"/>
          </w:tcPr>
          <w:p w14:paraId="167F5C97">
            <w:pPr>
              <w:ind w:firstLine="0"/>
              <w:jc w:val="left"/>
            </w:pPr>
            <w:r>
              <w:rPr>
                <w:b/>
              </w:rPr>
              <w:t>对本课题的启发</w:t>
            </w:r>
          </w:p>
        </w:tc>
      </w:tr>
      <w:tr w14:paraId="02C0E921">
        <w:tc>
          <w:tcPr>
            <w:tcW w:w="4148" w:type="dxa"/>
          </w:tcPr>
          <w:p w14:paraId="2AED74AE">
            <w:pPr>
              <w:ind w:firstLine="0"/>
              <w:jc w:val="left"/>
            </w:pPr>
            <w:r>
              <w:t>SFT/离线蒸馏</w:t>
            </w:r>
          </w:p>
        </w:tc>
        <w:tc>
          <w:tcPr>
            <w:tcW w:w="4148" w:type="dxa"/>
          </w:tcPr>
          <w:p w14:paraId="1D0C6309">
            <w:pPr>
              <w:ind w:firstLine="0"/>
              <w:jc w:val="left"/>
            </w:pPr>
            <w:r>
              <w:t>数据或教师示范前缀</w:t>
            </w:r>
          </w:p>
        </w:tc>
        <w:tc>
          <w:tcPr>
            <w:tcW w:w="4148" w:type="dxa"/>
          </w:tcPr>
          <w:p w14:paraId="66CED08E">
            <w:pPr>
              <w:ind w:firstLine="0"/>
              <w:jc w:val="left"/>
            </w:pPr>
            <w:r>
              <w:t>硬标签、教师序列或软分布</w:t>
            </w:r>
          </w:p>
        </w:tc>
        <w:tc>
          <w:tcPr>
            <w:tcW w:w="4148" w:type="dxa"/>
          </w:tcPr>
          <w:p w14:paraId="12C21A15">
            <w:pPr>
              <w:ind w:firstLine="0"/>
              <w:jc w:val="left"/>
            </w:pPr>
            <w:r>
              <w:t>作为分析 OPD 分布偏移问题的对照</w:t>
            </w:r>
          </w:p>
        </w:tc>
      </w:tr>
      <w:tr w14:paraId="72F129EE">
        <w:tc>
          <w:tcPr>
            <w:tcW w:w="4148" w:type="dxa"/>
          </w:tcPr>
          <w:p w14:paraId="1394DE27">
            <w:pPr>
              <w:ind w:firstLine="0"/>
              <w:jc w:val="left"/>
            </w:pPr>
            <w:r>
              <w:t>模仿学习式蒸馏</w:t>
            </w:r>
          </w:p>
        </w:tc>
        <w:tc>
          <w:tcPr>
            <w:tcW w:w="4148" w:type="dxa"/>
          </w:tcPr>
          <w:p w14:paraId="12DC5B34">
            <w:pPr>
              <w:ind w:firstLine="0"/>
              <w:jc w:val="left"/>
            </w:pPr>
            <w:r>
              <w:t>学生访问的部分状态</w:t>
            </w:r>
          </w:p>
        </w:tc>
        <w:tc>
          <w:tcPr>
            <w:tcW w:w="4148" w:type="dxa"/>
          </w:tcPr>
          <w:p w14:paraId="4256DCDE">
            <w:pPr>
              <w:ind w:firstLine="0"/>
              <w:jc w:val="left"/>
            </w:pPr>
            <w:r>
              <w:t>专家动作或教师反馈</w:t>
            </w:r>
          </w:p>
        </w:tc>
        <w:tc>
          <w:tcPr>
            <w:tcW w:w="4148" w:type="dxa"/>
          </w:tcPr>
          <w:p w14:paraId="7B6D34ED">
            <w:pPr>
              <w:ind w:firstLine="0"/>
              <w:jc w:val="left"/>
            </w:pPr>
            <w:r>
              <w:t>说明教师为何需要在学生前缀上提供反馈</w:t>
            </w:r>
          </w:p>
        </w:tc>
      </w:tr>
      <w:tr w14:paraId="0AEBC808">
        <w:tc>
          <w:tcPr>
            <w:tcW w:w="4148" w:type="dxa"/>
          </w:tcPr>
          <w:p w14:paraId="5626CA6B">
            <w:pPr>
              <w:ind w:firstLine="0"/>
              <w:jc w:val="left"/>
            </w:pPr>
            <w:r>
              <w:t>OPD</w:t>
            </w:r>
          </w:p>
        </w:tc>
        <w:tc>
          <w:tcPr>
            <w:tcW w:w="4148" w:type="dxa"/>
          </w:tcPr>
          <w:p w14:paraId="4A297CA7">
            <w:pPr>
              <w:ind w:firstLine="0"/>
              <w:jc w:val="left"/>
            </w:pPr>
            <w:r>
              <w:t>学生自身生成轨迹</w:t>
            </w:r>
          </w:p>
        </w:tc>
        <w:tc>
          <w:tcPr>
            <w:tcW w:w="4148" w:type="dxa"/>
          </w:tcPr>
          <w:p w14:paraId="26ADA3E2">
            <w:pPr>
              <w:ind w:firstLine="0"/>
              <w:jc w:val="left"/>
            </w:pPr>
            <w:r>
              <w:t>教师 token 分布或 log-prob</w:t>
            </w:r>
          </w:p>
        </w:tc>
        <w:tc>
          <w:tcPr>
            <w:tcW w:w="4148" w:type="dxa"/>
          </w:tcPr>
          <w:p w14:paraId="11E7E14B">
            <w:pPr>
              <w:ind w:firstLine="0"/>
              <w:jc w:val="left"/>
            </w:pPr>
            <w:r>
              <w:t>本课题的主要研究对象</w:t>
            </w:r>
          </w:p>
        </w:tc>
      </w:tr>
      <w:tr w14:paraId="6867B21F">
        <w:tc>
          <w:tcPr>
            <w:tcW w:w="4148" w:type="dxa"/>
          </w:tcPr>
          <w:p w14:paraId="1C6E59DC">
            <w:pPr>
              <w:ind w:firstLine="0"/>
              <w:jc w:val="left"/>
            </w:pPr>
            <w:r>
              <w:t>偏好优化/RL</w:t>
            </w:r>
          </w:p>
        </w:tc>
        <w:tc>
          <w:tcPr>
            <w:tcW w:w="4148" w:type="dxa"/>
          </w:tcPr>
          <w:p w14:paraId="5BFE3E11">
            <w:pPr>
              <w:ind w:firstLine="0"/>
              <w:jc w:val="left"/>
            </w:pPr>
            <w:r>
              <w:t>学生采样或离线偏好状态</w:t>
            </w:r>
          </w:p>
        </w:tc>
        <w:tc>
          <w:tcPr>
            <w:tcW w:w="4148" w:type="dxa"/>
          </w:tcPr>
          <w:p w14:paraId="4B2F00AC">
            <w:pPr>
              <w:ind w:firstLine="0"/>
              <w:jc w:val="left"/>
            </w:pPr>
            <w:r>
              <w:t>偏好关系、环境奖励</w:t>
            </w:r>
          </w:p>
        </w:tc>
        <w:tc>
          <w:tcPr>
            <w:tcW w:w="4148" w:type="dxa"/>
          </w:tcPr>
          <w:p w14:paraId="75606103">
            <w:pPr>
              <w:ind w:firstLine="0"/>
              <w:jc w:val="left"/>
            </w:pPr>
            <w:r>
              <w:t>用于区分密集教师反馈与稀疏奖励</w:t>
            </w:r>
          </w:p>
        </w:tc>
      </w:tr>
    </w:tbl>
    <w:p w14:paraId="43527EF3">
      <w:pPr>
        <w:ind w:firstLine="420" w:firstLineChars="0"/>
        <w:jc w:val="both"/>
      </w:pPr>
      <w:r>
        <w:t>实际系统可以在 SFT 后继续进行 OPD，也可能同时引入教师反馈和任务奖励。本文选择 LoRA-OPD 路线，将学生到访状态、师生分布匹配目标和教师反馈粒度作为主要变量；RLHF 与 DPO 用于交代相关后训练背景。</w:t>
      </w:r>
    </w:p>
    <w:p w14:paraId="0CA6A73A">
      <w:pPr>
        <w:spacing w:before="0" w:after="0" w:line="360" w:lineRule="auto"/>
        <w:ind w:firstLine="420"/>
        <w:jc w:val="both"/>
      </w:pPr>
      <w:r>
        <w:rPr>
          <w:rFonts w:ascii="Times New Roman" w:hAnsi="Times New Roman" w:eastAsia="宋体"/>
          <w:sz w:val="24"/>
        </w:rPr>
        <w:t>经典知识蒸馏通过温度缩放呈现教师分布中类别之间的相对关系[1]。Kim 和 Rush 将蒸馏扩展到序列级，用教师生成结果替代或补充原始目标[2]。固定语料和教师轨迹为学生提供了稳定样本，但学生推理时产生的偏离前缀仍可能缺少直接监督。</w:t>
      </w:r>
    </w:p>
    <w:p w14:paraId="4D703704">
      <w:pPr>
        <w:spacing w:before="0" w:after="0" w:line="360" w:lineRule="auto"/>
        <w:ind w:firstLine="420"/>
        <w:jc w:val="both"/>
      </w:pPr>
      <w:r>
        <w:rPr>
          <w:rFonts w:ascii="Times New Roman" w:hAnsi="Times New Roman" w:eastAsia="宋体"/>
          <w:sz w:val="24"/>
        </w:rPr>
        <w:t>DAgger 研究模仿学习中的误差累积：学习器依据自身预测推进状态，早期错误会改变后续输入分布，使固定数据上的监督逐渐失配[3]。ImitKD 将交互式蒸馏用于神经机器翻译，在学生生成的状态上查询教师[4]。沿着这一思路，在线策略蒸馏让教师在学生实际访问的前缀上评分，从而使训练状态更接近推理过程。</w:t>
      </w:r>
    </w:p>
    <w:p w14:paraId="24D76E42">
      <w:pPr>
        <w:pStyle w:val="3"/>
      </w:pPr>
      <w:bookmarkStart w:id="7" w:name="_Toc1914852998"/>
      <w:r>
        <w:rPr>
          <w:rFonts w:ascii="黑体" w:hAnsi="黑体" w:eastAsia="黑体" w:cs="黑体"/>
          <w:b/>
          <w:color w:val="000000"/>
          <w:sz w:val="24"/>
        </w:rPr>
        <w:t>2.2 分布偏移与在线策略蒸馏</w:t>
      </w:r>
      <w:bookmarkEnd w:id="7"/>
    </w:p>
    <w:p w14:paraId="7027805E">
      <w:pPr>
        <w:ind w:firstLine="420"/>
        <w:jc w:val="both"/>
      </w:pPr>
      <w:r>
        <w:t>自回归模型在训练中常读取参考序列前缀，推理时则依赖自身生成结果。DAgger 在学习器到访状态上查询专家[3]，ImitKD 将这一做法用于自回归蒸馏[4]。OPD 继承了学生状态上的监督方式，并进一步利用教师的 token 分布或对数概率提供软反馈。</w:t>
      </w:r>
    </w:p>
    <w:p w14:paraId="6D834263">
      <w:pPr>
        <w:ind w:firstLine="420"/>
        <w:jc w:val="both"/>
      </w:pPr>
      <w:r>
        <w:t>GKD 使学生在自生成轨迹上接受教师指导，并比较生成方式与散度设置[7]。MiniLLM 从序列级目标讨论 Reverse KL 的模式选择倾向[8]；DistiLLM 则结合 skew KL 和样本复用，权衡效果与开销[9]。SWITCH 注意到学生生成序列中的噪声，通过选择性教师介入改善长序列蒸馏[10]。这些研究分别触及状态来源、匹配目标和教师反馈成本。</w:t>
      </w:r>
    </w:p>
    <w:p w14:paraId="6F1DB8D0">
      <w:pPr>
        <w:ind w:firstLine="420"/>
        <w:jc w:val="both"/>
      </w:pPr>
      <w:r>
        <w:t>近期 OPD 研究进一步关注效率、稳定性和监督适配。前缀蒸馏发现，较短的学生前缀在其设置下保留了主要训练信号，并降低计算量[11]；Veto 通过重构目标分布调节低置信度 token 的梯度及生成多样性[12]；PromptKD 从学生可学习性出发调整教师监督[13]。模型压缩综述与蒸馏设计空间研究也指出，目标函数、师生能力差距和计算预算需要共同考虑[14][15]。</w:t>
      </w:r>
    </w:p>
    <w:p w14:paraId="29B55A45">
      <w:pPr>
        <w:ind w:firstLine="420"/>
        <w:jc w:val="both"/>
      </w:pPr>
      <w:r>
        <w:t>比较 OPD 方法时，需要同时交代学生生成了哪些训练状态、教师分布通过什么目标产生梯度，以及每个状态保留了多少词表信息。GKD 的散度比较、MiniLLM 的序列目标和 DistiLLM 的反馈复用侧重点各异。本文分别记录状态来源、目标定义和反馈支持集，以便解释各环节对工具调用结果的影响。</w:t>
      </w:r>
    </w:p>
    <w:p w14:paraId="4737EE54">
      <w:pPr>
        <w:ind w:firstLine="420"/>
        <w:jc w:val="both"/>
      </w:pPr>
      <w:r>
        <w:t>师生兼容性也影响知识传递。推理模式、输出格式和工具调用习惯的差异，会改变教师在学生前缀上给出的概率分布；学生容量则限制其拟合能力。SWITCH、PromptKD 和稳定化 OPD 分别讨论学生轨迹噪声、学生友好监督与目标重构[10][12][13]。本文将在实验中记录格式错误与师生支持集重叠，检查这些因素是否干扰散度和稀疏反馈的比较。</w:t>
      </w:r>
    </w:p>
    <w:p w14:paraId="5333E2F1">
      <w:pPr>
        <w:spacing w:before="0" w:after="0" w:line="360" w:lineRule="auto"/>
        <w:ind w:firstLine="420"/>
        <w:jc w:val="both"/>
      </w:pPr>
      <w:r>
        <w:rPr>
          <w:rFonts w:ascii="Times New Roman" w:hAnsi="Times New Roman" w:eastAsia="宋体"/>
          <w:sz w:val="24"/>
        </w:rPr>
        <w:t>OPD 的关键变化是训练状态来自学生生成。GKD 在学生到访前缀上施加教师分布监督，并比较多种散度[7]；MiniLLM 的序列级 Reverse KL 更强调学生轨迹附近的教师高概率区域[8]；DistiLLM 通过 skew KL 和样本复用研究训练效果及反馈效率[9]。文献中的差异同时涉及状态、目标和信息获取方式，后续比较需要把这些变量分别固定或记录。</w:t>
      </w:r>
    </w:p>
    <w:p w14:paraId="2D5A62DC">
      <w:pPr>
        <w:spacing w:before="0" w:after="0" w:line="360" w:lineRule="auto"/>
        <w:ind w:firstLine="420"/>
        <w:jc w:val="both"/>
      </w:pPr>
      <w:r>
        <w:rPr>
          <w:rFonts w:ascii="Times New Roman" w:hAnsi="Times New Roman" w:eastAsia="宋体"/>
          <w:sz w:val="24"/>
        </w:rPr>
        <w:t>随着学生生成数据进入训练，研究进一步追问哪些到访位置值得监督。前缀蒸馏以较短轨迹降低采样成本[11]；稳定化 OPD 处理早期噪声反馈与异常梯度[12]；PromptKD 关注教师信号能否被学生有效吸收[13]。本文据此建立受控实验：共享模型、数据、预算和评测协议，分别考察状态位置、散度目标及反馈粒度。</w:t>
      </w:r>
    </w:p>
    <w:p w14:paraId="6975A843">
      <w:pPr>
        <w:pStyle w:val="3"/>
      </w:pPr>
      <w:bookmarkStart w:id="8" w:name="_Toc744403444"/>
      <w:r>
        <w:rPr>
          <w:rFonts w:ascii="黑体" w:hAnsi="黑体" w:eastAsia="黑体" w:cs="黑体"/>
          <w:b/>
          <w:color w:val="000000"/>
          <w:sz w:val="24"/>
        </w:rPr>
        <w:t>2.3 KL 散度方向与广义散度</w:t>
      </w:r>
      <w:bookmarkEnd w:id="8"/>
    </w:p>
    <w:p w14:paraId="696D2E03">
      <w:pPr>
        <w:ind w:firstLine="420"/>
        <w:jc w:val="both"/>
      </w:pPr>
      <w:r>
        <w:t xml:space="preserve">KL 散度由 Kullback 和 Leibler 在信息论研究中提出[17]。令 </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T</m:t>
            </m:r>
            <m:ctrlPr>
              <w:rPr>
                <w:rFonts w:ascii="DejaVu Math TeX Gyre" w:hAnsi="DejaVu Math TeX Gyre"/>
                <w:sz w:val="24"/>
              </w:rPr>
            </m:ctrlPr>
          </m:sub>
        </m:sSub>
      </m:oMath>
      <w:r>
        <w:t xml:space="preserve"> 与 </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S</m:t>
            </m:r>
            <m:ctrlPr>
              <w:rPr>
                <w:rFonts w:ascii="DejaVu Math TeX Gyre" w:hAnsi="DejaVu Math TeX Gyre"/>
                <w:sz w:val="24"/>
              </w:rPr>
            </m:ctrlPr>
          </m:sub>
        </m:sSub>
      </m:oMath>
      <w:r>
        <w:t xml:space="preserve"> 分别表示教师分布和学生分布，Forward KL 与 Reverse KL 定义为：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707F908">
        <w:trPr>
          <w:cantSplit/>
          <w:jc w:val="center"/>
        </w:trPr>
        <w:tc>
          <w:tcPr>
            <w:tcW w:w="650" w:type="dxa"/>
            <w:tcMar>
              <w:top w:w="0" w:type="dxa"/>
              <w:left w:w="0" w:type="dxa"/>
              <w:bottom w:w="0" w:type="dxa"/>
              <w:right w:w="0" w:type="dxa"/>
            </w:tcMar>
            <w:vAlign w:val="center"/>
          </w:tcPr>
          <w:p w14:paraId="47330E62">
            <w:pPr>
              <w:spacing w:before="0" w:after="0"/>
              <w:jc w:val="left"/>
            </w:pPr>
          </w:p>
        </w:tc>
        <w:tc>
          <w:tcPr>
            <w:tcW w:w="7006" w:type="dxa"/>
            <w:tcMar>
              <w:top w:w="0" w:type="dxa"/>
              <w:left w:w="0" w:type="dxa"/>
              <w:bottom w:w="0" w:type="dxa"/>
              <w:right w:w="0" w:type="dxa"/>
            </w:tcMar>
            <w:vAlign w:val="center"/>
          </w:tcPr>
          <w:p w14:paraId="17A328F2">
            <w:pPr>
              <w:spacing w:before="0" w:after="0"/>
              <w:jc w:val="center"/>
            </w:pPr>
            <m:oMathPara>
              <m:oMath>
                <m:sSub>
                  <m:sSubPr/>
                  <m:e>
                    <m:r>
                      <m:rPr/>
                      <m:t>D</m:t>
                    </m:r>
                  </m:e>
                  <m:sub>
                    <m:r>
                      <m:rPr>
                        <m:sty m:val="p"/>
                      </m:rPr>
                      <m:t>FKL</m:t>
                    </m:r>
                  </m:sub>
                </m:sSub>
                <m:d>
                  <m:dPr>
                    <m:sepChr m:val=","/>
                  </m:dPr>
                  <m:e>
                    <m:sSub>
                      <m:sSubPr/>
                      <m:e>
                        <m:r>
                          <m:rPr/>
                          <m:t>p</m:t>
                        </m:r>
                      </m:e>
                      <m:sub>
                        <m:r>
                          <m:rPr/>
                          <m:t>T</m:t>
                        </m:r>
                      </m:sub>
                    </m:sSub>
                    <m:r>
                      <m:rPr/>
                      <m:t>∥</m:t>
                    </m:r>
                    <m:sSub>
                      <m:sSubPr/>
                      <m:e>
                        <m:r>
                          <m:rPr/>
                          <m:t>p</m:t>
                        </m:r>
                      </m:e>
                      <m:sub>
                        <m:r>
                          <m:rPr/>
                          <m:t>S</m:t>
                        </m:r>
                      </m:sub>
                    </m:sSub>
                  </m:e>
                </m:d>
                <m:r>
                  <m:rPr/>
                  <m:t>=</m:t>
                </m:r>
                <m:nary>
                  <m:naryPr>
                    <m:chr m:val="∑"/>
                    <m:grow m:val="1"/>
                    <m:limLoc m:val="subSup"/>
                    <m:supHide m:val="1"/>
                  </m:naryPr>
                  <m:sub>
                    <m:r>
                      <m:rPr/>
                      <m:t>v∈</m:t>
                    </m:r>
                    <m:r>
                      <m:rPr>
                        <m:scr m:val="script"/>
                      </m:rPr>
                      <m:t>V</m:t>
                    </m:r>
                  </m:sub>
                  <m:sup/>
                  <m:e>
                    <m:sSub>
                      <m:sSubPr/>
                      <m:e>
                        <m:r>
                          <m:rPr/>
                          <m:t>p</m:t>
                        </m:r>
                      </m:e>
                      <m:sub>
                        <m:r>
                          <m:rPr/>
                          <m:t>T</m:t>
                        </m:r>
                      </m:sub>
                    </m:sSub>
                    <m:d>
                      <m:dPr>
                        <m:sepChr m:val=","/>
                      </m:dPr>
                      <m:e>
                        <m:r>
                          <m:rPr/>
                          <m:t>v</m:t>
                        </m:r>
                      </m:e>
                    </m:d>
                  </m:e>
                </m:nary>
                <m:r>
                  <m:rPr>
                    <m:sty m:val="p"/>
                  </m:rPr>
                  <m:t>log</m:t>
                </m:r>
                <m:d>
                  <m:dPr>
                    <m:sepChr m:val=","/>
                  </m:dPr>
                  <m:e>
                    <m:f>
                      <m:fPr/>
                      <m:num>
                        <m:sSub>
                          <m:sSubPr/>
                          <m:e>
                            <m:r>
                              <m:rPr/>
                              <m:t>p</m:t>
                            </m:r>
                          </m:e>
                          <m:sub>
                            <m:r>
                              <m:rPr/>
                              <m:t>T</m:t>
                            </m:r>
                          </m:sub>
                        </m:sSub>
                        <m:d>
                          <m:dPr>
                            <m:sepChr m:val=","/>
                          </m:dPr>
                          <m:e>
                            <m:r>
                              <m:rPr/>
                              <m:t>v</m:t>
                            </m:r>
                          </m:e>
                        </m:d>
                      </m:num>
                      <m:den>
                        <m:sSub>
                          <m:sSubPr/>
                          <m:e>
                            <m:r>
                              <m:rPr/>
                              <m:t>p</m:t>
                            </m:r>
                          </m:e>
                          <m:sub>
                            <m:r>
                              <m:rPr/>
                              <m:t>S</m:t>
                            </m:r>
                          </m:sub>
                        </m:sSub>
                        <m:d>
                          <m:dPr>
                            <m:sepChr m:val=","/>
                          </m:dPr>
                          <m:e>
                            <m:r>
                              <m:rPr/>
                              <m:t>v</m:t>
                            </m:r>
                          </m:e>
                        </m:d>
                      </m:den>
                    </m:f>
                  </m:e>
                </m:d>
              </m:oMath>
            </m:oMathPara>
          </w:p>
        </w:tc>
        <w:tc>
          <w:tcPr>
            <w:tcW w:w="650" w:type="dxa"/>
            <w:tcMar>
              <w:top w:w="0" w:type="dxa"/>
              <w:left w:w="0" w:type="dxa"/>
              <w:bottom w:w="0" w:type="dxa"/>
              <w:right w:w="0" w:type="dxa"/>
            </w:tcMar>
            <w:vAlign w:val="center"/>
          </w:tcPr>
          <w:p w14:paraId="4AD843DA">
            <w:pPr>
              <w:spacing w:before="0" w:after="0"/>
              <w:jc w:val="right"/>
            </w:pPr>
            <w:bookmarkStart w:id="9" w:name="_RefEq2_1"/>
            <w:r>
              <w:t>(2-</w:t>
            </w:r>
            <w:r>
              <w:fldChar w:fldCharType="begin"/>
            </w:r>
            <w:r>
              <w:instrText xml:space="preserve"> SEQ Eq2 \* ARABIC </w:instrText>
            </w:r>
            <w:r>
              <w:fldChar w:fldCharType="separate"/>
            </w:r>
            <w:r>
              <w:t>1</w:t>
            </w:r>
            <w:r>
              <w:fldChar w:fldCharType="end"/>
            </w:r>
            <w:r>
              <w:t>)</w:t>
            </w:r>
            <w:bookmarkEnd w:id="9"/>
          </w:p>
        </w:tc>
      </w:tr>
      <w:tr w14:paraId="5A552B1E">
        <w:trPr>
          <w:cantSplit/>
          <w:jc w:val="center"/>
        </w:trPr>
        <w:tc>
          <w:tcPr>
            <w:tcW w:w="650" w:type="dxa"/>
            <w:tcMar>
              <w:top w:w="0" w:type="dxa"/>
              <w:left w:w="0" w:type="dxa"/>
              <w:bottom w:w="0" w:type="dxa"/>
              <w:right w:w="0" w:type="dxa"/>
            </w:tcMar>
            <w:vAlign w:val="center"/>
          </w:tcPr>
          <w:p w14:paraId="7254F6A6">
            <w:pPr>
              <w:spacing w:before="0" w:after="0"/>
              <w:jc w:val="left"/>
            </w:pPr>
          </w:p>
        </w:tc>
        <w:tc>
          <w:tcPr>
            <w:tcW w:w="7006" w:type="dxa"/>
            <w:tcMar>
              <w:top w:w="0" w:type="dxa"/>
              <w:left w:w="0" w:type="dxa"/>
              <w:bottom w:w="0" w:type="dxa"/>
              <w:right w:w="0" w:type="dxa"/>
            </w:tcMar>
            <w:vAlign w:val="center"/>
          </w:tcPr>
          <w:p w14:paraId="60871991">
            <w:pPr>
              <w:spacing w:before="0" w:after="0"/>
              <w:jc w:val="center"/>
            </w:pPr>
            <m:oMathPara>
              <m:oMath>
                <m:sSub>
                  <m:sSubPr/>
                  <m:e>
                    <m:r>
                      <m:rPr/>
                      <m:t>D</m:t>
                    </m:r>
                  </m:e>
                  <m:sub>
                    <m:r>
                      <m:rPr>
                        <m:sty m:val="p"/>
                      </m:rPr>
                      <m:t>RKL</m:t>
                    </m:r>
                  </m:sub>
                </m:sSub>
                <m:d>
                  <m:dPr>
                    <m:sepChr m:val=","/>
                  </m:dPr>
                  <m:e>
                    <m:sSub>
                      <m:sSubPr/>
                      <m:e>
                        <m:r>
                          <m:rPr/>
                          <m:t>p</m:t>
                        </m:r>
                      </m:e>
                      <m:sub>
                        <m:r>
                          <m:rPr/>
                          <m:t>S</m:t>
                        </m:r>
                      </m:sub>
                    </m:sSub>
                    <m:r>
                      <m:rPr/>
                      <m:t>∥</m:t>
                    </m:r>
                    <m:sSub>
                      <m:sSubPr/>
                      <m:e>
                        <m:r>
                          <m:rPr/>
                          <m:t>p</m:t>
                        </m:r>
                      </m:e>
                      <m:sub>
                        <m:r>
                          <m:rPr/>
                          <m:t>T</m:t>
                        </m:r>
                      </m:sub>
                    </m:sSub>
                  </m:e>
                </m:d>
                <m:r>
                  <m:rPr/>
                  <m:t>=</m:t>
                </m:r>
                <m:nary>
                  <m:naryPr>
                    <m:chr m:val="∑"/>
                    <m:grow m:val="1"/>
                    <m:limLoc m:val="subSup"/>
                    <m:supHide m:val="1"/>
                  </m:naryPr>
                  <m:sub>
                    <m:r>
                      <m:rPr/>
                      <m:t>v∈</m:t>
                    </m:r>
                    <m:r>
                      <m:rPr>
                        <m:scr m:val="script"/>
                      </m:rPr>
                      <m:t>V</m:t>
                    </m:r>
                  </m:sub>
                  <m:sup/>
                  <m:e>
                    <m:sSub>
                      <m:sSubPr/>
                      <m:e>
                        <m:r>
                          <m:rPr/>
                          <m:t>p</m:t>
                        </m:r>
                      </m:e>
                      <m:sub>
                        <m:r>
                          <m:rPr/>
                          <m:t>S</m:t>
                        </m:r>
                      </m:sub>
                    </m:sSub>
                    <m:d>
                      <m:dPr>
                        <m:sepChr m:val=","/>
                      </m:dPr>
                      <m:e>
                        <m:r>
                          <m:rPr/>
                          <m:t>v</m:t>
                        </m:r>
                      </m:e>
                    </m:d>
                  </m:e>
                </m:nary>
                <m:r>
                  <m:rPr>
                    <m:sty m:val="p"/>
                  </m:rPr>
                  <m:t>log</m:t>
                </m:r>
                <m:d>
                  <m:dPr>
                    <m:sepChr m:val=","/>
                  </m:dPr>
                  <m:e>
                    <m:f>
                      <m:fPr/>
                      <m:num>
                        <m:sSub>
                          <m:sSubPr/>
                          <m:e>
                            <m:r>
                              <m:rPr/>
                              <m:t>p</m:t>
                            </m:r>
                          </m:e>
                          <m:sub>
                            <m:r>
                              <m:rPr/>
                              <m:t>S</m:t>
                            </m:r>
                          </m:sub>
                        </m:sSub>
                        <m:d>
                          <m:dPr>
                            <m:sepChr m:val=","/>
                          </m:dPr>
                          <m:e>
                            <m:r>
                              <m:rPr/>
                              <m:t>v</m:t>
                            </m:r>
                          </m:e>
                        </m:d>
                      </m:num>
                      <m:den>
                        <m:sSub>
                          <m:sSubPr/>
                          <m:e>
                            <m:r>
                              <m:rPr/>
                              <m:t>p</m:t>
                            </m:r>
                          </m:e>
                          <m:sub>
                            <m:r>
                              <m:rPr/>
                              <m:t>T</m:t>
                            </m:r>
                          </m:sub>
                        </m:sSub>
                        <m:d>
                          <m:dPr>
                            <m:sepChr m:val=","/>
                          </m:dPr>
                          <m:e>
                            <m:r>
                              <m:rPr/>
                              <m:t>v</m:t>
                            </m:r>
                          </m:e>
                        </m:d>
                      </m:den>
                    </m:f>
                  </m:e>
                </m:d>
              </m:oMath>
            </m:oMathPara>
          </w:p>
        </w:tc>
        <w:tc>
          <w:tcPr>
            <w:tcW w:w="650" w:type="dxa"/>
            <w:tcMar>
              <w:top w:w="0" w:type="dxa"/>
              <w:left w:w="0" w:type="dxa"/>
              <w:bottom w:w="0" w:type="dxa"/>
              <w:right w:w="0" w:type="dxa"/>
            </w:tcMar>
            <w:vAlign w:val="center"/>
          </w:tcPr>
          <w:p w14:paraId="6141DF6C">
            <w:pPr>
              <w:spacing w:before="0" w:after="0"/>
              <w:jc w:val="right"/>
            </w:pPr>
            <w:bookmarkStart w:id="10" w:name="_RefEq2_2"/>
            <w:r>
              <w:t>(2-</w:t>
            </w:r>
            <w:r>
              <w:fldChar w:fldCharType="begin"/>
            </w:r>
            <w:r>
              <w:instrText xml:space="preserve"> SEQ Eq2 \* ARABIC </w:instrText>
            </w:r>
            <w:r>
              <w:fldChar w:fldCharType="separate"/>
            </w:r>
            <w:r>
              <w:t>2</w:t>
            </w:r>
            <w:r>
              <w:fldChar w:fldCharType="end"/>
            </w:r>
            <w:r>
              <w:t>)</w:t>
            </w:r>
            <w:bookmarkEnd w:id="10"/>
          </w:p>
        </w:tc>
      </w:tr>
    </w:tbl>
    <w:p w14:paraId="491E25B6">
      <w:pPr>
        <w:ind w:firstLine="420"/>
        <w:jc w:val="both"/>
      </w:pPr>
      <w:r>
        <w:t>Forward KL 以教师概率加权，鼓励学生覆盖教师认为合理的区域；Reverse KL 以学生概率加权，更关注当前学生容易生成的候选。mode-covering 与 mode-seeking 概括了两种倾向[7][8]，但模型容量、温度、采样协议和支持集都会影响实际梯度与生成行为。本文将从函数选择和参数生成等具体位置观察这些差异。</w:t>
      </w:r>
    </w:p>
    <w:p w14:paraId="5283D502">
      <w:pPr>
        <w:ind w:firstLine="420"/>
        <w:jc w:val="both"/>
      </w:pPr>
      <w:r>
        <w:t>广义散度可在不同的分布匹配偏好之间进行调节。Jensen-Shannon 散度由教师分布、学生分布及其混合分布定义，形式如下[18]：</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3E04EA2B">
        <w:trPr>
          <w:cantSplit/>
          <w:jc w:val="center"/>
        </w:trPr>
        <w:tc>
          <w:tcPr>
            <w:tcW w:w="650" w:type="dxa"/>
            <w:tcMar>
              <w:top w:w="0" w:type="dxa"/>
              <w:left w:w="0" w:type="dxa"/>
              <w:bottom w:w="0" w:type="dxa"/>
              <w:right w:w="0" w:type="dxa"/>
            </w:tcMar>
            <w:vAlign w:val="center"/>
          </w:tcPr>
          <w:p w14:paraId="249782E5">
            <w:pPr>
              <w:spacing w:before="0" w:after="0"/>
              <w:jc w:val="left"/>
            </w:pPr>
          </w:p>
        </w:tc>
        <w:tc>
          <w:tcPr>
            <w:tcW w:w="7006" w:type="dxa"/>
            <w:tcMar>
              <w:top w:w="0" w:type="dxa"/>
              <w:left w:w="0" w:type="dxa"/>
              <w:bottom w:w="0" w:type="dxa"/>
              <w:right w:w="0" w:type="dxa"/>
            </w:tcMar>
            <w:vAlign w:val="center"/>
          </w:tcPr>
          <w:p w14:paraId="045B128C">
            <w:pPr>
              <w:spacing w:before="0" w:after="0"/>
              <w:jc w:val="center"/>
            </w:pPr>
            <m:oMathPara>
              <m:oMath>
                <m:r>
                  <m:rPr/>
                  <m:t>m=</m:t>
                </m:r>
                <m:f>
                  <m:fPr/>
                  <m:num>
                    <m:sSub>
                      <m:sSubPr/>
                      <m:e>
                        <m:r>
                          <m:rPr/>
                          <m:t>p</m:t>
                        </m:r>
                      </m:e>
                      <m:sub>
                        <m:r>
                          <m:rPr/>
                          <m:t>T</m:t>
                        </m:r>
                      </m:sub>
                    </m:sSub>
                    <m:r>
                      <m:rPr/>
                      <m:t>+</m:t>
                    </m:r>
                    <m:sSub>
                      <m:sSubPr/>
                      <m:e>
                        <m:r>
                          <m:rPr/>
                          <m:t>p</m:t>
                        </m:r>
                      </m:e>
                      <m:sub>
                        <m:r>
                          <m:rPr/>
                          <m:t>S</m:t>
                        </m:r>
                      </m:sub>
                    </m:sSub>
                  </m:num>
                  <m:den>
                    <m:r>
                      <m:rPr/>
                      <m:t>2</m:t>
                    </m:r>
                  </m:den>
                </m:f>
              </m:oMath>
            </m:oMathPara>
          </w:p>
        </w:tc>
        <w:tc>
          <w:tcPr>
            <w:tcW w:w="650" w:type="dxa"/>
            <w:tcMar>
              <w:top w:w="0" w:type="dxa"/>
              <w:left w:w="0" w:type="dxa"/>
              <w:bottom w:w="0" w:type="dxa"/>
              <w:right w:w="0" w:type="dxa"/>
            </w:tcMar>
            <w:vAlign w:val="center"/>
          </w:tcPr>
          <w:p w14:paraId="6D5591E8">
            <w:pPr>
              <w:spacing w:before="0" w:after="0"/>
              <w:jc w:val="right"/>
            </w:pPr>
            <w:bookmarkStart w:id="11" w:name="_RefEq2_3"/>
            <w:r>
              <w:t>(2-</w:t>
            </w:r>
            <w:r>
              <w:fldChar w:fldCharType="begin"/>
            </w:r>
            <w:r>
              <w:instrText xml:space="preserve"> SEQ Eq2 \* ARABIC </w:instrText>
            </w:r>
            <w:r>
              <w:fldChar w:fldCharType="separate"/>
            </w:r>
            <w:r>
              <w:t>3</w:t>
            </w:r>
            <w:r>
              <w:fldChar w:fldCharType="end"/>
            </w:r>
            <w:r>
              <w:t>)</w:t>
            </w:r>
            <w:bookmarkEnd w:id="11"/>
          </w:p>
        </w:tc>
      </w:tr>
      <w:tr w14:paraId="286E985D">
        <w:trPr>
          <w:cantSplit/>
          <w:jc w:val="center"/>
        </w:trPr>
        <w:tc>
          <w:tcPr>
            <w:tcW w:w="650" w:type="dxa"/>
            <w:tcMar>
              <w:top w:w="0" w:type="dxa"/>
              <w:left w:w="0" w:type="dxa"/>
              <w:bottom w:w="0" w:type="dxa"/>
              <w:right w:w="0" w:type="dxa"/>
            </w:tcMar>
            <w:vAlign w:val="center"/>
          </w:tcPr>
          <w:p w14:paraId="2062F0C6">
            <w:pPr>
              <w:spacing w:before="0" w:after="0"/>
              <w:jc w:val="left"/>
            </w:pPr>
          </w:p>
        </w:tc>
        <w:tc>
          <w:tcPr>
            <w:tcW w:w="7006" w:type="dxa"/>
            <w:tcMar>
              <w:top w:w="0" w:type="dxa"/>
              <w:left w:w="0" w:type="dxa"/>
              <w:bottom w:w="0" w:type="dxa"/>
              <w:right w:w="0" w:type="dxa"/>
            </w:tcMar>
            <w:vAlign w:val="center"/>
          </w:tcPr>
          <w:p w14:paraId="5EDA0931">
            <w:pPr>
              <w:spacing w:before="0" w:after="0"/>
              <w:jc w:val="center"/>
            </w:pPr>
            <m:oMathPara>
              <m:oMath>
                <m:sSub>
                  <m:sSubPr/>
                  <m:e>
                    <m:r>
                      <m:rPr/>
                      <m:t>D</m:t>
                    </m:r>
                  </m:e>
                  <m:sub>
                    <m:r>
                      <m:rPr>
                        <m:sty m:val="p"/>
                      </m:rPr>
                      <m:t>JS</m:t>
                    </m:r>
                  </m:sub>
                </m:sSub>
                <m:d>
                  <m:dPr>
                    <m:sepChr m:val=","/>
                  </m:dPr>
                  <m:e>
                    <m:sSub>
                      <m:sSubPr/>
                      <m:e>
                        <m:r>
                          <m:rPr/>
                          <m:t>p</m:t>
                        </m:r>
                      </m:e>
                      <m:sub>
                        <m:r>
                          <m:rPr/>
                          <m:t>T</m:t>
                        </m:r>
                      </m:sub>
                    </m:sSub>
                    <m:r>
                      <m:rPr/>
                      <m:t>,</m:t>
                    </m:r>
                    <m:sSub>
                      <m:sSubPr/>
                      <m:e>
                        <m:r>
                          <m:rPr/>
                          <m:t>p</m:t>
                        </m:r>
                      </m:e>
                      <m:sub>
                        <m:r>
                          <m:rPr/>
                          <m:t>S</m:t>
                        </m:r>
                      </m:sub>
                    </m:sSub>
                  </m:e>
                </m:d>
                <m:r>
                  <m:rPr/>
                  <m:t>=</m:t>
                </m:r>
                <m:f>
                  <m:fPr/>
                  <m:num>
                    <m:r>
                      <m:rPr/>
                      <m:t>1</m:t>
                    </m:r>
                  </m:num>
                  <m:den>
                    <m:r>
                      <m:rPr/>
                      <m:t>2</m:t>
                    </m:r>
                  </m:den>
                </m:f>
                <m:sSub>
                  <m:sSubPr/>
                  <m:e>
                    <m:r>
                      <m:rPr/>
                      <m:t>D</m:t>
                    </m:r>
                  </m:e>
                  <m:sub>
                    <m:r>
                      <m:rPr>
                        <m:sty m:val="p"/>
                      </m:rPr>
                      <m:t>KL</m:t>
                    </m:r>
                  </m:sub>
                </m:sSub>
                <m:d>
                  <m:dPr>
                    <m:sepChr m:val=","/>
                  </m:dPr>
                  <m:e>
                    <m:sSub>
                      <m:sSubPr/>
                      <m:e>
                        <m:r>
                          <m:rPr/>
                          <m:t>p</m:t>
                        </m:r>
                      </m:e>
                      <m:sub>
                        <m:r>
                          <m:rPr/>
                          <m:t>T</m:t>
                        </m:r>
                      </m:sub>
                    </m:sSub>
                    <m:r>
                      <m:rPr/>
                      <m:t>∥m</m:t>
                    </m:r>
                  </m:e>
                </m:d>
                <m:r>
                  <m:rPr/>
                  <m:t>+</m:t>
                </m:r>
                <m:f>
                  <m:fPr/>
                  <m:num>
                    <m:r>
                      <m:rPr/>
                      <m:t>1</m:t>
                    </m:r>
                  </m:num>
                  <m:den>
                    <m:r>
                      <m:rPr/>
                      <m:t>2</m:t>
                    </m:r>
                  </m:den>
                </m:f>
                <m:sSub>
                  <m:sSubPr/>
                  <m:e>
                    <m:r>
                      <m:rPr/>
                      <m:t>D</m:t>
                    </m:r>
                  </m:e>
                  <m:sub>
                    <m:r>
                      <m:rPr>
                        <m:sty m:val="p"/>
                      </m:rPr>
                      <m:t>KL</m:t>
                    </m:r>
                  </m:sub>
                </m:sSub>
                <m:d>
                  <m:dPr>
                    <m:sepChr m:val=","/>
                  </m:dPr>
                  <m:e>
                    <m:sSub>
                      <m:sSubPr/>
                      <m:e>
                        <m:r>
                          <m:rPr/>
                          <m:t>p</m:t>
                        </m:r>
                      </m:e>
                      <m:sub>
                        <m:r>
                          <m:rPr/>
                          <m:t>S</m:t>
                        </m:r>
                      </m:sub>
                    </m:sSub>
                    <m:r>
                      <m:rPr/>
                      <m:t>∥m</m:t>
                    </m:r>
                  </m:e>
                </m:d>
              </m:oMath>
            </m:oMathPara>
          </w:p>
        </w:tc>
        <w:tc>
          <w:tcPr>
            <w:tcW w:w="650" w:type="dxa"/>
            <w:tcMar>
              <w:top w:w="0" w:type="dxa"/>
              <w:left w:w="0" w:type="dxa"/>
              <w:bottom w:w="0" w:type="dxa"/>
              <w:right w:w="0" w:type="dxa"/>
            </w:tcMar>
            <w:vAlign w:val="center"/>
          </w:tcPr>
          <w:p w14:paraId="73532EC7">
            <w:pPr>
              <w:spacing w:before="0" w:after="0"/>
              <w:jc w:val="right"/>
            </w:pPr>
            <w:bookmarkStart w:id="12" w:name="_RefEq2_4"/>
            <w:r>
              <w:t>(2-</w:t>
            </w:r>
            <w:r>
              <w:fldChar w:fldCharType="begin"/>
            </w:r>
            <w:r>
              <w:instrText xml:space="preserve"> SEQ Eq2 \* ARABIC </w:instrText>
            </w:r>
            <w:r>
              <w:fldChar w:fldCharType="separate"/>
            </w:r>
            <w:r>
              <w:t>4</w:t>
            </w:r>
            <w:r>
              <w:fldChar w:fldCharType="end"/>
            </w:r>
            <w:r>
              <w:t>)</w:t>
            </w:r>
            <w:bookmarkEnd w:id="12"/>
          </w:p>
        </w:tc>
      </w:tr>
    </w:tbl>
    <w:p w14:paraId="38927FB6">
      <w:pPr>
        <w:ind w:firstLine="420"/>
        <w:jc w:val="both"/>
      </w:pPr>
      <w:r>
        <w:t>研究选择 JSD 和 skew KL 作为广义散度代表，与 Forward KL、Reverse KL 一起在完整词表上比较。除最终调用准确率外，还分析函数入口、参数和结构 token 上的梯度、熵变化及错误分布。目标函数、混合参数、温度、有效位置和估计方式均随实验配置记录。</w:t>
      </w:r>
    </w:p>
    <w:p w14:paraId="13AF46E7">
      <w:pPr>
        <w:ind w:firstLine="420"/>
        <w:jc w:val="both"/>
      </w:pPr>
      <w:r>
        <w:t>散度偏好可能在 Function Calling 中表现为不同决策。面对同一请求，教师可能同时认可多个函数或参数表达；学生则可能过早集中到某个调用路径。本文比较各目标下的函数误选、过度调用、参数错误和格式错误，结合相同位置的概率与梯度，判断分布匹配目标如何影响完整调用。</w:t>
      </w:r>
    </w:p>
    <w:p w14:paraId="59F60855">
      <w:pPr>
        <w:ind w:firstLine="420"/>
        <w:jc w:val="both"/>
      </w:pPr>
      <w:r>
        <w:t>教师反馈的范围与估计方式同样改变训练目标。完整词表保留有效位置上的全部概率；Top-K 只返回选定支持集，需要明确截断后的归一化及支持集外质量处理；K1 sampled-token 用单次采样估计相应期望。比较时将一并记录信息覆盖范围、教师评分时间、学生生成量、反馈字节数和任务结果。</w:t>
      </w:r>
    </w:p>
    <w:p w14:paraId="58810188">
      <w:pPr>
        <w:spacing w:before="0" w:after="0" w:line="360" w:lineRule="auto"/>
        <w:ind w:firstLine="420"/>
        <w:jc w:val="both"/>
      </w:pPr>
      <w:r>
        <w:rPr>
          <w:rFonts w:ascii="Times New Roman" w:hAnsi="Times New Roman" w:eastAsia="宋体"/>
          <w:sz w:val="24"/>
        </w:rPr>
        <w:t>从目标的加权方式看，教师赋予某个 token 较高概率时，Forward KL 会惩罚学生在该 token 上过低的概率；Reverse KL 更强调学生当前高概率区域的匹配。前者可能保留多种合理候选，后者可能帮助容量有限的学生优先学习主要调用路径[8][9]。这些倾向还受温度、有效位置、序列长度与支持集处理影响，需要结合实际梯度和调用结果判断。</w:t>
      </w:r>
    </w:p>
    <w:p w14:paraId="63D91097">
      <w:pPr>
        <w:spacing w:before="0" w:after="0" w:line="360" w:lineRule="auto"/>
        <w:ind w:firstLine="420"/>
        <w:jc w:val="both"/>
      </w:pPr>
      <w:r>
        <w:rPr>
          <w:rFonts w:ascii="Times New Roman" w:hAnsi="Times New Roman" w:eastAsia="宋体"/>
          <w:sz w:val="24"/>
        </w:rPr>
        <w:t>广义散度与混合目标为调节覆盖和集中程度提供了不同实现。GKD 比较可配置散度[7]，DistiLLM 使用 skew KL[9]，HPD 将 Forward KL 与 Reverse KL 的优势结合[35]。这些工作为本课题提供目标基线；工具调用中的函数选择、参数生成和结构位置具有不同的错误形式，本文据此研究按位置调节的双向目标。Top-K 归一化、教师概率下界、混合精度和序列 mask 可能改变数值尺度，数学定义与实现协议须一并记录。</w:t>
      </w:r>
    </w:p>
    <w:p w14:paraId="423F288F">
      <w:pPr>
        <w:pStyle w:val="3"/>
      </w:pPr>
      <w:bookmarkStart w:id="13" w:name="_Toc2096439533"/>
      <w:r>
        <w:rPr>
          <w:rFonts w:ascii="黑体" w:hAnsi="黑体" w:eastAsia="黑体" w:cs="黑体"/>
          <w:b/>
          <w:color w:val="000000"/>
          <w:sz w:val="24"/>
        </w:rPr>
        <w:t>2.4 监督信息粒度与资源效率</w:t>
      </w:r>
      <w:bookmarkEnd w:id="13"/>
    </w:p>
    <w:p w14:paraId="4D88B3D8">
      <w:pPr>
        <w:ind w:firstLine="420"/>
        <w:jc w:val="both"/>
      </w:pPr>
      <w:r>
        <w:t>OPD 需要教师在学生访问的大量位置返回反馈[7]。完整词表保存候选之间的细粒度关系，其存储和传输量随词表与序列长度增长；Top-K 减少显式候选，K1 sampled-token 进一步压缩为单点估计。前缀蒸馏和蒸馏设计空间研究显示，反馈预算是在线方法的重要工程条件[11][15]。</w:t>
      </w:r>
    </w:p>
    <w:p w14:paraId="4D26498B">
      <w:pPr>
        <w:ind w:firstLine="420"/>
        <w:jc w:val="both"/>
      </w:pPr>
      <w:r>
        <w:t>稀疏化同时改变了优化对象。Sparse Logit Sampling 指出，直接缓存教师 Top-K 会使分布估计产生偏差[30]。TA-OPD 发现，师生分布若都在教师 Top-K 内归一化，训练目标便失去支持集外总概率的约束；该工作加入尾部类别保留剩余质量[31]。TT-OPD 与 ResOPD 利用采样残差修正稀疏估计[32][34]。因此，尾部总量补偿已有明确的先行方案。</w:t>
      </w:r>
    </w:p>
    <w:p w14:paraId="7BE9DE7C">
      <w:pPr>
        <w:spacing w:before="0" w:after="0" w:line="360" w:lineRule="auto"/>
        <w:ind w:firstLine="420"/>
        <w:jc w:val="both"/>
      </w:pPr>
      <w:r>
        <w:rPr>
          <w:rFonts w:ascii="Times New Roman" w:hAnsi="Times New Roman" w:eastAsia="宋体"/>
          <w:sz w:val="24"/>
        </w:rPr>
        <w:t>总概率之外，还可能遗漏具体决策坐标。Shen 等在多教师工具调用蒸馏中观察到，教师 Top-K 即便覆盖几乎全部教师质量，也可能漏掉学生高估的工具调用入口 token；修正该 token 会改变后续调用行为[33]。教师质量覆盖率因此不足以说明决策梯度是否得到保留。尾部类别约束剩余概率之和，却无法逐一纠正尾部函数入口或结构 token。</w:t>
      </w:r>
    </w:p>
    <w:p w14:paraId="3028239A">
      <w:pPr>
        <w:spacing w:before="0" w:after="0" w:line="360" w:lineRule="auto"/>
        <w:ind w:firstLine="420"/>
        <w:jc w:val="both"/>
      </w:pPr>
      <w:r>
        <w:rPr>
          <w:rFonts w:ascii="Times New Roman" w:hAnsi="Times New Roman" w:eastAsia="宋体"/>
          <w:sz w:val="24"/>
        </w:rPr>
        <w:t>已有研究分别处理尾部总量、稀疏估计偏差和学生候选遗漏[31][32][33][34]。在单教师、单轮 Function Calling 中，还需要决定有限反馈应分配到哪些位置和候选。全局增大 K 会增加传输成本；只按教师累计质量选 K，也可能保留了许多普通 token，却错过学生高估的调用入口。本文据此研究位置风险、显式候选与反馈预算的联合选择。</w:t>
      </w:r>
    </w:p>
    <w:p w14:paraId="2ED621A1">
      <w:pPr>
        <w:pStyle w:val="3"/>
      </w:pPr>
      <w:bookmarkStart w:id="14" w:name="_Toc1095034802"/>
      <w:r>
        <w:rPr>
          <w:rFonts w:ascii="黑体" w:hAnsi="黑体" w:eastAsia="黑体" w:cs="黑体"/>
          <w:b/>
          <w:color w:val="000000"/>
          <w:sz w:val="24"/>
        </w:rPr>
        <w:t>2.5 Function Calling 数据与评测研究</w:t>
      </w:r>
      <w:bookmarkEnd w:id="14"/>
    </w:p>
    <w:p w14:paraId="2320FC66">
      <w:pPr>
        <w:ind w:firstLine="420"/>
        <w:jc w:val="both"/>
      </w:pPr>
      <w:r>
        <w:t>ReAct 将模型推理与外部行动交替组织，为工具增强生成提供了基础形式[21]。Function Calling 数据随后覆盖 API 文档理解、函数检索、调用规划和执行验证：Gorilla/APIBench 侧重文档与调用正确性[22]，API-Bank 扩展到工具规划和检索[23]，ToolLLM/ToolBench 提供多工具任务[24]，APIGen 与 ToolACE 则重视调用数据的构造及质量检查[25][26]。这些数据的任务范围与标注方式各不相同，需要先明确本课题可统一使用的单轮样本。</w:t>
      </w:r>
    </w:p>
    <w:p w14:paraId="41ED9722">
      <w:pPr>
        <w:ind w:firstLine="420"/>
        <w:jc w:val="both"/>
      </w:pPr>
      <w:r>
        <w:t>训练样本拟从公开 Function Calling 数据中筛选。APIGen、ToolACE、API-Bank 和 ToolBench 的数据构造方式可作为来源选择与任务分类的参考。每个来源将记录数据快照、许可证、字段映射、过滤规则、去重过程，以及与独立测试集的重叠情况。</w:t>
      </w:r>
    </w:p>
    <w:p w14:paraId="651AE3DD">
      <w:pPr>
        <w:ind w:firstLine="420"/>
        <w:jc w:val="both"/>
      </w:pPr>
      <w:r>
        <w:t>公开样本进入训练流程前，需依次检查结构、语义和可执行性。结构检查核对 schema、函数名、参数类型及目标调用的解析结果；语义检查判断用户请求与目标函数、参数之间的关系；对具备本地工具环境的样本，执行检查进一步验证参数能否产生有效返回。APIGen 和 ToolACE 的多层验证方式为数据审计提供了参考[25][26]。</w:t>
      </w:r>
    </w:p>
    <w:p w14:paraId="034FA389">
      <w:pPr>
        <w:ind w:firstLine="420"/>
        <w:jc w:val="both"/>
      </w:pPr>
      <w:r>
        <w:t>训练集与测试集还须检查工具 schema、问题模板和目标调用的相似性。若两个集合共享 API 定义或高度相近的参数结构，模型可能依赖样本记忆，评价时应标注这一风险。数据审计报告将保存字段统计、异常类别、去重规则及版本指纹，使划分方式可以复查。</w:t>
      </w:r>
    </w:p>
    <w:p w14:paraId="6145C566">
      <w:pPr>
        <w:ind w:firstLine="420"/>
        <w:jc w:val="both"/>
      </w:pPr>
      <w:r>
        <w:t>BFCL 覆盖结构化调用、并行与串行调用以及拒答场景[27]。本课题结合公开基准和可用的模拟函数，分别评价格式合法率、函数选择准确率与参数正确率；执行成功率和端到端成功率仅用于具有可靠执行环境的样本。</w:t>
      </w:r>
    </w:p>
    <w:p w14:paraId="0C0F1F38">
      <w:pPr>
        <w:spacing w:before="0" w:after="0" w:line="360" w:lineRule="auto"/>
        <w:ind w:firstLine="420"/>
        <w:jc w:val="both"/>
      </w:pPr>
      <w:r>
        <w:rPr>
          <w:rFonts w:ascii="Times New Roman" w:hAnsi="Times New Roman" w:eastAsia="宋体"/>
          <w:sz w:val="24"/>
        </w:rPr>
        <w:t>Function Calling 数据从接口描述与人工样例，发展到大规模构造、执行校验和难例设计。Gorilla 强调 API 检索与调用生成[22]；API-Bank 和 ToolLLM/ToolBench 引入多工具与多轮交互[23][24]；APIGen、ToolACE 则扩展可验证的数据生成流程和工具类型[25][26]。不同来源在 schema 形式、参数约束、消息模板和可执行性上存在差异。字段映射与一致性审计因此是后续蒸馏比较的前提。</w:t>
      </w:r>
    </w:p>
    <w:p w14:paraId="44C1FF56">
      <w:pPr>
        <w:spacing w:before="0" w:after="0" w:line="360" w:lineRule="auto"/>
        <w:ind w:firstLine="420"/>
        <w:jc w:val="both"/>
      </w:pPr>
      <w:r>
        <w:rPr>
          <w:rFonts w:ascii="Times New Roman" w:hAnsi="Times New Roman" w:eastAsia="宋体"/>
          <w:sz w:val="24"/>
        </w:rPr>
        <w:t>BFCL 为函数选择、参数生成和多轮调用提供了统一测试框架[27]。总体准确率之外，还需区分函数误选、必需参数遗漏、JSON 解析失败及无需调用时的过度调用。本文在统一解码协议下分层报告结构合法性、函数和参数正确率；具备执行条件时再加入执行与端到端结果，并结合训练效率、推理吞吐及显存解释方法差异。</w:t>
      </w:r>
    </w:p>
    <w:p w14:paraId="58E976CF">
      <w:pPr>
        <w:spacing w:before="0" w:after="0" w:line="360" w:lineRule="auto"/>
        <w:ind w:firstLine="420"/>
        <w:jc w:val="both"/>
      </w:pPr>
      <w:r>
        <w:rPr>
          <w:rFonts w:ascii="Times New Roman" w:hAnsi="Times New Roman" w:eastAsia="宋体"/>
          <w:sz w:val="24"/>
        </w:rPr>
        <w:t>Function Calling 为三个研究环节提供了分层观察点。函数入口及函数名决定调用路径，参数键、结构符号和参数值影响解析与执行。公开数据和 BFCL 等基准支持分别统计这些错误[25][26][27]。本文把学生状态上的错误分布、完整词表散度的行为差异，以及稀疏反馈的尾部质量与决策候选遗漏，对应到函数误选、过度调用、格式错误和可验证的任务结果。</w:t>
      </w:r>
    </w:p>
    <w:p w14:paraId="7D373851">
      <w:pPr>
        <w:pStyle w:val="3"/>
      </w:pPr>
      <w:bookmarkStart w:id="15" w:name="_Toc315062424"/>
      <w:r>
        <w:rPr>
          <w:rFonts w:ascii="黑体" w:hAnsi="黑体" w:eastAsia="黑体" w:cs="黑体"/>
          <w:b/>
          <w:color w:val="000000"/>
          <w:sz w:val="24"/>
        </w:rPr>
        <w:t>2.6 现有方法的问题与本文的研究切入点</w:t>
      </w:r>
      <w:bookmarkEnd w:id="15"/>
    </w:p>
    <w:p w14:paraId="671E03D8">
      <w:pPr>
        <w:ind w:firstLine="420"/>
        <w:jc w:val="both"/>
      </w:pPr>
      <w:r>
        <w:t>现有 OPD 方法在学生自生成前缀上获取教师反馈，缓解训练与推理时的状态分布差异[7]。单轮工具调用中的函数选择、参数生成和结构位置承担不同决策作用，等量监督可能稀释关键位置的信号。Forward KL、Reverse KL 与混合目标具有不同的分布偏好[7][8][9][35]；如果监督位置与散度目标分别确定，就难以针对某类调用错误同时决定“在哪里更新”和“沿什么方向更新”。第一项研究因此拟建立决策状态感知的联合规则，在固定有效训练 token 预算下协同选择监督位置与双向散度权重。</w:t>
      </w:r>
    </w:p>
    <w:p w14:paraId="0A9C58A2">
      <w:pPr>
        <w:ind w:firstLine="420"/>
        <w:jc w:val="both"/>
      </w:pPr>
      <w:r>
        <w:t>第二项研究面向有限教师反馈。Top-K 支持集外的总概率可用尾部类别保存[31]，但学生高估的工具调用决策 token 仍可能被遗漏[33]；采样残差修正提供另一种估计途径[32][34]。本课题拟在第一项方法确定的决策位置和目标上，设计兼顾关键候选、尾部总质量与反馈预算的稀疏表示。第三项研究面向评价可信度：BFCL 等基准提供结构化调用结果[27]，却不记录蒸馏目标、同前缀教师反馈和学生访问状态的变化。统一测试系统将配对回放、独立闭环训练、错误追踪与成本核算连接为可复查的协议。</w:t>
      </w:r>
    </w:p>
    <w:p w14:paraId="779437DC">
      <w:pPr>
        <w:pStyle w:val="2"/>
      </w:pPr>
      <w:bookmarkStart w:id="16" w:name="_Toc1706970313"/>
      <w:r>
        <w:rPr>
          <w:rFonts w:ascii="黑体" w:hAnsi="黑体" w:eastAsia="黑体" w:cs="黑体"/>
          <w:b/>
          <w:color w:val="000000"/>
          <w:sz w:val="28"/>
        </w:rPr>
        <w:t>3．主要研究内容</w:t>
      </w:r>
      <w:bookmarkEnd w:id="16"/>
    </w:p>
    <w:p w14:paraId="6D3F1612">
      <w:pPr>
        <w:pStyle w:val="3"/>
      </w:pPr>
      <w:bookmarkStart w:id="17" w:name="_Toc816010318"/>
      <w:r>
        <w:rPr>
          <w:rFonts w:ascii="黑体" w:hAnsi="黑体" w:eastAsia="黑体" w:cs="黑体"/>
          <w:b/>
          <w:color w:val="000000"/>
          <w:sz w:val="24"/>
        </w:rPr>
        <w:t>3.1 研究思路与问题展开</w:t>
      </w:r>
      <w:bookmarkEnd w:id="17"/>
    </w:p>
    <w:p w14:paraId="71C6F5B5">
      <w:pPr>
        <w:ind w:firstLine="420"/>
        <w:jc w:val="both"/>
      </w:pPr>
      <w:r>
        <w:t>本文围绕单轮 Function Calling 设置三个有独立成果的研究问题。第一项把决策状态选择与位置条件化散度合为一种联合蒸馏方法：在有限更新预算下决定哪些位置接受监督，并按这些位置的分布失配调节更新方向。第二项研究有限教师反馈的决策感知支持集，解决关键 token 漏选与尾部总质量丢失。第三项建设统一测试系统，以同前缀配对回放分析局部机制，以独立闭环训练评价真实学生轨迹，并追查调用错误与资源代价。毕业论文拟分别围绕联合方法、稀疏方法和测试系统组织研究章节。</w:t>
      </w:r>
    </w:p>
    <w:p w14:paraId="1EEDD05E">
      <w:pPr>
        <w:pStyle w:val="3"/>
      </w:pPr>
      <w:bookmarkStart w:id="18" w:name="_Toc854844884"/>
      <w:r>
        <w:rPr>
          <w:rFonts w:ascii="黑体" w:hAnsi="黑体" w:eastAsia="黑体" w:cs="黑体"/>
          <w:b/>
          <w:color w:val="000000"/>
          <w:sz w:val="24"/>
        </w:rPr>
        <w:t>3.2 三项研究问题</w:t>
      </w:r>
      <w:bookmarkStart w:id="78" w:name="_GoBack"/>
      <w:bookmarkEnd w:id="78"/>
      <w:r>
        <w:rPr>
          <w:rFonts w:ascii="黑体" w:hAnsi="黑体" w:eastAsia="黑体" w:cs="黑体"/>
          <w:b/>
          <w:color w:val="000000"/>
          <w:sz w:val="24"/>
        </w:rPr>
      </w:r>
      <w:bookmarkEnd w:id="18"/>
    </w:p>
    <w:p w14:paraId="306F781D">
      <w:pPr>
        <w:ind w:firstLine="420"/>
        <w:jc w:val="both"/>
      </w:pPr>
      <w:r>
        <w:t>第一项研究设计决策状态与散度目标联合调节的方法。常规 OPD 在学生轨迹的有效位置获取教师反馈[7]，但有限更新预算应优先投向何处，以及这些位置采用何种分布匹配目标，需要一起确定。本文依据消息边界、工具 schema 和解析规则标出函数入口、函数名、参数键值与结构位置；再用训练时可获得的位置类别和师生分歧形成监督优先级。在入选位置上，分别测量教师认可候选的学生欠覆盖和学生高概率候选相对教师的过估程度，据此调节 Forward KL 与 Reverse KL 的权重[7][8][35]。监督优先级与散度权重共享同一组位置类别和分布失配信号，使位置预算与目标权重构成一套联合规则。位置阈值和权重边界由训练集诊断及验证集选择，测试集不参与设定。联合规则输出监督掩码和对应散度权重，在固定有效训练 token 数下训练；均匀位置、单独位置选择、单独目标调节及全局固定混合作为对照，用于判断联合设计是否带来稳定收益。</w:t>
      </w:r>
    </w:p>
    <w:p w14:paraId="7FDDC4C9">
      <w:pPr>
        <w:ind w:firstLine="420"/>
        <w:jc w:val="both"/>
      </w:pPr>
      <w:r>
        <w:t>第二项研究设计有限反馈下的决策感知稀疏蒸馏方法。教师 Top-K 可能遗漏尾部总质量，也可能漏掉学生高估的函数入口或参数候选[31][33]。本文在教师 Top-K 中补入合法的学生高概率决策 token，对其单独评分，并将其余概率并为尾部类别；显式候选名额按第一项方法识别的决策位置与诊断风险分配。该方法改变教师反馈的表示与预算配置，在固定第一项联合方法的监督掩码及散度规则后，与常规 Top-K、已有尾部类别、学生感知支持集和同预算选择方法比较。</w:t>
      </w:r>
    </w:p>
    <w:p w14:paraId="7FDDC4CA">
      <w:pPr>
        <w:ind w:firstLine="420"/>
        <w:jc w:val="both"/>
      </w:pPr>
      <w:r>
        <w:t>第三项研究设计面向在线策略蒸馏的统一测试系统。学生参数改变后，生成前缀也会改变，仅凭最终调用准确率难以分清局部目标作用与访问状态变化。本文建立统一轨迹格式、同前缀教师评分、配对回放和独立闭环训练两条路径，以固定解析规则统计函数、参数和结构错误，并分项记录教师评分、学生生成与训练开销。系统自身接受回放一致性、单变量隔离、解析正确性和运行开销检查；方法实验则用同一协议追溯原始轨迹与任务结果。</w:t>
      </w:r>
    </w:p>
    <w:p w14:paraId="1514E400">
      <w:pPr>
        <w:pStyle w:val="3"/>
      </w:pPr>
      <w:bookmarkStart w:id="19" w:name="_Toc712366958"/>
      <w:r>
        <w:rPr>
          <w:rFonts w:ascii="黑体" w:hAnsi="黑体" w:eastAsia="黑体" w:cs="黑体"/>
          <w:b/>
          <w:color w:val="000000"/>
          <w:sz w:val="24"/>
        </w:rPr>
        <w:t>3.3 Top-K 稀疏反馈的缺陷与拟改进方法</w:t>
      </w:r>
      <w:bookmarkEnd w:id="19"/>
    </w:p>
    <w:p w14:paraId="6EF7E413">
      <w:pPr>
        <w:ind w:firstLine="420"/>
        <w:jc w:val="both"/>
      </w:pPr>
      <w:r>
        <w:t>已有尾部类别方法保留支持集外的概率总量，却难以指出尾部中哪一个 token 影响工具调用；增大教师 Top-K 会提高反馈量，学生高估的关键候选仍可能遗漏[31][33]。第二项研究拟在单轮调用中建立决策感知支持集：沿用第一项联合方法确定的决策位置，从学生高概率的合法候选中找出教师 Top-K 漏掉的 token，补入支持集并取得相应教师概率。</w:t>
      </w:r>
    </w:p>
    <w:p w14:paraId="7FDDC4CB">
      <w:pPr>
        <w:ind w:firstLine="420"/>
        <w:jc w:val="both"/>
      </w:pPr>
      <w:r>
        <w:t>显式候选与一个尾部类别共同形成粗粒度目标。尾部类别沿用已有工作，保存支持集外的师生概率总量[31]；补入的决策 token 接受单独约束，使目标能够区分总体质量偏差与具体调用候选的高估。实验分别移除两项处理，并与已有学生感知支持集方法比较[33]。实现前需确认教师能否返回补入 token 的概率，训练记录则分别统计反馈字节数、额外查询量与教师计算时间。</w:t>
      </w:r>
    </w:p>
    <w:p w14:paraId="7FDDC4CC">
      <w:pPr>
        <w:ind w:firstLine="420"/>
        <w:jc w:val="both"/>
      </w:pPr>
      <w:r>
        <w:t>固定反馈预算下，还需确定各位置获得多少候选名额。本文利用训练集诊断子集的尾部质量差、关键 token 漏选率及完整词表梯度误差估计位置风险，在函数入口等位置保留更多显式候选，在风险较低的位置缩小支持集。位置权重、K 上限和阈值由训练集及验证集确定。关键候选补入、尾部总量保留与位置预算分配分别设置对照；联合方案的收益和适用范围由实验决定。</w:t>
      </w:r>
    </w:p>
    <w:p w14:paraId="7F13BEDA">
      <w:pPr>
        <w:pStyle w:val="3"/>
      </w:pPr>
      <w:bookmarkStart w:id="20" w:name="_Toc530131081"/>
      <w:r>
        <w:rPr>
          <w:rFonts w:ascii="黑体" w:hAnsi="黑体" w:eastAsia="黑体" w:cs="黑体"/>
          <w:b/>
          <w:color w:val="000000"/>
          <w:sz w:val="24"/>
        </w:rPr>
        <w:t>3.4 面向在线策略蒸馏的统一测试系统</w:t>
      </w:r>
      <w:bookmarkEnd w:id="20"/>
    </w:p>
    <w:p w14:paraId="7DA378CA">
      <w:pPr>
        <w:ind w:firstLine="420"/>
        <w:jc w:val="both"/>
      </w:pPr>
      <w:r>
        <w:t>第三项研究面向在线策略蒸馏中的比较失真问题。不同方法改变学生参数后，学生到访的前缀也随之变化；仅比较最终调用正确率，会把训练目标的局部作用、轨迹分布变化与评测规则差异混在一起。本文拟建立以轨迹为基本实验对象的统一测试系统，对学生前缀、教师反馈、更新位置、概率支持集、损失和结构化调用结果作一致记录，并提供固定前缀回放与闭环训练两条验证路径。</w:t>
      </w:r>
    </w:p>
    <w:p w14:paraId="12FC0003">
      <w:pPr>
        <w:ind w:firstLine="420"/>
        <w:jc w:val="both"/>
      </w:pPr>
      <w:r>
        <w:t>系统由数据契约、轨迹记录、配对回放、闭环训练和结构化评测五部分构成。数据契约固定样本、工具 schema、划分版本与合法调用规则；轨迹记录把学生前缀、位置标签、教师概率、显式支持集及尾部质量关联到同一标识；配对回放在相同前缀与教师反馈上切换位置规则、目标和反馈表示，输出逐位置损失与梯度；闭环路径从相同学生起点独立训练，并重新生成调用轨迹；评测模块按固定解析和匹配规则统计函数、参数、结构及可执行任务结果。每次运行还保存配置、随机种子、模型与代码版本、环境和资源计量。</w:t>
      </w:r>
    </w:p>
    <w:p w14:paraId="7FDDC4CD">
      <w:pPr>
        <w:ind w:firstLine="420"/>
        <w:jc w:val="both"/>
      </w:pPr>
      <w:r>
        <w:t>系统的关键设计是双路径对照与可追溯归因。配对回放固定样本、前缀和教师分布，只允许被研究的规则变化，用于定位目标值、梯度方向及候选覆盖差异；闭环训练固定初始模型、数据划分和有效训练预算，允许方法改变后续访问状态，用于评价实际调用表现。两条路径结果不能直接相减来声称因果贡献，而应联合分析具体状态、错误类型和成本，判断局部变化能否在闭环中稳定出现。系统还检查回放的一致性、单变量替换的隔离性、解析器的标准答案以及日志字段的完整性。</w:t>
      </w:r>
    </w:p>
    <w:p w14:paraId="7FDDC4CE">
      <w:pPr>
        <w:ind w:firstLine="420"/>
        <w:jc w:val="both"/>
      </w:pPr>
      <w:r>
        <w:t>本项研究的系统级拟创新点，是针对 OPD 中训练目标与访问状态同时变化的特点，把同前缀局部比较和独立闭环验证组织为可追溯的双路径协议，并把工具调用错误与分项资源开销关联到原始轨迹。统一测试系统拟交付可重放轨迹格式、两类蒸馏方法的可替换接口、闭环训练与任务评测程序、错误追踪和分项资源报表。系统通过重复回放、规则隔离、评价一致性与运行开销检查验证；其适用边界将在论文中独立讨论。</w:t>
      </w:r>
    </w:p>
    <w:p w14:paraId="0FF2725B">
      <w:pPr>
        <w:pStyle w:val="3"/>
        <w:rPr>
          <w:rFonts w:hint="eastAsia" w:eastAsia="黑体"/>
          <w:lang w:val="en-US" w:eastAsia="zh-CN"/>
        </w:rPr>
      </w:pPr>
      <w:bookmarkStart w:id="21" w:name="_Toc3426964"/>
      <w:r>
        <w:rPr>
          <w:rFonts w:ascii="黑体" w:hAnsi="黑体" w:eastAsia="黑体" w:cs="黑体"/>
          <w:b/>
          <w:color w:val="000000"/>
          <w:sz w:val="24"/>
        </w:rPr>
        <w:t>3.5 三项研究的验证路径</w:t>
      </w:r>
      <w:r>
        <w:rPr>
          <w:rFonts w:hint="eastAsia" w:ascii="黑体" w:hAnsi="黑体" w:eastAsia="黑体" w:cs="黑体"/>
          <w:b/>
          <w:color w:val="000000"/>
          <w:sz w:val="24"/>
          <w:lang w:val="en-US" w:eastAsia="zh-CN"/>
        </w:rPr>
      </w:r>
      <w:bookmarkEnd w:id="21"/>
    </w:p>
    <w:p>
      <w:pPr/>
      <w:r>
        <w:t>第一项联合方法在完整词表反馈下逐步检验监督位置、散度权重及其联合作用：同等有效训练 token 预算下比较均匀位置、结构优先和分歧优先规则；在相同轨迹上比较单一散度、全局混合与位置条件化目标；最后比较单独改动与联合规则。第二项稀疏方法固定第一项的掩码和目标，比较常规 Top-K、尾部类别、学生感知支持集与拟议方法，并分别移除候选补入、尾部类别和位置预算分配。组件消融解释各项规则，最终效果由独立测试集上的结构化调用结果与资源成本判断。</w:t>
      </w:r>
    </w:p>
    <w:p>
      <w:pPr/>
      <w:r>
        <w:t>统一测试系统另有独立验收标准：相同轨迹与配置重复回放时，损失、梯度和解析结果应在规定数值容差内一致；只替换一个规则时，其余样本、前缀、教师分布及预算字段应保持不变；人工构造的函数误选、参数遗漏、格式错误和无工具调用样本应被正确分类。闭环实验至少采用多个随机种子，分别报告任务效果、访问状态分布及学生生成、教师前向、学生更新的时间和显存。系统无法提供可靠同前缀教师概率或执行环境时，应明确缩小可比较范围。</w:t>
      </w:r>
    </w:p>
    <w:p>
      <w:pPr/>
      <w:r>
        <w:t>三项研究形成可检验的工作链：联合方法确定关键位置和更新方向，稀疏方法在有限教师反馈下保留所需信号，统一测试系统连接局部数值机制与真实学生轨迹。论文对系统的贡献落在测试协议、轨迹表示、双路径比较及错误追踪的实现和实测有效性上；方法和系统的适用范围均由后续模型、任务及资源条件下的实验决定。</w:t>
      </w:r>
    </w:p>
    <w:p>
      <w:pPr>
        <w:pStyle w:val="3"/>
      </w:pPr>
      <w:bookmarkStart w:id="79" w:name="_TocOPDSystemSummary"/>
      <w:r>
        <w:rPr>
          <w:rFonts w:ascii="黑体" w:hAnsi="黑体" w:eastAsia="黑体" w:cs="黑体"/>
          <w:b/>
          <w:color w:val="000000"/>
          <w:sz w:val="24"/>
        </w:rPr>
        <w:t>3.6 本章总结</w:t>
      </w:r>
      <w:bookmarkEnd w:id="79"/>
    </w:p>
    <w:p w14:paraId="03761740">
      <w:pPr>
        <w:ind w:firstLine="420"/>
        <w:jc w:val="both"/>
      </w:pPr>
      <w:r>
        <w:t>图 1 展示三项研究问题的递进关系：第一项联合决定监督位置与散度权重，第二项在既定目标下设计有限反馈，第三项以配对回放和闭环训练验证前两项并追查错误与成本。已有混合散度、尾部类别、采样修正和学生感知支持集工作[35][31][32][33][34]构成重要对照；三项方案均待实验验证。</w:t>
      </w:r>
    </w:p>
    <w:p w14:paraId="331B1F56">
      <w:pPr>
        <w:keepNext/>
        <w:jc w:val="center"/>
      </w:pPr>
      <w:r>
        <w:drawing>
          <wp:inline distT="0" distB="0" distL="114300" distR="114300">
            <wp:extent cx="5615940" cy="2526665"/>
            <wp:effectExtent l="0" t="0" r="2286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616000" cy="2527200"/>
                    </a:xfrm>
                    <a:prstGeom prst="rect">
                      <a:avLst/>
                    </a:prstGeom>
                  </pic:spPr>
                </pic:pic>
              </a:graphicData>
            </a:graphic>
          </wp:inline>
        </w:drawing>
      </w:r>
    </w:p>
    <w:p w14:paraId="6E3282B4">
      <w:pPr>
        <w:spacing w:before="0" w:after="120" w:line="240" w:lineRule="auto"/>
        <w:ind w:firstLine="0"/>
        <w:jc w:val="center"/>
        <w:rPr>
          <w:rFonts w:hint="eastAsia" w:eastAsia="宋体"/>
          <w:lang w:val="en-US" w:eastAsia="zh-CN"/>
        </w:rPr>
      </w:pPr>
      <w:r>
        <w:rPr>
          <w:rFonts w:ascii="Times New Roman" w:hAnsi="Times New Roman" w:eastAsia="宋体"/>
          <w:sz w:val="21"/>
        </w:rPr>
        <w:t xml:space="preserve">图 </w:t>
      </w:r>
      <w:bookmarkStart w:id="22" w:name="_RefFigureResearchQuestions"/>
      <w:r>
        <w:rPr>
          <w:rFonts w:ascii="Times New Roman" w:hAnsi="Times New Roman" w:eastAsia="宋体"/>
          <w:sz w:val="21"/>
        </w:rPr>
        <w:fldChar w:fldCharType="begin"/>
      </w:r>
      <w:r>
        <w:rPr>
          <w:rFonts w:ascii="Times New Roman" w:hAnsi="Times New Roman" w:eastAsia="宋体"/>
          <w:sz w:val="21"/>
        </w:rPr>
        <w:instrText xml:space="preserve"> SEQ Figure \* ARABIC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bookmarkEnd w:id="22"/>
      <w:r>
        <w:rPr>
          <w:rFonts w:ascii="Times New Roman" w:hAnsi="Times New Roman" w:eastAsia="宋体"/>
          <w:sz w:val="21"/>
        </w:rPr>
        <w:t xml:space="preserve">  三项研究问题及其递进关系</w:t>
      </w:r>
    </w:p>
    <w:p w14:paraId="575D3309">
      <w:pPr>
        <w:pStyle w:val="2"/>
      </w:pPr>
      <w:bookmarkStart w:id="23" w:name="_Toc1762409126"/>
      <w:r>
        <w:rPr>
          <w:rFonts w:ascii="黑体" w:hAnsi="黑体" w:eastAsia="黑体" w:cs="黑体"/>
          <w:b/>
          <w:color w:val="000000"/>
          <w:sz w:val="28"/>
        </w:rPr>
        <w:t>4．研究方案</w:t>
      </w:r>
      <w:bookmarkEnd w:id="23"/>
    </w:p>
    <w:p w14:paraId="1076D32B">
      <w:pPr>
        <w:pStyle w:val="3"/>
      </w:pPr>
      <w:bookmarkStart w:id="24" w:name="_Toc568237611"/>
      <w:r>
        <w:rPr>
          <w:rFonts w:ascii="黑体" w:hAnsi="黑体" w:eastAsia="黑体" w:cs="黑体"/>
          <w:b/>
          <w:color w:val="000000"/>
          <w:sz w:val="24"/>
        </w:rPr>
        <w:t>4.1 总体技术路线</w:t>
      </w:r>
      <w:bookmarkEnd w:id="24"/>
    </w:p>
    <w:p w14:paraId="7703D721">
      <w:pPr>
        <w:spacing w:before="0" w:after="0" w:line="360" w:lineRule="auto"/>
        <w:ind w:firstLine="420"/>
        <w:jc w:val="both"/>
      </w:pPr>
      <w:r>
        <w:rPr>
          <w:rFonts w:ascii="Times New Roman" w:hAnsi="Times New Roman" w:eastAsia="宋体"/>
          <w:sz w:val="24"/>
        </w:rPr>
        <w:t xml:space="preserve">研究总体技术路线如图 </w:t>
      </w:r>
      <w:r>
        <w:rPr>
          <w:rFonts w:ascii="Times New Roman" w:hAnsi="Times New Roman" w:eastAsia="宋体"/>
          <w:sz w:val="24"/>
        </w:rPr>
        <w:fldChar w:fldCharType="begin"/>
      </w:r>
      <w:r>
        <w:rPr>
          <w:rFonts w:ascii="Times New Roman" w:hAnsi="Times New Roman" w:eastAsia="宋体"/>
          <w:sz w:val="24"/>
        </w:rPr>
        <w:instrText xml:space="preserve"> REF _RefFigure1 \h </w:instrText>
      </w:r>
      <w:r>
        <w:rPr>
          <w:rFonts w:ascii="Times New Roman" w:hAnsi="Times New Roman" w:eastAsia="宋体"/>
          <w:sz w:val="24"/>
        </w:rPr>
        <w:fldChar w:fldCharType="separate"/>
      </w:r>
      <w:r>
        <w:rPr>
          <w:rFonts w:ascii="Times New Roman" w:hAnsi="Times New Roman" w:eastAsia="宋体"/>
          <w:sz w:val="21"/>
        </w:rPr>
        <w:t>2</w:t>
      </w:r>
      <w:r>
        <w:rPr>
          <w:rFonts w:ascii="Times New Roman" w:hAnsi="Times New Roman" w:eastAsia="宋体"/>
          <w:sz w:val="24"/>
        </w:rPr>
        <w:fldChar w:fldCharType="end"/>
      </w:r>
      <w:r>
        <w:rPr>
          <w:rFonts w:ascii="Times New Roman" w:hAnsi="Times New Roman" w:eastAsia="宋体"/>
          <w:sz w:val="24"/>
        </w:rPr>
        <w:t xml:space="preserve"> 所示。</w:t>
      </w:r>
    </w:p>
    <w:p w14:paraId="01318956">
      <w:pPr>
        <w:ind w:firstLine="420"/>
        <w:jc w:val="both"/>
      </w:pPr>
      <w:r>
        <w:t>图 2 展示总体技术路线。学生生成单轮工具调用轨迹后，第一项方法联合确定重点监督位置与相应散度权重；第二项方法在有限教师反馈预算下构造含关键候选及尾部类别的支持集；第三项研究以统一测试系统承接两类方法，在固定前缀上配对回放，再从相同模型起点独立训练和重新生成。系统用一致的调用解析、错误分类及分项资源记录连接局部机制与闭环结果。</w:t>
      </w:r>
    </w:p>
    <w:p w14:paraId="7804E4EE">
      <w:pPr>
        <w:ind w:firstLine="420"/>
        <w:jc w:val="both"/>
      </w:pPr>
      <w:r>
        <w:t>下面统一记号。输入从数据分布中抽取，学生策略生成响应，冻结教师在相同学生前缀上给出条件分布。监督掩码先标记合法位置，再由状态选择方法在固定训练预算下确定实际参与更新的位置；师生使用一致的 tokenizer、模板与位置对齐规则。</w:t>
      </w:r>
    </w:p>
    <w:p w14:paraId="48F18072">
      <w:pPr>
        <w:ind w:firstLine="420"/>
        <w:jc w:val="both"/>
      </w:pPr>
      <w:r>
        <w:t>学生轨迹及师生条件分布写为：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2DF194BA">
        <w:trPr>
          <w:cantSplit/>
          <w:jc w:val="center"/>
        </w:trPr>
        <w:tc>
          <w:tcPr>
            <w:tcW w:w="650" w:type="dxa"/>
            <w:tcMar>
              <w:top w:w="0" w:type="dxa"/>
              <w:left w:w="0" w:type="dxa"/>
              <w:bottom w:w="0" w:type="dxa"/>
              <w:right w:w="0" w:type="dxa"/>
            </w:tcMar>
            <w:vAlign w:val="center"/>
          </w:tcPr>
          <w:p w14:paraId="30EEF0CA">
            <w:pPr>
              <w:spacing w:before="0" w:after="0"/>
              <w:jc w:val="left"/>
            </w:pPr>
          </w:p>
        </w:tc>
        <w:tc>
          <w:tcPr>
            <w:tcW w:w="7006" w:type="dxa"/>
            <w:tcMar>
              <w:top w:w="0" w:type="dxa"/>
              <w:left w:w="0" w:type="dxa"/>
              <w:bottom w:w="0" w:type="dxa"/>
              <w:right w:w="0" w:type="dxa"/>
            </w:tcMar>
            <w:vAlign w:val="center"/>
          </w:tcPr>
          <w:p w14:paraId="09231971">
            <w:pPr>
              <w:spacing w:before="0" w:after="0"/>
              <w:jc w:val="center"/>
            </w:pPr>
            <m:oMathPara>
              <m:oMathParaPr>
                <m:jc m:val="center"/>
              </m:oMathParaPr>
              <m:oMath>
                <m:r>
                  <m:rPr/>
                  <m:t>y</m:t>
                </m:r>
                <m:r>
                  <m:rPr>
                    <m:sty m:val="p"/>
                  </m:rPr>
                  <m:t>∼</m:t>
                </m:r>
                <m:sSub>
                  <m:sSubPr/>
                  <m:e>
                    <m:r>
                      <m:rPr/>
                      <m:t>π</m:t>
                    </m:r>
                  </m:e>
                  <m:sub>
                    <m:r>
                      <m:rPr/>
                      <m:t>θ</m:t>
                    </m:r>
                    <m:r>
                      <m:rPr>
                        <m:sty m:val="p"/>
                      </m:rPr>
                      <m:t>,</m:t>
                    </m:r>
                    <m:r>
                      <m:rPr/>
                      <m:t>τ</m:t>
                    </m:r>
                  </m:sub>
                </m:sSub>
                <m:r>
                  <m:rPr>
                    <m:sty m:val="p"/>
                  </m:rPr>
                  <m:t>(⋅∣</m:t>
                </m:r>
                <m:r>
                  <m:rPr/>
                  <m:t>x</m:t>
                </m:r>
                <m:r>
                  <m:rPr>
                    <m:sty m:val="p"/>
                  </m:rPr>
                  <m:t>)</m:t>
                </m:r>
              </m:oMath>
            </m:oMathPara>
          </w:p>
        </w:tc>
        <w:tc>
          <w:tcPr>
            <w:tcW w:w="650" w:type="dxa"/>
            <w:tcMar>
              <w:top w:w="0" w:type="dxa"/>
              <w:left w:w="0" w:type="dxa"/>
              <w:bottom w:w="0" w:type="dxa"/>
              <w:right w:w="0" w:type="dxa"/>
            </w:tcMar>
            <w:vAlign w:val="center"/>
          </w:tcPr>
          <w:p w14:paraId="63FDE61D">
            <w:pPr>
              <w:spacing w:before="0" w:after="0"/>
              <w:jc w:val="right"/>
            </w:pPr>
          </w:p>
        </w:tc>
      </w:tr>
      <w:tr w14:paraId="3900FFD1">
        <w:trPr>
          <w:cantSplit/>
          <w:jc w:val="center"/>
        </w:trPr>
        <w:tc>
          <w:tcPr>
            <w:tcW w:w="650" w:type="dxa"/>
            <w:tcMar>
              <w:top w:w="0" w:type="dxa"/>
              <w:left w:w="0" w:type="dxa"/>
              <w:bottom w:w="0" w:type="dxa"/>
              <w:right w:w="0" w:type="dxa"/>
            </w:tcMar>
            <w:vAlign w:val="center"/>
          </w:tcPr>
          <w:p w14:paraId="65E5D261">
            <w:pPr>
              <w:spacing w:before="0" w:after="0"/>
              <w:jc w:val="left"/>
            </w:pPr>
          </w:p>
        </w:tc>
        <w:tc>
          <w:tcPr>
            <w:tcW w:w="7006" w:type="dxa"/>
            <w:tcMar>
              <w:top w:w="0" w:type="dxa"/>
              <w:left w:w="0" w:type="dxa"/>
              <w:bottom w:w="0" w:type="dxa"/>
              <w:right w:w="0" w:type="dxa"/>
            </w:tcMar>
            <w:vAlign w:val="center"/>
          </w:tcPr>
          <w:p w14:paraId="08606FCA">
            <w:pPr>
              <w:spacing w:before="0" w:after="0"/>
              <w:jc w:val="center"/>
            </w:pPr>
            <m:oMathPara>
              <m:oMathParaPr>
                <m:jc m:val="center"/>
              </m:oMathParaPr>
              <m:oMath>
                <m:sSub>
                  <m:sSubPr/>
                  <m:e>
                    <m:r>
                      <m:rPr/>
                      <m:t>p</m:t>
                    </m:r>
                  </m:e>
                  <m:sub>
                    <m:r>
                      <m:rPr/>
                      <m:t>T</m:t>
                    </m:r>
                    <m:r>
                      <m:rPr>
                        <m:sty m:val="p"/>
                      </m:rPr>
                      <m:t>,</m:t>
                    </m:r>
                    <m:r>
                      <m:rPr/>
                      <m:t>t</m:t>
                    </m:r>
                  </m:sub>
                </m:sSub>
                <m:r>
                  <m:rPr>
                    <m:sty m:val="p"/>
                  </m:rPr>
                  <m:t>(</m:t>
                </m:r>
                <m:r>
                  <m:rPr/>
                  <m:t>v</m:t>
                </m:r>
                <m:r>
                  <m:rPr>
                    <m:sty m:val="p"/>
                  </m:rPr>
                  <m:t>)=</m:t>
                </m:r>
                <m:sSub>
                  <m:sSubPr/>
                  <m:e>
                    <m:r>
                      <m:rPr/>
                      <m:t>π</m:t>
                    </m:r>
                  </m:e>
                  <m:sub>
                    <m:r>
                      <m:rPr/>
                      <m:t>ϕ</m:t>
                    </m:r>
                  </m:sub>
                </m:sSub>
                <m:r>
                  <m:rPr>
                    <m:sty m:val="p"/>
                  </m:rPr>
                  <m:t>(</m:t>
                </m:r>
                <m:r>
                  <m:rPr/>
                  <m:t>v</m:t>
                </m:r>
                <m:r>
                  <m:rPr>
                    <m:sty m:val="p"/>
                  </m:rPr>
                  <m:t>∣</m:t>
                </m:r>
                <m:r>
                  <m:rPr/>
                  <m:t>x</m:t>
                </m:r>
                <m:r>
                  <m:rPr>
                    <m:sty m:val="p"/>
                  </m:rPr>
                  <m:t>,</m:t>
                </m:r>
                <m:sSub>
                  <m:sSubPr/>
                  <m:e>
                    <m:r>
                      <m:rPr/>
                      <m:t>y</m:t>
                    </m:r>
                  </m:e>
                  <m:sub>
                    <m:r>
                      <m:rPr>
                        <m:sty m:val="p"/>
                      </m:rPr>
                      <m:t>&lt;</m:t>
                    </m:r>
                    <m:r>
                      <m:rPr/>
                      <m:t>t</m:t>
                    </m:r>
                  </m:sub>
                </m:sSub>
                <m:r>
                  <m:rPr>
                    <m:sty m:val="p"/>
                  </m:rPr>
                  <m:t>)</m:t>
                </m:r>
              </m:oMath>
            </m:oMathPara>
          </w:p>
        </w:tc>
        <w:tc>
          <w:tcPr>
            <w:tcW w:w="650" w:type="dxa"/>
            <w:tcMar>
              <w:top w:w="0" w:type="dxa"/>
              <w:left w:w="0" w:type="dxa"/>
              <w:bottom w:w="0" w:type="dxa"/>
              <w:right w:w="0" w:type="dxa"/>
            </w:tcMar>
            <w:vAlign w:val="center"/>
          </w:tcPr>
          <w:p w14:paraId="2FE0A945">
            <w:pPr>
              <w:spacing w:before="0" w:after="0"/>
              <w:jc w:val="right"/>
            </w:pPr>
            <w:bookmarkStart w:id="25" w:name="_RefEq4_2"/>
            <w:r>
              <w:t>(4-</w:t>
            </w:r>
            <w:r>
              <w:fldChar w:fldCharType="begin"/>
            </w:r>
            <w:r>
              <w:instrText xml:space="preserve"> SEQ Eq4 \* ARABIC </w:instrText>
            </w:r>
            <w:r>
              <w:fldChar w:fldCharType="separate"/>
            </w:r>
            <w:r>
              <w:t>1</w:t>
            </w:r>
            <w:r>
              <w:fldChar w:fldCharType="end"/>
            </w:r>
            <w:r>
              <w:t>)</w:t>
            </w:r>
            <w:bookmarkEnd w:id="25"/>
          </w:p>
        </w:tc>
      </w:tr>
      <w:tr w14:paraId="6D54FA36">
        <w:trPr>
          <w:cantSplit/>
          <w:jc w:val="center"/>
        </w:trPr>
        <w:tc>
          <w:tcPr>
            <w:tcW w:w="650" w:type="dxa"/>
            <w:tcMar>
              <w:top w:w="0" w:type="dxa"/>
              <w:left w:w="0" w:type="dxa"/>
              <w:bottom w:w="0" w:type="dxa"/>
              <w:right w:w="0" w:type="dxa"/>
            </w:tcMar>
            <w:vAlign w:val="center"/>
          </w:tcPr>
          <w:p w14:paraId="3B58FFAD">
            <w:pPr>
              <w:spacing w:before="0" w:after="0"/>
              <w:jc w:val="left"/>
            </w:pPr>
          </w:p>
        </w:tc>
        <w:tc>
          <w:tcPr>
            <w:tcW w:w="7006" w:type="dxa"/>
            <w:tcMar>
              <w:top w:w="0" w:type="dxa"/>
              <w:left w:w="0" w:type="dxa"/>
              <w:bottom w:w="0" w:type="dxa"/>
              <w:right w:w="0" w:type="dxa"/>
            </w:tcMar>
            <w:vAlign w:val="center"/>
          </w:tcPr>
          <w:p w14:paraId="135F707E">
            <w:pPr>
              <w:spacing w:before="0" w:after="0"/>
              <w:jc w:val="center"/>
            </w:pPr>
            <m:oMathPara>
              <m:oMathParaPr>
                <m:jc m:val="center"/>
              </m:oMathParaPr>
              <m:oMath>
                <m:sSub>
                  <m:sSubPr/>
                  <m:e>
                    <m:r>
                      <m:rPr/>
                      <m:t>p</m:t>
                    </m:r>
                  </m:e>
                  <m:sub>
                    <m:r>
                      <m:rPr/>
                      <m:t>S</m:t>
                    </m:r>
                    <m:r>
                      <m:rPr>
                        <m:sty m:val="p"/>
                      </m:rPr>
                      <m:t>,</m:t>
                    </m:r>
                    <m:r>
                      <m:rPr/>
                      <m:t>t</m:t>
                    </m:r>
                  </m:sub>
                </m:sSub>
                <m:r>
                  <m:rPr>
                    <m:sty m:val="p"/>
                  </m:rPr>
                  <m:t>(</m:t>
                </m:r>
                <m:r>
                  <m:rPr/>
                  <m:t>v</m:t>
                </m:r>
                <m:r>
                  <m:rPr>
                    <m:sty m:val="p"/>
                  </m:rPr>
                  <m:t>)=</m:t>
                </m:r>
                <m:sSub>
                  <m:sSubPr/>
                  <m:e>
                    <m:r>
                      <m:rPr/>
                      <m:t>π</m:t>
                    </m:r>
                  </m:e>
                  <m:sub>
                    <m:r>
                      <m:rPr/>
                      <m:t>θ</m:t>
                    </m:r>
                  </m:sub>
                </m:sSub>
                <m:r>
                  <m:rPr>
                    <m:sty m:val="p"/>
                  </m:rPr>
                  <m:t>(</m:t>
                </m:r>
                <m:r>
                  <m:rPr/>
                  <m:t>v</m:t>
                </m:r>
                <m:r>
                  <m:rPr>
                    <m:sty m:val="p"/>
                  </m:rPr>
                  <m:t>∣</m:t>
                </m:r>
                <m:r>
                  <m:rPr/>
                  <m:t>x</m:t>
                </m:r>
                <m:r>
                  <m:rPr>
                    <m:sty m:val="p"/>
                  </m:rPr>
                  <m:t>,</m:t>
                </m:r>
                <m:sSub>
                  <m:sSubPr/>
                  <m:e>
                    <m:r>
                      <m:rPr/>
                      <m:t>y</m:t>
                    </m:r>
                  </m:e>
                  <m:sub>
                    <m:r>
                      <m:rPr>
                        <m:sty m:val="p"/>
                      </m:rPr>
                      <m:t>&lt;</m:t>
                    </m:r>
                    <m:r>
                      <m:rPr/>
                      <m:t>t</m:t>
                    </m:r>
                  </m:sub>
                </m:sSub>
                <m:r>
                  <m:rPr>
                    <m:sty m:val="p"/>
                  </m:rPr>
                  <m:t>)</m:t>
                </m:r>
              </m:oMath>
            </m:oMathPara>
          </w:p>
        </w:tc>
        <w:tc>
          <w:tcPr>
            <w:tcW w:w="650" w:type="dxa"/>
            <w:tcMar>
              <w:top w:w="0" w:type="dxa"/>
              <w:left w:w="0" w:type="dxa"/>
              <w:bottom w:w="0" w:type="dxa"/>
              <w:right w:w="0" w:type="dxa"/>
            </w:tcMar>
            <w:vAlign w:val="center"/>
          </w:tcPr>
          <w:p w14:paraId="4FFF3196">
            <w:pPr>
              <w:spacing w:before="0" w:after="0"/>
              <w:jc w:val="right"/>
            </w:pPr>
          </w:p>
        </w:tc>
      </w:tr>
    </w:tbl>
    <w:p w14:paraId="23AEF243">
      <w:pPr>
        <w:ind w:firstLine="0"/>
        <w:jc w:val="both"/>
      </w:pPr>
      <w:r>
        <w:t>令上标 g 表示教师反馈方案，包括完整词表、常规 Top-K 及候选支持集。式（4-2）的监督掩码和位置条件化散度权重由第一项联合方法在同一学生状态上确定；第二项方法决定算子可见的概率支持集。每次更新将离散生成轨迹视为已采样数据，梯度沿学生分布和 LoRA 参数传播。</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1E17804E">
        <w:trPr>
          <w:cantSplit/>
          <w:jc w:val="center"/>
        </w:trPr>
        <w:tc>
          <w:tcPr>
            <w:tcW w:w="650" w:type="dxa"/>
            <w:tcMar>
              <w:top w:w="0" w:type="dxa"/>
              <w:left w:w="0" w:type="dxa"/>
              <w:bottom w:w="0" w:type="dxa"/>
              <w:right w:w="0" w:type="dxa"/>
            </w:tcMar>
            <w:vAlign w:val="center"/>
          </w:tcPr>
          <w:p w14:paraId="0CCDE2A2">
            <w:pPr>
              <w:spacing w:before="0" w:after="0"/>
              <w:jc w:val="left"/>
            </w:pPr>
          </w:p>
        </w:tc>
        <w:tc>
          <w:tcPr>
            <w:tcW w:w="7006" w:type="dxa"/>
            <w:tcMar>
              <w:top w:w="0" w:type="dxa"/>
              <w:left w:w="0" w:type="dxa"/>
              <w:bottom w:w="0" w:type="dxa"/>
              <w:right w:w="0" w:type="dxa"/>
            </w:tcMar>
            <w:vAlign w:val="center"/>
          </w:tcPr>
          <w:p w14:paraId="34B11EA4">
            <w:pPr>
              <w:spacing w:before="0" w:after="0"/>
              <w:jc w:val="center"/>
            </w:pPr>
            <m:oMathPara>
              <m:oMathParaPr>
                <m:jc m:val="center"/>
              </m:oMathParaPr>
              <m:oMath>
                <m:sSubSup>
                  <m:sSubSupPr/>
                  <m:e>
                    <m:r>
                      <m:rPr>
                        <m:sty m:val="p"/>
                        <m:scr m:val="script"/>
                      </m:rPr>
                      <m:t>ℒ</m:t>
                    </m:r>
                  </m:e>
                  <m:sub>
                    <m:r>
                      <m:rPr>
                        <m:sty m:val="p"/>
                        <m:scr m:val="script"/>
                      </m:rPr>
                      <m:t>D</m:t>
                    </m:r>
                  </m:sub>
                  <m:sup>
                    <m:r>
                      <m:rPr>
                        <m:sty m:val="p"/>
                      </m:rPr>
                      <m:t>(</m:t>
                    </m:r>
                    <m:r>
                      <m:rPr/>
                      <m:t>g</m:t>
                    </m:r>
                    <m:r>
                      <m:rPr>
                        <m:sty m:val="p"/>
                      </m:rPr>
                      <m:t>)</m:t>
                    </m:r>
                  </m:sup>
                </m:sSubSup>
                <m:r>
                  <m:rPr>
                    <m:sty m:val="p"/>
                  </m:rPr>
                  <m:t>(</m:t>
                </m:r>
                <m:r>
                  <m:rPr/>
                  <m:t>θ</m:t>
                </m:r>
                <m:r>
                  <m:rPr>
                    <m:sty m:val="p"/>
                  </m:rPr>
                  <m:t>)=</m:t>
                </m:r>
                <m:sSub>
                  <m:sSubPr/>
                  <m:e>
                    <m:r>
                      <m:rPr>
                        <m:sty m:val="p"/>
                        <m:scr m:val="double-struck"/>
                      </m:rPr>
                      <m:t>E</m:t>
                    </m:r>
                  </m:e>
                  <m:sub>
                    <m:r>
                      <m:rPr/>
                      <m:t>x</m:t>
                    </m:r>
                    <m:r>
                      <m:rPr>
                        <m:sty m:val="p"/>
                      </m:rPr>
                      <m:t>∼</m:t>
                    </m:r>
                    <m:r>
                      <m:rPr>
                        <m:sty m:val="p"/>
                        <m:scr m:val="script"/>
                      </m:rPr>
                      <m:t>D</m:t>
                    </m:r>
                  </m:sub>
                </m:sSub>
                <m:sSub>
                  <m:sSubPr/>
                  <m:e>
                    <m:r>
                      <m:rPr>
                        <m:sty m:val="p"/>
                        <m:scr m:val="double-struck"/>
                      </m:rPr>
                      <m:t>E</m:t>
                    </m:r>
                  </m:e>
                  <m:sub>
                    <m:r>
                      <m:rPr/>
                      <m:t>y</m:t>
                    </m:r>
                    <m:r>
                      <m:rPr>
                        <m:sty m:val="p"/>
                      </m:rPr>
                      <m:t>∼</m:t>
                    </m:r>
                    <m:sSub>
                      <m:sSubPr/>
                      <m:e>
                        <m:r>
                          <m:rPr/>
                          <m:t>π</m:t>
                        </m:r>
                      </m:e>
                      <m:sub>
                        <m:r>
                          <m:rPr/>
                          <m:t>θ</m:t>
                        </m:r>
                        <m:r>
                          <m:rPr>
                            <m:sty m:val="p"/>
                          </m:rPr>
                          <m:t>,</m:t>
                        </m:r>
                        <m:r>
                          <m:rPr/>
                          <m:t>τ</m:t>
                        </m:r>
                      </m:sub>
                    </m:sSub>
                    <m:r>
                      <m:rPr>
                        <m:sty m:val="p"/>
                      </m:rPr>
                      <m:t>(⋅∣</m:t>
                    </m:r>
                    <m:r>
                      <m:rPr/>
                      <m:t>x</m:t>
                    </m:r>
                    <m:r>
                      <m:rPr>
                        <m:sty m:val="p"/>
                      </m:rPr>
                      <m:t>)</m:t>
                    </m:r>
                  </m:sub>
                </m:sSub>
                <m:d>
                  <m:dPr>
                    <m:begChr m:val="["/>
                    <m:sepChr m:val=""/>
                    <m:endChr m:val="]"/>
                  </m:dPr>
                  <m:e>
                    <m:f>
                      <m:fPr/>
                      <m:num>
                        <m:nary>
                          <m:naryPr>
                            <m:chr m:val="∑"/>
                            <m:limLoc m:val="undOvr"/>
                          </m:naryPr>
                          <m:sub>
                            <m:r>
                              <m:rPr/>
                              <m:t>t</m:t>
                            </m:r>
                            <m:r>
                              <m:rPr>
                                <m:sty m:val="p"/>
                              </m:rPr>
                              <m:t>=</m:t>
                            </m:r>
                            <m:r>
                              <m:rPr/>
                              <m:t>1</m:t>
                            </m:r>
                          </m:sub>
                          <m:sup>
                            <m:r>
                              <m:rPr/>
                              <m:t>T</m:t>
                            </m:r>
                          </m:sup>
                          <m:e>
                            <m:sSub>
                              <m:sSubPr/>
                              <m:e>
                                <m:r>
                                  <m:rPr/>
                                  <m:t>m</m:t>
                                </m:r>
                              </m:e>
                              <m:sub>
                                <m:r>
                                  <m:rPr/>
                                  <m:t>t</m:t>
                                </m:r>
                              </m:sub>
                            </m:sSub>
                          </m:e>
                        </m:nary>
                        <m:r>
                          <m:rPr/>
                          <m:t> </m:t>
                        </m:r>
                        <m:sSup>
                          <m:sSupPr/>
                          <m:e>
                            <m:acc>
                              <m:accPr/>
                              <m:e>
                                <m:r>
                                  <m:rPr>
                                    <m:sty m:val="p"/>
                                    <m:scr m:val="script"/>
                                  </m:rPr>
                                  <m:t>D</m:t>
                                </m:r>
                              </m:e>
                            </m:acc>
                          </m:e>
                          <m:sup>
                            <m:r>
                              <m:rPr>
                                <m:sty m:val="p"/>
                              </m:rPr>
                              <m:t>(</m:t>
                            </m:r>
                            <m:r>
                              <m:rPr/>
                              <m:t>g</m:t>
                            </m:r>
                            <m:r>
                              <m:rPr>
                                <m:sty m:val="p"/>
                              </m:rPr>
                              <m:t>)</m:t>
                            </m:r>
                          </m:sup>
                        </m:sSup>
                        <m:r>
                          <m:rPr>
                            <m:sty m:val="p"/>
                          </m:rPr>
                          <m:t>(</m:t>
                        </m:r>
                        <m:sSub>
                          <m:sSubPr/>
                          <m:e>
                            <m:r>
                              <m:rPr/>
                              <m:t>p</m:t>
                            </m:r>
                          </m:e>
                          <m:sub>
                            <m:r>
                              <m:rPr/>
                              <m:t>T</m:t>
                            </m:r>
                            <m:r>
                              <m:rPr>
                                <m:sty m:val="p"/>
                              </m:rPr>
                              <m:t>,</m:t>
                            </m:r>
                            <m:r>
                              <m:rPr/>
                              <m:t>t</m:t>
                            </m:r>
                          </m:sub>
                        </m:sSub>
                        <m:r>
                          <m:rPr>
                            <m:sty m:val="p"/>
                          </m:rPr>
                          <m:t>,</m:t>
                        </m:r>
                        <m:sSub>
                          <m:sSubPr/>
                          <m:e>
                            <m:r>
                              <m:rPr/>
                              <m:t>p</m:t>
                            </m:r>
                          </m:e>
                          <m:sub>
                            <m:r>
                              <m:rPr/>
                              <m:t>S</m:t>
                            </m:r>
                            <m:r>
                              <m:rPr>
                                <m:sty m:val="p"/>
                              </m:rPr>
                              <m:t>,</m:t>
                            </m:r>
                            <m:r>
                              <m:rPr/>
                              <m:t>t</m:t>
                            </m:r>
                          </m:sub>
                        </m:sSub>
                        <m:r>
                          <m:rPr>
                            <m:sty m:val="p"/>
                          </m:rPr>
                          <m:t>)</m:t>
                        </m:r>
                      </m:num>
                      <m:den>
                        <m:r>
                          <m:rPr>
                            <m:sty m:val="p"/>
                          </m:rPr>
                          <m:t>max</m:t>
                        </m:r>
                        <m:d>
                          <m:dPr>
                            <m:sepChr m:val=""/>
                          </m:dPr>
                          <m:e>
                            <m:r>
                              <m:rPr/>
                              <m:t>1</m:t>
                            </m:r>
                            <m:r>
                              <m:rPr>
                                <m:sty m:val="p"/>
                              </m:rPr>
                              <m:t>,</m:t>
                            </m:r>
                            <m:nary>
                              <m:naryPr>
                                <m:chr m:val="∑"/>
                                <m:limLoc m:val="undOvr"/>
                              </m:naryPr>
                              <m:sub>
                                <m:r>
                                  <m:rPr/>
                                  <m:t>t</m:t>
                                </m:r>
                                <m:r>
                                  <m:rPr>
                                    <m:sty m:val="p"/>
                                  </m:rPr>
                                  <m:t>=</m:t>
                                </m:r>
                                <m:r>
                                  <m:rPr/>
                                  <m:t>1</m:t>
                                </m:r>
                              </m:sub>
                              <m:sup>
                                <m:r>
                                  <m:rPr/>
                                  <m:t>T</m:t>
                                </m:r>
                              </m:sup>
                              <m:e>
                                <m:sSub>
                                  <m:sSubPr/>
                                  <m:e>
                                    <m:r>
                                      <m:rPr/>
                                      <m:t>m</m:t>
                                    </m:r>
                                  </m:e>
                                  <m:sub>
                                    <m:r>
                                      <m:rPr/>
                                      <m:t>t</m:t>
                                    </m:r>
                                  </m:sub>
                                </m:sSub>
                              </m:e>
                            </m:nary>
                          </m:e>
                        </m:d>
                      </m:den>
                    </m:f>
                  </m:e>
                </m:d>
              </m:oMath>
            </m:oMathPara>
          </w:p>
        </w:tc>
        <w:tc>
          <w:tcPr>
            <w:tcW w:w="650" w:type="dxa"/>
            <w:tcMar>
              <w:top w:w="0" w:type="dxa"/>
              <w:left w:w="0" w:type="dxa"/>
              <w:bottom w:w="0" w:type="dxa"/>
              <w:right w:w="0" w:type="dxa"/>
            </w:tcMar>
            <w:vAlign w:val="center"/>
          </w:tcPr>
          <w:p w14:paraId="4C8A6613">
            <w:pPr>
              <w:spacing w:before="0" w:after="0"/>
              <w:jc w:val="right"/>
            </w:pPr>
            <w:bookmarkStart w:id="26" w:name="_RefEq4_4"/>
            <w:r>
              <w:t>(4-</w:t>
            </w:r>
            <w:r>
              <w:fldChar w:fldCharType="begin"/>
            </w:r>
            <w:r>
              <w:instrText xml:space="preserve"> SEQ Eq4 \* ARABIC </w:instrText>
            </w:r>
            <w:r>
              <w:fldChar w:fldCharType="separate"/>
            </w:r>
            <w:r>
              <w:t>2</w:t>
            </w:r>
            <w:r>
              <w:fldChar w:fldCharType="end"/>
            </w:r>
            <w:r>
              <w:t>)</w:t>
            </w:r>
            <w:bookmarkEnd w:id="26"/>
          </w:p>
        </w:tc>
      </w:tr>
    </w:tbl>
    <w:p w14:paraId="7DD08C89">
      <w:pPr>
        <w:ind w:firstLine="0"/>
        <w:jc w:val="both"/>
      </w:pPr>
      <w:r>
        <w:t>式（4-2）为两项蒸馏方法提供共同目标。第一项联合调节监督掩码与位置条件化散度权重，在完整词表反馈下检验二者的协同作用；第二项固定这一联合规则，改进教师概率的有限支持集表示。单一 Forward KL、Reverse KL、JSD、skew KL、全局固定混合及已有尾部类别方法分别作为对照[7][8][9][12][35][31]。总体优化问题为：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ED6DF87">
        <w:trPr>
          <w:cantSplit/>
          <w:jc w:val="center"/>
        </w:trPr>
        <w:tc>
          <w:tcPr>
            <w:tcW w:w="650" w:type="dxa"/>
            <w:tcMar>
              <w:top w:w="0" w:type="dxa"/>
              <w:left w:w="0" w:type="dxa"/>
              <w:bottom w:w="0" w:type="dxa"/>
              <w:right w:w="0" w:type="dxa"/>
            </w:tcMar>
            <w:vAlign w:val="center"/>
          </w:tcPr>
          <w:p w14:paraId="596980FE">
            <w:pPr>
              <w:spacing w:before="0" w:after="0"/>
              <w:jc w:val="left"/>
            </w:pPr>
          </w:p>
        </w:tc>
        <w:tc>
          <w:tcPr>
            <w:tcW w:w="7006" w:type="dxa"/>
            <w:tcMar>
              <w:top w:w="0" w:type="dxa"/>
              <w:left w:w="0" w:type="dxa"/>
              <w:bottom w:w="0" w:type="dxa"/>
              <w:right w:w="0" w:type="dxa"/>
            </w:tcMar>
            <w:vAlign w:val="center"/>
          </w:tcPr>
          <w:p w14:paraId="2678586F">
            <w:pPr>
              <w:spacing w:before="0" w:after="0"/>
              <w:jc w:val="center"/>
            </w:pPr>
            <m:oMathPara>
              <m:oMathParaPr>
                <m:jc m:val="center"/>
              </m:oMathParaPr>
              <m:oMath>
                <m:sSup>
                  <m:sSupPr/>
                  <m:e>
                    <m:r>
                      <m:rPr/>
                      <m:t>θ</m:t>
                    </m:r>
                  </m:e>
                  <m:sup>
                    <m:r>
                      <m:rPr>
                        <m:sty m:val="p"/>
                      </m:rPr>
                      <m:t>⋆</m:t>
                    </m:r>
                  </m:sup>
                </m:sSup>
                <m:r>
                  <m:rPr>
                    <m:sty m:val="p"/>
                  </m:rPr>
                  <m:t>=</m:t>
                </m:r>
                <m:limLow>
                  <m:limLowPr/>
                  <m:e>
                    <m:r>
                      <m:rPr>
                        <m:sty m:val="p"/>
                      </m:rPr>
                      <m:t>argmin</m:t>
                    </m:r>
                  </m:e>
                  <m:lim>
                    <m:r>
                      <m:rPr/>
                      <m:t>θ</m:t>
                    </m:r>
                    <m:r>
                      <m:rPr>
                        <m:sty m:val="p"/>
                      </m:rPr>
                      <m:t>∈</m:t>
                    </m:r>
                    <m:sSub>
                      <m:sSubPr/>
                      <m:e>
                        <m:r>
                          <m:rPr>
                            <m:sty m:val="p"/>
                          </m:rPr>
                          <m:t>Θ</m:t>
                        </m:r>
                      </m:e>
                      <m:sub>
                        <m:r>
                          <m:rPr>
                            <m:sty m:val="p"/>
                          </m:rPr>
                          <m:t>LoRA</m:t>
                        </m:r>
                      </m:sub>
                    </m:sSub>
                  </m:lim>
                </m:limLow>
                <m:r>
                  <m:rPr/>
                  <m:t> </m:t>
                </m:r>
                <m:sSubSup>
                  <m:sSubSupPr/>
                  <m:e>
                    <m:r>
                      <m:rPr>
                        <m:sty m:val="p"/>
                        <m:scr m:val="script"/>
                      </m:rPr>
                      <m:t>ℒ</m:t>
                    </m:r>
                  </m:e>
                  <m:sub>
                    <m:r>
                      <m:rPr>
                        <m:sty m:val="p"/>
                        <m:scr m:val="script"/>
                      </m:rPr>
                      <m:t>D</m:t>
                    </m:r>
                  </m:sub>
                  <m:sup>
                    <m:r>
                      <m:rPr>
                        <m:sty m:val="p"/>
                      </m:rPr>
                      <m:t>(</m:t>
                    </m:r>
                    <m:r>
                      <m:rPr/>
                      <m:t>g</m:t>
                    </m:r>
                    <m:r>
                      <m:rPr>
                        <m:sty m:val="p"/>
                      </m:rPr>
                      <m:t>)</m:t>
                    </m:r>
                  </m:sup>
                </m:sSubSup>
                <m:r>
                  <m:rPr>
                    <m:sty m:val="p"/>
                  </m:rPr>
                  <m:t>(</m:t>
                </m:r>
                <m:r>
                  <m:rPr/>
                  <m:t>θ</m:t>
                </m:r>
                <m:r>
                  <m:rPr>
                    <m:sty m:val="p"/>
                  </m:rPr>
                  <m:t>)</m:t>
                </m:r>
              </m:oMath>
            </m:oMathPara>
          </w:p>
        </w:tc>
        <w:tc>
          <w:tcPr>
            <w:tcW w:w="650" w:type="dxa"/>
            <w:tcMar>
              <w:top w:w="0" w:type="dxa"/>
              <w:left w:w="0" w:type="dxa"/>
              <w:bottom w:w="0" w:type="dxa"/>
              <w:right w:w="0" w:type="dxa"/>
            </w:tcMar>
            <w:vAlign w:val="center"/>
          </w:tcPr>
          <w:p w14:paraId="701336D1">
            <w:pPr>
              <w:spacing w:before="0" w:after="0"/>
              <w:jc w:val="right"/>
            </w:pPr>
            <w:bookmarkStart w:id="27" w:name="_RefEq4_5"/>
            <w:r>
              <w:t>(4-</w:t>
            </w:r>
            <w:r>
              <w:fldChar w:fldCharType="begin"/>
            </w:r>
            <w:r>
              <w:instrText xml:space="preserve"> SEQ Eq4 \* ARABIC </w:instrText>
            </w:r>
            <w:r>
              <w:fldChar w:fldCharType="separate"/>
            </w:r>
            <w:r>
              <w:t>3</w:t>
            </w:r>
            <w:r>
              <w:fldChar w:fldCharType="end"/>
            </w:r>
            <w:r>
              <w:t>)</w:t>
            </w:r>
            <w:bookmarkEnd w:id="27"/>
          </w:p>
        </w:tc>
      </w:tr>
    </w:tbl>
    <w:p w14:paraId="1457368B">
      <w:pPr>
        <w:ind w:firstLine="420"/>
        <w:jc w:val="both"/>
      </w:pPr>
      <w:r>
        <w:t>方法研究先完成决策状态与散度目标的联合设计，再研究有限反馈表示。两项方法分别接受受控训练验证，并在同一系统中检验组合使用的效果；第三项系统研究独立验证回放、闭环评测、错误追踪和资源计量的可靠性。各项均保留规则参数、训练配置与原始指标。</w:t>
      </w:r>
    </w:p>
    <w:p w14:paraId="1914937F">
      <w:pPr>
        <w:ind w:firstLine="0"/>
        <w:jc w:val="center"/>
      </w:pPr>
      <w:r>
        <w:drawing>
          <wp:inline distT="0" distB="0" distL="114300" distR="114300">
            <wp:extent cx="5806440" cy="2177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806440" cy="2177415"/>
                    </a:xfrm>
                    <a:prstGeom prst="rect">
                      <a:avLst/>
                    </a:prstGeom>
                  </pic:spPr>
                </pic:pic>
              </a:graphicData>
            </a:graphic>
          </wp:inline>
        </w:drawing>
      </w:r>
    </w:p>
    <w:p w14:paraId="61C757E0">
      <w:pPr>
        <w:spacing w:before="0" w:after="120" w:line="240" w:lineRule="auto"/>
        <w:ind w:firstLine="0"/>
        <w:jc w:val="center"/>
      </w:pPr>
      <w:r>
        <w:rPr>
          <w:rFonts w:ascii="Times New Roman" w:hAnsi="Times New Roman" w:eastAsia="宋体"/>
          <w:sz w:val="21"/>
        </w:rPr>
        <w:t xml:space="preserve">图 </w:t>
      </w:r>
      <w:bookmarkStart w:id="28" w:name="_RefFigure1"/>
      <w:r>
        <w:rPr>
          <w:rFonts w:ascii="Times New Roman" w:hAnsi="Times New Roman" w:eastAsia="宋体"/>
          <w:sz w:val="21"/>
        </w:rPr>
        <w:fldChar w:fldCharType="begin"/>
      </w:r>
      <w:r>
        <w:rPr>
          <w:rFonts w:ascii="Times New Roman" w:hAnsi="Times New Roman" w:eastAsia="宋体"/>
          <w:sz w:val="21"/>
        </w:rPr>
        <w:instrText xml:space="preserve"> SEQ Figure \* ARABIC </w:instrText>
      </w:r>
      <w:r>
        <w:rPr>
          <w:rFonts w:ascii="Times New Roman" w:hAnsi="Times New Roman" w:eastAsia="宋体"/>
          <w:sz w:val="21"/>
        </w:rPr>
        <w:fldChar w:fldCharType="separate"/>
      </w:r>
      <w:r>
        <w:rPr>
          <w:rFonts w:ascii="Times New Roman" w:hAnsi="Times New Roman" w:eastAsia="宋体"/>
          <w:sz w:val="21"/>
        </w:rPr>
        <w:t>2</w:t>
      </w:r>
      <w:r>
        <w:rPr>
          <w:rFonts w:ascii="Times New Roman" w:hAnsi="Times New Roman" w:eastAsia="宋体"/>
          <w:sz w:val="21"/>
        </w:rPr>
        <w:fldChar w:fldCharType="end"/>
      </w:r>
      <w:bookmarkEnd w:id="28"/>
      <w:r>
        <w:rPr>
          <w:rFonts w:ascii="Times New Roman" w:hAnsi="Times New Roman" w:eastAsia="宋体"/>
          <w:sz w:val="21"/>
        </w:rPr>
        <w:t xml:space="preserve">  研究总体技术路线</w:t>
      </w:r>
    </w:p>
    <w:p w14:paraId="51D0960D">
      <w:pPr>
        <w:pStyle w:val="3"/>
      </w:pPr>
      <w:bookmarkStart w:id="29" w:name="_Toc509749868"/>
      <w:r>
        <w:rPr>
          <w:rFonts w:ascii="黑体" w:hAnsi="黑体" w:eastAsia="黑体" w:cs="黑体"/>
          <w:b/>
          <w:color w:val="000000"/>
          <w:sz w:val="24"/>
        </w:rPr>
        <w:t>4.2 模型和数据准备</w:t>
      </w:r>
      <w:bookmarkEnd w:id="29"/>
    </w:p>
    <w:p w14:paraId="51F515C2">
      <w:pPr>
        <w:ind w:firstLine="420"/>
        <w:jc w:val="both"/>
      </w:pPr>
      <w:r>
        <w:t>计划选用 Qwen3-0.6B 学生和 Qwen3-4B 教师。相同模型家族便于统一 tokenizer、特殊 token、消息模板和函数调用格式；教师冻结，学生仅更新低秩适配参数。具体版本与模板将在兼容性审计后确定。线性层采用以下 LoRA 参数化：</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1E4C8A93">
        <w:trPr>
          <w:cantSplit/>
          <w:jc w:val="center"/>
        </w:trPr>
        <w:tc>
          <w:tcPr>
            <w:tcW w:w="650" w:type="dxa"/>
            <w:tcMar>
              <w:top w:w="0" w:type="dxa"/>
              <w:left w:w="0" w:type="dxa"/>
              <w:bottom w:w="0" w:type="dxa"/>
              <w:right w:w="0" w:type="dxa"/>
            </w:tcMar>
            <w:vAlign w:val="center"/>
          </w:tcPr>
          <w:p w14:paraId="77FF61CB">
            <w:pPr>
              <w:spacing w:before="0" w:after="0"/>
              <w:jc w:val="left"/>
            </w:pPr>
          </w:p>
        </w:tc>
        <w:tc>
          <w:tcPr>
            <w:tcW w:w="7006" w:type="dxa"/>
            <w:tcMar>
              <w:top w:w="0" w:type="dxa"/>
              <w:left w:w="0" w:type="dxa"/>
              <w:bottom w:w="0" w:type="dxa"/>
              <w:right w:w="0" w:type="dxa"/>
            </w:tcMar>
            <w:vAlign w:val="center"/>
          </w:tcPr>
          <w:p w14:paraId="36CB673B">
            <w:pPr>
              <w:spacing w:before="0" w:after="0"/>
              <w:jc w:val="center"/>
            </w:pPr>
            <m:oMathPara>
              <m:oMath>
                <m:r>
                  <m:rPr/>
                  <m:t>W</m:t>
                </m:r>
                <m:r>
                  <m:rPr>
                    <m:sty m:val="p"/>
                  </m:rPr>
                  <m:t>=</m:t>
                </m:r>
                <m:sSub>
                  <m:sSubPr/>
                  <m:e>
                    <m:r>
                      <m:rPr/>
                      <m:t>W</m:t>
                    </m:r>
                  </m:e>
                  <m:sub>
                    <m:r>
                      <m:rPr/>
                      <m:t>0</m:t>
                    </m:r>
                  </m:sub>
                </m:sSub>
                <m:r>
                  <m:rPr>
                    <m:sty m:val="p"/>
                  </m:rPr>
                  <m:t>+</m:t>
                </m:r>
                <m:f>
                  <m:fPr/>
                  <m:num>
                    <m:r>
                      <m:rPr/>
                      <m:t>α</m:t>
                    </m:r>
                  </m:num>
                  <m:den>
                    <m:r>
                      <m:rPr/>
                      <m:t>r</m:t>
                    </m:r>
                  </m:den>
                </m:f>
                <m:r>
                  <m:rPr/>
                  <m:t>BA</m:t>
                </m:r>
              </m:oMath>
            </m:oMathPara>
          </w:p>
        </w:tc>
        <w:tc>
          <w:tcPr>
            <w:tcW w:w="650" w:type="dxa"/>
            <w:tcMar>
              <w:top w:w="0" w:type="dxa"/>
              <w:left w:w="0" w:type="dxa"/>
              <w:bottom w:w="0" w:type="dxa"/>
              <w:right w:w="0" w:type="dxa"/>
            </w:tcMar>
            <w:vAlign w:val="center"/>
          </w:tcPr>
          <w:p w14:paraId="6D9DEAD3">
            <w:pPr>
              <w:spacing w:before="0" w:after="0"/>
              <w:jc w:val="right"/>
            </w:pPr>
            <w:bookmarkStart w:id="30" w:name="_RefEq4_6"/>
            <w:r>
              <w:t>(4-</w:t>
            </w:r>
            <w:r>
              <w:fldChar w:fldCharType="begin"/>
            </w:r>
            <w:r>
              <w:instrText xml:space="preserve"> SEQ Eq4 \* ARABIC </w:instrText>
            </w:r>
            <w:r>
              <w:fldChar w:fldCharType="separate"/>
            </w:r>
            <w:r>
              <w:t>4</w:t>
            </w:r>
            <w:r>
              <w:fldChar w:fldCharType="end"/>
            </w:r>
            <w:r>
              <w:t>)</w:t>
            </w:r>
            <w:bookmarkEnd w:id="30"/>
          </w:p>
        </w:tc>
      </w:tr>
    </w:tbl>
    <w:p w14:paraId="369D6F6C">
      <w:pPr>
        <w:ind w:firstLine="420"/>
        <w:jc w:val="both"/>
      </w:pPr>
      <w:r>
        <w:t>式（4-4）中，两个可训练矩阵的中间维度为低秩维度，远小于原线性层的输入和输出维度。LoRA 降低学生更新参数量，使各组散度和反馈实验能够共享同一初始化与优化器协议[19]。Qwen3 模型家族及模板约定以其技术报告为参考[16]。</w:t>
      </w:r>
    </w:p>
    <w:p w14:paraId="33260523">
      <w:pPr>
        <w:ind w:firstLine="420"/>
        <w:jc w:val="both"/>
      </w:pPr>
      <w:r>
        <w:t>Function Calling 样本在进入模型前统一整理为下式：</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2EF0F5AD">
        <w:trPr>
          <w:cantSplit/>
          <w:jc w:val="center"/>
        </w:trPr>
        <w:tc>
          <w:tcPr>
            <w:tcW w:w="650" w:type="dxa"/>
            <w:tcMar>
              <w:top w:w="0" w:type="dxa"/>
              <w:left w:w="0" w:type="dxa"/>
              <w:bottom w:w="0" w:type="dxa"/>
              <w:right w:w="0" w:type="dxa"/>
            </w:tcMar>
            <w:vAlign w:val="center"/>
          </w:tcPr>
          <w:p w14:paraId="7CF0FFB5">
            <w:pPr>
              <w:spacing w:before="0" w:after="0"/>
              <w:jc w:val="left"/>
            </w:pPr>
          </w:p>
        </w:tc>
        <w:tc>
          <w:tcPr>
            <w:tcW w:w="7006" w:type="dxa"/>
            <w:tcMar>
              <w:top w:w="0" w:type="dxa"/>
              <w:left w:w="0" w:type="dxa"/>
              <w:bottom w:w="0" w:type="dxa"/>
              <w:right w:w="0" w:type="dxa"/>
            </w:tcMar>
            <w:vAlign w:val="center"/>
          </w:tcPr>
          <w:p w14:paraId="7ABDAEAE">
            <w:pPr>
              <w:spacing w:before="0" w:after="0"/>
              <w:jc w:val="center"/>
            </w:pPr>
            <m:oMathPara>
              <m:oMath>
                <m:r>
                  <m:rPr/>
                  <m:t>x</m:t>
                </m:r>
                <m:r>
                  <m:rPr>
                    <m:sty m:val="p"/>
                  </m:rPr>
                  <m:t>=Template(</m:t>
                </m:r>
                <m:r>
                  <m:rPr/>
                  <m:t>u</m:t>
                </m:r>
                <m:r>
                  <m:rPr>
                    <m:sty m:val="p"/>
                  </m:rPr>
                  <m:t>,</m:t>
                </m:r>
                <m:r>
                  <m:rPr/>
                  <m:t>S</m:t>
                </m:r>
                <m:r>
                  <m:rPr>
                    <m:sty m:val="p"/>
                  </m:rPr>
                  <m:t>,</m:t>
                </m:r>
                <m:r>
                  <m:rPr/>
                  <m:t>h</m:t>
                </m:r>
                <m:r>
                  <m:rPr>
                    <m:sty m:val="p"/>
                  </m:rPr>
                  <m:t>)</m:t>
                </m:r>
              </m:oMath>
            </m:oMathPara>
          </w:p>
        </w:tc>
        <w:tc>
          <w:tcPr>
            <w:tcW w:w="650" w:type="dxa"/>
            <w:tcMar>
              <w:top w:w="0" w:type="dxa"/>
              <w:left w:w="0" w:type="dxa"/>
              <w:bottom w:w="0" w:type="dxa"/>
              <w:right w:w="0" w:type="dxa"/>
            </w:tcMar>
            <w:vAlign w:val="center"/>
          </w:tcPr>
          <w:p w14:paraId="4FC5BBE3">
            <w:pPr>
              <w:spacing w:before="0" w:after="0"/>
              <w:jc w:val="right"/>
            </w:pPr>
            <w:bookmarkStart w:id="31" w:name="_RefEq4_7"/>
            <w:r>
              <w:t>(4-</w:t>
            </w:r>
            <w:r>
              <w:fldChar w:fldCharType="begin"/>
            </w:r>
            <w:r>
              <w:instrText xml:space="preserve"> SEQ Eq4 \* ARABIC </w:instrText>
            </w:r>
            <w:r>
              <w:fldChar w:fldCharType="separate"/>
            </w:r>
            <w:r>
              <w:t>5</w:t>
            </w:r>
            <w:r>
              <w:fldChar w:fldCharType="end"/>
            </w:r>
            <w:r>
              <w:t>)</w:t>
            </w:r>
            <w:bookmarkEnd w:id="31"/>
          </w:p>
        </w:tc>
      </w:tr>
    </w:tbl>
    <w:p w14:paraId="0799E47D">
      <w:pPr>
        <w:ind w:firstLine="420"/>
        <w:jc w:val="both"/>
      </w:pPr>
      <w:r>
        <w:t>式（4-5）中的用户请求与工具 schema 构成单轮实验的主要输入；有可靠对话历史或工具返回的样本单独标记，在扩展分析中使用。训练、验证和测试集独立划分，满足下列互斥关系：</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56F7B85">
        <w:trPr>
          <w:cantSplit/>
          <w:jc w:val="center"/>
        </w:trPr>
        <w:tc>
          <w:tcPr>
            <w:tcW w:w="650" w:type="dxa"/>
            <w:tcMar>
              <w:top w:w="0" w:type="dxa"/>
              <w:left w:w="0" w:type="dxa"/>
              <w:bottom w:w="0" w:type="dxa"/>
              <w:right w:w="0" w:type="dxa"/>
            </w:tcMar>
            <w:vAlign w:val="center"/>
          </w:tcPr>
          <w:p w14:paraId="2E819B93">
            <w:pPr>
              <w:spacing w:before="0" w:after="0"/>
              <w:jc w:val="left"/>
            </w:pPr>
          </w:p>
        </w:tc>
        <w:tc>
          <w:tcPr>
            <w:tcW w:w="7006" w:type="dxa"/>
            <w:tcMar>
              <w:top w:w="0" w:type="dxa"/>
              <w:left w:w="0" w:type="dxa"/>
              <w:bottom w:w="0" w:type="dxa"/>
              <w:right w:w="0" w:type="dxa"/>
            </w:tcMar>
            <w:vAlign w:val="center"/>
          </w:tcPr>
          <w:p w14:paraId="7E24CE06">
            <w:pPr>
              <w:spacing w:before="0" w:after="0"/>
              <w:jc w:val="center"/>
              <w:rPr>
                <w:rFonts w:hint="default" w:eastAsia="宋体"/>
                <w:lang w:val="en-US" w:eastAsia="zh-CN"/>
              </w:rPr>
            </w:pPr>
            <m:oMathPara>
              <m:oMath>
                <m:sSub>
                  <m:sSubPr/>
                  <m:e>
                    <m:r>
                      <m:rPr/>
                      <m:t>D</m:t>
                    </m:r>
                  </m:e>
                  <m:sub>
                    <m:r>
                      <m:rPr>
                        <m:sty m:val="p"/>
                      </m:rPr>
                      <m:t>tr</m:t>
                    </m:r>
                  </m:sub>
                </m:sSub>
                <m:r>
                  <m:rPr>
                    <m:sty m:val="p"/>
                  </m:rPr>
                  <m:t>∩</m:t>
                </m:r>
                <m:sSub>
                  <m:sSubPr/>
                  <m:e>
                    <m:r>
                      <m:rPr/>
                      <m:t>D</m:t>
                    </m:r>
                  </m:e>
                  <m:sub>
                    <m:r>
                      <m:rPr>
                        <m:sty m:val="p"/>
                      </m:rPr>
                      <m:t>val</m:t>
                    </m:r>
                  </m:sub>
                </m:sSub>
                <m:r>
                  <m:rPr>
                    <m:sty m:val="p"/>
                  </m:rPr>
                  <m:t>=⌀</m:t>
                </m:r>
                <m:r>
                  <m:rPr>
                    <m:sty m:val="p"/>
                  </m:rPr>
                  <w:rPr>
                    <w:rFonts w:hint="default"/>
                    <w:lang w:val="en-US"/>
                  </w:rPr>
                  <m:t>,</m:t>
                </m:r>
                <m:sSub>
                  <m:sSubPr/>
                  <m:e>
                    <m:r>
                      <m:rPr/>
                      <m:t>D</m:t>
                    </m:r>
                  </m:e>
                  <m:sub>
                    <m:r>
                      <m:rPr>
                        <m:sty m:val="p"/>
                      </m:rPr>
                      <m:t>tr</m:t>
                    </m:r>
                  </m:sub>
                </m:sSub>
                <m:r>
                  <m:rPr>
                    <m:sty m:val="p"/>
                  </m:rPr>
                  <m:t>∩</m:t>
                </m:r>
                <m:sSub>
                  <m:sSubPr/>
                  <m:e>
                    <m:r>
                      <m:rPr/>
                      <m:t>D</m:t>
                    </m:r>
                  </m:e>
                  <m:sub>
                    <m:r>
                      <m:rPr>
                        <m:sty m:val="p"/>
                      </m:rPr>
                      <m:t>te</m:t>
                    </m:r>
                  </m:sub>
                </m:sSub>
                <m:r>
                  <m:rPr>
                    <m:sty m:val="p"/>
                  </m:rPr>
                  <m:t>=⌀</m:t>
                </m:r>
                <m:r>
                  <m:rPr>
                    <m:sty m:val="p"/>
                  </m:rPr>
                  <w:rPr>
                    <w:rFonts w:hint="default"/>
                    <w:lang w:val="en-US"/>
                  </w:rPr>
                  <m:t>,</m:t>
                </m:r>
                <m:sSub>
                  <m:sSubPr/>
                  <m:e>
                    <m:r>
                      <m:rPr/>
                      <m:t>D</m:t>
                    </m:r>
                  </m:e>
                  <m:sub>
                    <m:r>
                      <m:rPr>
                        <m:sty m:val="p"/>
                      </m:rPr>
                      <m:t>val</m:t>
                    </m:r>
                  </m:sub>
                </m:sSub>
                <m:r>
                  <m:rPr>
                    <m:sty m:val="p"/>
                  </m:rPr>
                  <m:t>∩</m:t>
                </m:r>
                <m:sSub>
                  <m:sSubPr/>
                  <m:e>
                    <m:r>
                      <m:rPr/>
                      <m:t>D</m:t>
                    </m:r>
                  </m:e>
                  <m:sub>
                    <m:r>
                      <m:rPr>
                        <m:sty m:val="p"/>
                      </m:rPr>
                      <m:t>te</m:t>
                    </m:r>
                  </m:sub>
                </m:sSub>
                <m:r>
                  <m:rPr>
                    <m:sty m:val="p"/>
                  </m:rPr>
                  <m:t>=⌀</m:t>
                </m:r>
              </m:oMath>
            </m:oMathPara>
          </w:p>
        </w:tc>
        <w:tc>
          <w:tcPr>
            <w:tcW w:w="650" w:type="dxa"/>
            <w:tcMar>
              <w:top w:w="0" w:type="dxa"/>
              <w:left w:w="0" w:type="dxa"/>
              <w:bottom w:w="0" w:type="dxa"/>
              <w:right w:w="0" w:type="dxa"/>
            </w:tcMar>
            <w:vAlign w:val="center"/>
          </w:tcPr>
          <w:p w14:paraId="23C5A6F7">
            <w:pPr>
              <w:spacing w:before="0" w:after="0"/>
              <w:jc w:val="right"/>
            </w:pPr>
            <w:bookmarkStart w:id="32" w:name="_RefEq4_8"/>
            <w:r>
              <w:t>(4-</w:t>
            </w:r>
            <w:r>
              <w:fldChar w:fldCharType="begin"/>
            </w:r>
            <w:r>
              <w:instrText xml:space="preserve"> SEQ Eq4 \* ARABIC </w:instrText>
            </w:r>
            <w:r>
              <w:fldChar w:fldCharType="separate"/>
            </w:r>
            <w:r>
              <w:t>6</w:t>
            </w:r>
            <w:r>
              <w:fldChar w:fldCharType="end"/>
            </w:r>
            <w:r>
              <w:t>)</w:t>
            </w:r>
            <w:bookmarkEnd w:id="32"/>
          </w:p>
        </w:tc>
      </w:tr>
    </w:tbl>
    <w:p w14:paraId="2AF1A54E">
      <w:pPr>
        <w:ind w:firstLine="420"/>
        <w:jc w:val="both"/>
      </w:pPr>
      <w:r>
        <w:t>数据按来源、接口模板和目标调用进行联合去重，并检查相似问题与工具定义跨集合出现的情况。API-Bank、ToolLLM/ToolBench、APIGen 和 ToolACE 为字段统一、样本筛选与质量审计提供了参考[23][24][25][26]。</w:t>
      </w:r>
    </w:p>
    <w:p w14:paraId="1EA2CC71">
      <w:pPr>
        <w:ind w:firstLine="420"/>
        <w:jc w:val="both"/>
      </w:pPr>
      <w:r>
        <w:t>数据审计分为结构、语义和执行三个层次。结构检查覆盖 JSON 解析与 schema 约束，语义检查核对用户意图和目标调用；具备本地工具或模拟环境的样本再接受执行验证。单轮主实验使用结构可解析、目标调用可核对的样本，执行成功率只在经过验证的子集上报告。自动规则难以判断的样本保留原因，并通过人工抽查确定处理方式。</w:t>
      </w:r>
    </w:p>
    <w:p w14:paraId="681BB8C6">
      <w:pPr>
        <w:pStyle w:val="3"/>
      </w:pPr>
      <w:bookmarkStart w:id="33" w:name="_Toc1053763593"/>
      <w:r>
        <w:rPr>
          <w:rFonts w:ascii="黑体" w:hAnsi="黑体" w:eastAsia="黑体" w:cs="黑体"/>
          <w:b/>
          <w:color w:val="000000"/>
          <w:sz w:val="24"/>
        </w:rPr>
        <w:t>4.3 学生 rollout 和教师反馈</w:t>
      </w:r>
      <w:bookmarkEnd w:id="33"/>
    </w:p>
    <w:p w14:paraId="343B3713">
      <w:pPr>
        <w:spacing w:before="0" w:after="0" w:line="360" w:lineRule="auto"/>
        <w:ind w:firstLine="420"/>
        <w:jc w:val="both"/>
      </w:pPr>
      <w:r>
        <w:rPr>
          <w:rFonts w:ascii="Times New Roman" w:hAnsi="Times New Roman" w:eastAsia="宋体"/>
          <w:sz w:val="24"/>
        </w:rPr>
        <w:t xml:space="preserve">在线策略蒸馏的训练、反馈与评测关系如图 </w:t>
      </w:r>
      <w:r>
        <w:rPr>
          <w:rFonts w:ascii="Times New Roman" w:hAnsi="Times New Roman" w:eastAsia="宋体"/>
          <w:sz w:val="24"/>
        </w:rPr>
        <w:fldChar w:fldCharType="begin"/>
      </w:r>
      <w:r>
        <w:rPr>
          <w:rFonts w:ascii="Times New Roman" w:hAnsi="Times New Roman" w:eastAsia="宋体"/>
          <w:sz w:val="24"/>
        </w:rPr>
        <w:instrText xml:space="preserve"> REF _RefFigure2 \h </w:instrText>
      </w:r>
      <w:r>
        <w:rPr>
          <w:rFonts w:ascii="Times New Roman" w:hAnsi="Times New Roman" w:eastAsia="宋体"/>
          <w:sz w:val="24"/>
        </w:rPr>
        <w:fldChar w:fldCharType="separate"/>
      </w:r>
      <w:r>
        <w:rPr>
          <w:rFonts w:ascii="Times New Roman" w:hAnsi="Times New Roman" w:eastAsia="宋体"/>
          <w:sz w:val="21"/>
        </w:rPr>
        <w:t>3</w:t>
      </w:r>
      <w:r>
        <w:rPr>
          <w:rFonts w:ascii="Times New Roman" w:hAnsi="Times New Roman" w:eastAsia="宋体"/>
          <w:sz w:val="24"/>
        </w:rPr>
        <w:fldChar w:fldCharType="end"/>
      </w:r>
      <w:r>
        <w:rPr>
          <w:rFonts w:ascii="Times New Roman" w:hAnsi="Times New Roman" w:eastAsia="宋体"/>
          <w:sz w:val="24"/>
        </w:rPr>
        <w:t xml:space="preserve"> 所示。</w:t>
      </w:r>
    </w:p>
    <w:p w14:paraId="03869395">
      <w:pPr>
        <w:ind w:firstLine="420"/>
        <w:jc w:val="both"/>
      </w:pPr>
      <w:r>
        <w:t>学生 rollout 使用预先固定的温度、长度上限和停止规则。当前位置的 logits 经温度缩放后给出采样分布，整条生成序列的概率由各位置条件概率相乘得到：</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E6949ED">
        <w:trPr>
          <w:cantSplit/>
          <w:jc w:val="center"/>
        </w:trPr>
        <w:tc>
          <w:tcPr>
            <w:tcW w:w="650" w:type="dxa"/>
            <w:tcMar>
              <w:top w:w="0" w:type="dxa"/>
              <w:left w:w="0" w:type="dxa"/>
              <w:bottom w:w="0" w:type="dxa"/>
              <w:right w:w="0" w:type="dxa"/>
            </w:tcMar>
            <w:vAlign w:val="center"/>
          </w:tcPr>
          <w:p w14:paraId="28B19E56">
            <w:pPr>
              <w:spacing w:before="0" w:after="0"/>
              <w:jc w:val="left"/>
            </w:pPr>
          </w:p>
        </w:tc>
        <w:tc>
          <w:tcPr>
            <w:tcW w:w="7006" w:type="dxa"/>
            <w:tcMar>
              <w:top w:w="0" w:type="dxa"/>
              <w:left w:w="0" w:type="dxa"/>
              <w:bottom w:w="0" w:type="dxa"/>
              <w:right w:w="0" w:type="dxa"/>
            </w:tcMar>
            <w:vAlign w:val="center"/>
          </w:tcPr>
          <w:p w14:paraId="222E2BA7">
            <w:pPr>
              <w:spacing w:before="0" w:after="0"/>
              <w:jc w:val="center"/>
            </w:pPr>
            <m:oMathPara>
              <m:oMath>
                <m:sSub>
                  <m:sSubPr/>
                  <m:e>
                    <m:r>
                      <m:rPr/>
                      <m:t>π</m:t>
                    </m:r>
                  </m:e>
                  <m:sub>
                    <m:r>
                      <m:rPr/>
                      <m:t>θ</m:t>
                    </m:r>
                    <m:r>
                      <m:rPr>
                        <m:sty m:val="p"/>
                      </m:rPr>
                      <m:t>,</m:t>
                    </m:r>
                    <m:r>
                      <m:rPr/>
                      <m:t>τ</m:t>
                    </m:r>
                  </m:sub>
                </m:sSub>
                <m:r>
                  <m:rPr>
                    <m:sty m:val="p"/>
                  </m:rPr>
                  <m:t>(</m:t>
                </m:r>
                <m:r>
                  <m:rPr/>
                  <m:t>v</m:t>
                </m:r>
                <m:r>
                  <m:rPr>
                    <m:sty m:val="p"/>
                  </m:rPr>
                  <m:t>∣</m:t>
                </m:r>
                <m:r>
                  <m:rPr/>
                  <m:t>x</m:t>
                </m:r>
                <m:r>
                  <m:rPr>
                    <m:sty m:val="p"/>
                  </m:rPr>
                  <m:t>,</m:t>
                </m:r>
                <m:sSub>
                  <m:sSubPr/>
                  <m:e>
                    <m:r>
                      <m:rPr/>
                      <m:t>y</m:t>
                    </m:r>
                  </m:e>
                  <m:sub>
                    <m:r>
                      <m:rPr>
                        <m:sty m:val="p"/>
                      </m:rPr>
                      <m:t>&lt;</m:t>
                    </m:r>
                    <m:r>
                      <m:rPr/>
                      <m:t>t</m:t>
                    </m:r>
                  </m:sub>
                </m:sSub>
                <m:r>
                  <m:rPr>
                    <m:sty m:val="p"/>
                  </m:rPr>
                  <m:t>)=</m:t>
                </m:r>
                <m:f>
                  <m:fPr/>
                  <m:num>
                    <m:r>
                      <m:rPr>
                        <m:sty m:val="p"/>
                      </m:rPr>
                      <m:t>exp</m:t>
                    </m:r>
                    <m:d>
                      <m:dPr>
                        <m:sepChr m:val=""/>
                      </m:dPr>
                      <m:e>
                        <m:sSub>
                          <m:sSubPr/>
                          <m:e>
                            <m:r>
                              <m:rPr/>
                              <m:t>z</m:t>
                            </m:r>
                          </m:e>
                          <m:sub>
                            <m:r>
                              <m:rPr/>
                              <m:t>θ</m:t>
                            </m:r>
                            <m:r>
                              <m:rPr>
                                <m:sty m:val="p"/>
                              </m:rPr>
                              <m:t>,</m:t>
                            </m:r>
                            <m:r>
                              <m:rPr/>
                              <m:t>t</m:t>
                            </m:r>
                          </m:sub>
                        </m:sSub>
                        <m:r>
                          <m:rPr>
                            <m:sty m:val="p"/>
                          </m:rPr>
                          <m:t>(</m:t>
                        </m:r>
                        <m:r>
                          <m:rPr/>
                          <m:t>v</m:t>
                        </m:r>
                        <m:r>
                          <m:rPr>
                            <m:sty m:val="p"/>
                          </m:rPr>
                          <m:t>)/</m:t>
                        </m:r>
                        <m:r>
                          <m:rPr/>
                          <m:t>τ</m:t>
                        </m:r>
                      </m:e>
                    </m:d>
                  </m:num>
                  <m:den>
                    <m:nary>
                      <m:naryPr>
                        <m:chr m:val="∑"/>
                        <m:limLoc m:val="undOvr"/>
                        <m:supHide m:val="1"/>
                      </m:naryPr>
                      <m:sub>
                        <m:r>
                          <m:rPr/>
                          <m:t>u</m:t>
                        </m:r>
                        <m:r>
                          <m:rPr>
                            <m:sty m:val="p"/>
                          </m:rPr>
                          <m:t>∈</m:t>
                        </m:r>
                        <m:r>
                          <m:rPr>
                            <m:sty m:val="p"/>
                            <m:scr m:val="script"/>
                          </m:rPr>
                          <m:t>V</m:t>
                        </m:r>
                      </m:sub>
                      <m:sup>
                        <m:r>
                          <m:rPr/>
                          <m:t>​</m:t>
                        </m:r>
                      </m:sup>
                      <m:e>
                        <m:r>
                          <m:rPr>
                            <m:sty m:val="p"/>
                          </m:rPr>
                          <m:t>exp</m:t>
                        </m:r>
                      </m:e>
                    </m:nary>
                    <m:d>
                      <m:dPr>
                        <m:sepChr m:val=""/>
                      </m:dPr>
                      <m:e>
                        <m:sSub>
                          <m:sSubPr/>
                          <m:e>
                            <m:r>
                              <m:rPr/>
                              <m:t>z</m:t>
                            </m:r>
                          </m:e>
                          <m:sub>
                            <m:r>
                              <m:rPr/>
                              <m:t>θ</m:t>
                            </m:r>
                            <m:r>
                              <m:rPr>
                                <m:sty m:val="p"/>
                              </m:rPr>
                              <m:t>,</m:t>
                            </m:r>
                            <m:r>
                              <m:rPr/>
                              <m:t>t</m:t>
                            </m:r>
                          </m:sub>
                        </m:sSub>
                        <m:r>
                          <m:rPr>
                            <m:sty m:val="p"/>
                          </m:rPr>
                          <m:t>(</m:t>
                        </m:r>
                        <m:r>
                          <m:rPr/>
                          <m:t>u</m:t>
                        </m:r>
                        <m:r>
                          <m:rPr>
                            <m:sty m:val="p"/>
                          </m:rPr>
                          <m:t>)/</m:t>
                        </m:r>
                        <m:r>
                          <m:rPr/>
                          <m:t>τ</m:t>
                        </m:r>
                      </m:e>
                    </m:d>
                  </m:den>
                </m:f>
              </m:oMath>
            </m:oMathPara>
          </w:p>
        </w:tc>
        <w:tc>
          <w:tcPr>
            <w:tcW w:w="650" w:type="dxa"/>
            <w:tcMar>
              <w:top w:w="0" w:type="dxa"/>
              <w:left w:w="0" w:type="dxa"/>
              <w:bottom w:w="0" w:type="dxa"/>
              <w:right w:w="0" w:type="dxa"/>
            </w:tcMar>
            <w:vAlign w:val="center"/>
          </w:tcPr>
          <w:p w14:paraId="22654C18">
            <w:pPr>
              <w:spacing w:before="0" w:after="0"/>
              <w:jc w:val="right"/>
            </w:pPr>
            <w:bookmarkStart w:id="34" w:name="_RefEq4_11"/>
            <w:r>
              <w:t>(4-</w:t>
            </w:r>
            <w:r>
              <w:fldChar w:fldCharType="begin"/>
            </w:r>
            <w:r>
              <w:instrText xml:space="preserve"> SEQ Eq4 \* ARABIC </w:instrText>
            </w:r>
            <w:r>
              <w:fldChar w:fldCharType="separate"/>
            </w:r>
            <w:r>
              <w:t>7</w:t>
            </w:r>
            <w:r>
              <w:fldChar w:fldCharType="end"/>
            </w:r>
            <w:r>
              <w:t>)</w:t>
            </w:r>
            <w:bookmarkEnd w:id="34"/>
          </w:p>
        </w:tc>
      </w:tr>
      <w:tr w14:paraId="56FBEEFA">
        <w:trPr>
          <w:cantSplit/>
          <w:jc w:val="center"/>
        </w:trPr>
        <w:tc>
          <w:tcPr>
            <w:tcW w:w="650" w:type="dxa"/>
            <w:tcMar>
              <w:top w:w="0" w:type="dxa"/>
              <w:left w:w="0" w:type="dxa"/>
              <w:bottom w:w="0" w:type="dxa"/>
              <w:right w:w="0" w:type="dxa"/>
            </w:tcMar>
            <w:vAlign w:val="center"/>
          </w:tcPr>
          <w:p w14:paraId="47DF2CCF">
            <w:pPr>
              <w:spacing w:before="0" w:after="0"/>
              <w:jc w:val="left"/>
            </w:pPr>
          </w:p>
        </w:tc>
        <w:tc>
          <w:tcPr>
            <w:tcW w:w="7006" w:type="dxa"/>
            <w:tcMar>
              <w:top w:w="0" w:type="dxa"/>
              <w:left w:w="0" w:type="dxa"/>
              <w:bottom w:w="0" w:type="dxa"/>
              <w:right w:w="0" w:type="dxa"/>
            </w:tcMar>
            <w:vAlign w:val="center"/>
          </w:tcPr>
          <w:p w14:paraId="53B8B744">
            <w:pPr>
              <w:spacing w:before="0" w:after="0"/>
              <w:jc w:val="center"/>
            </w:pPr>
            <m:oMathPara>
              <m:oMath>
                <m:sSub>
                  <m:sSubPr/>
                  <m:e>
                    <m:r>
                      <m:rPr/>
                      <m:t>π</m:t>
                    </m:r>
                  </m:e>
                  <m:sub>
                    <m:r>
                      <m:rPr/>
                      <m:t>θ</m:t>
                    </m:r>
                    <m:r>
                      <m:rPr>
                        <m:sty m:val="p"/>
                      </m:rPr>
                      <m:t>,</m:t>
                    </m:r>
                    <m:r>
                      <m:rPr/>
                      <m:t>τ</m:t>
                    </m:r>
                  </m:sub>
                </m:sSub>
                <m:r>
                  <m:rPr>
                    <m:sty m:val="p"/>
                  </m:rPr>
                  <m:t>(</m:t>
                </m:r>
                <m:r>
                  <m:rPr/>
                  <m:t>y</m:t>
                </m:r>
                <m:r>
                  <m:rPr>
                    <m:sty m:val="p"/>
                  </m:rPr>
                  <m:t>∣</m:t>
                </m:r>
                <m:r>
                  <m:rPr/>
                  <m:t>x</m:t>
                </m:r>
                <m:r>
                  <m:rPr>
                    <m:sty m:val="p"/>
                  </m:rPr>
                  <m:t>)=</m:t>
                </m:r>
                <m:nary>
                  <m:naryPr>
                    <m:chr m:val="∏"/>
                    <m:limLoc m:val="undOvr"/>
                  </m:naryPr>
                  <m:sub>
                    <m:r>
                      <m:rPr/>
                      <m:t>t</m:t>
                    </m:r>
                    <m:r>
                      <m:rPr>
                        <m:sty m:val="p"/>
                      </m:rPr>
                      <m:t>=</m:t>
                    </m:r>
                    <m:r>
                      <m:rPr/>
                      <m:t>1</m:t>
                    </m:r>
                  </m:sub>
                  <m:sup>
                    <m:r>
                      <m:rPr/>
                      <m:t>T</m:t>
                    </m:r>
                  </m:sup>
                  <m:e>
                    <m:sSub>
                      <m:sSubPr/>
                      <m:e>
                        <m:r>
                          <m:rPr/>
                          <m:t>π</m:t>
                        </m:r>
                      </m:e>
                      <m:sub>
                        <m:r>
                          <m:rPr/>
                          <m:t>θ</m:t>
                        </m:r>
                        <m:r>
                          <m:rPr>
                            <m:sty m:val="p"/>
                          </m:rPr>
                          <m:t>,</m:t>
                        </m:r>
                        <m:r>
                          <m:rPr/>
                          <m:t>τ</m:t>
                        </m:r>
                      </m:sub>
                    </m:sSub>
                  </m:e>
                </m:nary>
                <m:r>
                  <m:rPr>
                    <m:sty m:val="p"/>
                  </m:rPr>
                  <m:t>(</m:t>
                </m:r>
                <m:sSub>
                  <m:sSubPr/>
                  <m:e>
                    <m:r>
                      <m:rPr/>
                      <m:t>y</m:t>
                    </m:r>
                  </m:e>
                  <m:sub>
                    <m:r>
                      <m:rPr/>
                      <m:t>t</m:t>
                    </m:r>
                  </m:sub>
                </m:sSub>
                <m:r>
                  <m:rPr>
                    <m:sty m:val="p"/>
                  </m:rPr>
                  <m:t>∣</m:t>
                </m:r>
                <m:r>
                  <m:rPr/>
                  <m:t>x</m:t>
                </m:r>
                <m:r>
                  <m:rPr>
                    <m:sty m:val="p"/>
                  </m:rPr>
                  <m:t>,</m:t>
                </m:r>
                <m:sSub>
                  <m:sSubPr/>
                  <m:e>
                    <m:r>
                      <m:rPr/>
                      <m:t>y</m:t>
                    </m:r>
                  </m:e>
                  <m:sub>
                    <m:r>
                      <m:rPr>
                        <m:sty m:val="p"/>
                      </m:rPr>
                      <m:t>&lt;</m:t>
                    </m:r>
                    <m:r>
                      <m:rPr/>
                      <m:t>t</m:t>
                    </m:r>
                  </m:sub>
                </m:sSub>
                <m:r>
                  <m:rPr>
                    <m:sty m:val="p"/>
                  </m:rPr>
                  <m:t>)</m:t>
                </m:r>
              </m:oMath>
            </m:oMathPara>
          </w:p>
        </w:tc>
        <w:tc>
          <w:tcPr>
            <w:tcW w:w="650" w:type="dxa"/>
            <w:tcMar>
              <w:top w:w="0" w:type="dxa"/>
              <w:left w:w="0" w:type="dxa"/>
              <w:bottom w:w="0" w:type="dxa"/>
              <w:right w:w="0" w:type="dxa"/>
            </w:tcMar>
            <w:vAlign w:val="center"/>
          </w:tcPr>
          <w:p w14:paraId="62E2B017">
            <w:pPr>
              <w:spacing w:before="0" w:after="0"/>
              <w:jc w:val="right"/>
            </w:pPr>
            <w:bookmarkStart w:id="35" w:name="_RefEq4_12"/>
            <w:r>
              <w:t>(4-</w:t>
            </w:r>
            <w:r>
              <w:fldChar w:fldCharType="begin"/>
            </w:r>
            <w:r>
              <w:instrText xml:space="preserve"> SEQ Eq4 \* ARABIC </w:instrText>
            </w:r>
            <w:r>
              <w:fldChar w:fldCharType="separate"/>
            </w:r>
            <w:r>
              <w:t>8</w:t>
            </w:r>
            <w:r>
              <w:fldChar w:fldCharType="end"/>
            </w:r>
            <w:r>
              <w:t>)</w:t>
            </w:r>
            <w:bookmarkEnd w:id="35"/>
          </w:p>
        </w:tc>
      </w:tr>
    </w:tbl>
    <w:p w14:paraId="516744BC">
      <w:pPr>
        <w:ind w:firstLine="420"/>
        <w:jc w:val="both"/>
      </w:pPr>
      <w:r>
        <w:t>教师沿学生已生成的前缀评分，师生 logits 在同一 token 位置对齐，再由各自设定的温度得到条件分布。位置标注依据函数选择、参数键、参数值和结构标记的解析规则完成；无法可靠归类的 token 单列。联合方法的位置选择环节在有效位置中，依据结构类别及师生分歧设置优先级并选取固定数量的位置；任务真值仅用于训练后分析，不参与优先级计算。</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7BFC19BA">
        <w:trPr>
          <w:cantSplit/>
          <w:jc w:val="center"/>
        </w:trPr>
        <w:tc>
          <w:tcPr>
            <w:tcW w:w="650" w:type="dxa"/>
            <w:tcMar>
              <w:top w:w="0" w:type="dxa"/>
              <w:left w:w="0" w:type="dxa"/>
              <w:bottom w:w="0" w:type="dxa"/>
              <w:right w:w="0" w:type="dxa"/>
            </w:tcMar>
            <w:vAlign w:val="center"/>
          </w:tcPr>
          <w:p w14:paraId="1976E4FE">
            <w:pPr>
              <w:spacing w:before="0" w:after="0"/>
              <w:jc w:val="left"/>
            </w:pPr>
          </w:p>
        </w:tc>
        <w:tc>
          <w:tcPr>
            <w:tcW w:w="7006" w:type="dxa"/>
            <w:tcMar>
              <w:top w:w="0" w:type="dxa"/>
              <w:left w:w="0" w:type="dxa"/>
              <w:bottom w:w="0" w:type="dxa"/>
              <w:right w:w="0" w:type="dxa"/>
            </w:tcMar>
            <w:vAlign w:val="center"/>
          </w:tcPr>
          <w:p w14:paraId="02F7125C">
            <w:pPr>
              <w:spacing w:before="0" w:after="0"/>
              <w:jc w:val="center"/>
            </w:pPr>
            <m:oMathPara>
              <m:oMath>
                <m:sSub>
                  <m:sSubPr/>
                  <m:e>
                    <m:r>
                      <m:rPr/>
                      <m:t>p</m:t>
                    </m:r>
                  </m:e>
                  <m:sub>
                    <m:r>
                      <m:rPr/>
                      <m:t>T</m:t>
                    </m:r>
                    <m:r>
                      <m:rPr>
                        <m:sty m:val="p"/>
                      </m:rPr>
                      <m:t>,</m:t>
                    </m:r>
                    <m:r>
                      <m:rPr/>
                      <m:t>t</m:t>
                    </m:r>
                  </m:sub>
                </m:sSub>
                <m:r>
                  <m:rPr>
                    <m:sty m:val="p"/>
                  </m:rPr>
                  <m:t>=softmax</m:t>
                </m:r>
                <m:d>
                  <m:dPr>
                    <m:sepChr m:val=""/>
                  </m:dPr>
                  <m:e>
                    <m:sSub>
                      <m:sSubPr/>
                      <m:e>
                        <m:r>
                          <m:rPr/>
                          <m:t>z</m:t>
                        </m:r>
                      </m:e>
                      <m:sub>
                        <m:r>
                          <m:rPr/>
                          <m:t>ϕ</m:t>
                        </m:r>
                        <m:r>
                          <m:rPr>
                            <m:sty m:val="p"/>
                          </m:rPr>
                          <m:t>,</m:t>
                        </m:r>
                        <m:r>
                          <m:rPr/>
                          <m:t>t</m:t>
                        </m:r>
                      </m:sub>
                    </m:sSub>
                    <m:r>
                      <m:rPr>
                        <m:sty m:val="p"/>
                      </m:rPr>
                      <m:t>/</m:t>
                    </m:r>
                    <m:sSub>
                      <m:sSubPr/>
                      <m:e>
                        <m:r>
                          <m:rPr/>
                          <m:t>τ</m:t>
                        </m:r>
                      </m:e>
                      <m:sub>
                        <m:r>
                          <m:rPr/>
                          <m:t>T</m:t>
                        </m:r>
                      </m:sub>
                    </m:sSub>
                  </m:e>
                </m:d>
              </m:oMath>
            </m:oMathPara>
          </w:p>
        </w:tc>
        <w:tc>
          <w:tcPr>
            <w:tcW w:w="650" w:type="dxa"/>
            <w:tcMar>
              <w:top w:w="0" w:type="dxa"/>
              <w:left w:w="0" w:type="dxa"/>
              <w:bottom w:w="0" w:type="dxa"/>
              <w:right w:w="0" w:type="dxa"/>
            </w:tcMar>
            <w:vAlign w:val="center"/>
          </w:tcPr>
          <w:p w14:paraId="4D24ED7C">
            <w:pPr>
              <w:spacing w:before="0" w:after="0"/>
              <w:jc w:val="right"/>
            </w:pPr>
            <w:bookmarkStart w:id="36" w:name="_RefEq4_13"/>
            <w:r>
              <w:t>(4-</w:t>
            </w:r>
            <w:r>
              <w:fldChar w:fldCharType="begin"/>
            </w:r>
            <w:r>
              <w:instrText xml:space="preserve"> SEQ Eq4 \* ARABIC </w:instrText>
            </w:r>
            <w:r>
              <w:fldChar w:fldCharType="separate"/>
            </w:r>
            <w:r>
              <w:t>9</w:t>
            </w:r>
            <w:r>
              <w:fldChar w:fldCharType="end"/>
            </w:r>
            <w:r>
              <w:t>)</w:t>
            </w:r>
            <w:bookmarkEnd w:id="36"/>
          </w:p>
        </w:tc>
      </w:tr>
      <w:tr w14:paraId="15BE7EF7">
        <w:trPr>
          <w:cantSplit/>
          <w:jc w:val="center"/>
        </w:trPr>
        <w:tc>
          <w:tcPr>
            <w:tcW w:w="650" w:type="dxa"/>
            <w:tcMar>
              <w:top w:w="0" w:type="dxa"/>
              <w:left w:w="0" w:type="dxa"/>
              <w:bottom w:w="0" w:type="dxa"/>
              <w:right w:w="0" w:type="dxa"/>
            </w:tcMar>
            <w:vAlign w:val="center"/>
          </w:tcPr>
          <w:p w14:paraId="2CB5A4FD">
            <w:pPr>
              <w:spacing w:before="0" w:after="0"/>
              <w:jc w:val="left"/>
            </w:pPr>
          </w:p>
        </w:tc>
        <w:tc>
          <w:tcPr>
            <w:tcW w:w="7006" w:type="dxa"/>
            <w:tcMar>
              <w:top w:w="0" w:type="dxa"/>
              <w:left w:w="0" w:type="dxa"/>
              <w:bottom w:w="0" w:type="dxa"/>
              <w:right w:w="0" w:type="dxa"/>
            </w:tcMar>
            <w:vAlign w:val="center"/>
          </w:tcPr>
          <w:p w14:paraId="6CAA0D15">
            <w:pPr>
              <w:spacing w:before="0" w:after="0"/>
              <w:jc w:val="center"/>
            </w:pPr>
            <m:oMathPara>
              <m:oMath>
                <m:sSub>
                  <m:sSubPr/>
                  <m:e>
                    <m:r>
                      <m:rPr/>
                      <m:t>p</m:t>
                    </m:r>
                  </m:e>
                  <m:sub>
                    <m:r>
                      <m:rPr/>
                      <m:t>S</m:t>
                    </m:r>
                    <m:r>
                      <m:rPr>
                        <m:sty m:val="p"/>
                      </m:rPr>
                      <m:t>,</m:t>
                    </m:r>
                    <m:r>
                      <m:rPr/>
                      <m:t>t</m:t>
                    </m:r>
                  </m:sub>
                </m:sSub>
                <m:r>
                  <m:rPr>
                    <m:sty m:val="p"/>
                  </m:rPr>
                  <m:t>=softmax</m:t>
                </m:r>
                <m:d>
                  <m:dPr>
                    <m:sepChr m:val=""/>
                  </m:dPr>
                  <m:e>
                    <m:sSub>
                      <m:sSubPr/>
                      <m:e>
                        <m:r>
                          <m:rPr/>
                          <m:t>z</m:t>
                        </m:r>
                      </m:e>
                      <m:sub>
                        <m:r>
                          <m:rPr/>
                          <m:t>θ</m:t>
                        </m:r>
                        <m:r>
                          <m:rPr>
                            <m:sty m:val="p"/>
                          </m:rPr>
                          <m:t>,</m:t>
                        </m:r>
                        <m:r>
                          <m:rPr/>
                          <m:t>t</m:t>
                        </m:r>
                      </m:sub>
                    </m:sSub>
                    <m:r>
                      <m:rPr>
                        <m:sty m:val="p"/>
                      </m:rPr>
                      <m:t>/</m:t>
                    </m:r>
                    <m:sSub>
                      <m:sSubPr/>
                      <m:e>
                        <m:r>
                          <m:rPr/>
                          <m:t>τ</m:t>
                        </m:r>
                      </m:e>
                      <m:sub>
                        <m:r>
                          <m:rPr/>
                          <m:t>S</m:t>
                        </m:r>
                      </m:sub>
                    </m:sSub>
                  </m:e>
                </m:d>
              </m:oMath>
            </m:oMathPara>
          </w:p>
        </w:tc>
        <w:tc>
          <w:tcPr>
            <w:tcW w:w="650" w:type="dxa"/>
            <w:tcMar>
              <w:top w:w="0" w:type="dxa"/>
              <w:left w:w="0" w:type="dxa"/>
              <w:bottom w:w="0" w:type="dxa"/>
              <w:right w:w="0" w:type="dxa"/>
            </w:tcMar>
            <w:vAlign w:val="center"/>
          </w:tcPr>
          <w:p w14:paraId="49910016">
            <w:pPr>
              <w:spacing w:before="0" w:after="0"/>
              <w:jc w:val="right"/>
            </w:pPr>
          </w:p>
        </w:tc>
      </w:tr>
    </w:tbl>
    <w:p w14:paraId="12A643D7">
      <w:pPr>
        <w:ind w:firstLine="420"/>
        <w:jc w:val="both"/>
      </w:pPr>
      <w:r>
        <w:t>消息边界、工具调用区域和序列截断先定义候选监督位置。联合方法在候选集合内保留固定预算的位置，并将其掩码设为 1，其余位置为 0；损失仍按实际选中位置数归一化：</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47D7102">
        <w:trPr>
          <w:cantSplit/>
          <w:jc w:val="center"/>
        </w:trPr>
        <w:tc>
          <w:tcPr>
            <w:tcW w:w="650" w:type="dxa"/>
            <w:tcMar>
              <w:top w:w="0" w:type="dxa"/>
              <w:left w:w="0" w:type="dxa"/>
              <w:bottom w:w="0" w:type="dxa"/>
              <w:right w:w="0" w:type="dxa"/>
            </w:tcMar>
            <w:vAlign w:val="center"/>
          </w:tcPr>
          <w:p w14:paraId="1C7958E3">
            <w:pPr>
              <w:spacing w:before="0" w:after="0"/>
              <w:jc w:val="left"/>
            </w:pPr>
          </w:p>
        </w:tc>
        <w:tc>
          <w:tcPr>
            <w:tcW w:w="7006" w:type="dxa"/>
            <w:tcMar>
              <w:top w:w="0" w:type="dxa"/>
              <w:left w:w="0" w:type="dxa"/>
              <w:bottom w:w="0" w:type="dxa"/>
              <w:right w:w="0" w:type="dxa"/>
            </w:tcMar>
            <w:vAlign w:val="center"/>
          </w:tcPr>
          <w:p w14:paraId="16AFEE9A">
            <w:pPr>
              <w:spacing w:before="0" w:after="0"/>
              <w:jc w:val="center"/>
            </w:pPr>
            <m:oMathPara>
              <m:oMath>
                <m:sSub>
                  <m:sSubPr/>
                  <m:e>
                    <m:r>
                      <m:rPr/>
                      <m:t>m</m:t>
                    </m:r>
                  </m:e>
                  <m:sub>
                    <m:r>
                      <m:rPr/>
                      <m:t>t</m:t>
                    </m:r>
                  </m:sub>
                </m:sSub>
                <m:r>
                  <m:rPr>
                    <m:sty m:val="p"/>
                  </m:rPr>
                  <m:t>=</m:t>
                </m:r>
                <m:r>
                  <m:rPr>
                    <m:sty m:val="b"/>
                  </m:rPr>
                  <m:t>1</m:t>
                </m:r>
                <m:r>
                  <m:rPr>
                    <m:sty m:val="b"/>
                  </m:rPr>
                  <w:rPr>
                    <w:rFonts w:hint="default" w:ascii="DejaVu Math TeX Gyre" w:hAnsi="DejaVu Math TeX Gyre"/>
                    <w:lang w:val="en-US"/>
                  </w:rPr>
                  <m:t xml:space="preserve">  </m:t>
                </m:r>
                <m:d>
                  <m:dPr>
                    <m:begChr m:val="{"/>
                    <m:sepChr m:val=""/>
                    <m:endChr m:val="}"/>
                  </m:dPr>
                  <m:e>
                    <m:r>
                      <m:rPr>
                        <m:sty m:val="p"/>
                      </m:rPr>
                      <m:t>(</m:t>
                    </m:r>
                    <m:sSub>
                      <m:sSubPr/>
                      <m:e>
                        <m:r>
                          <m:rPr/>
                          <m:t>a</m:t>
                        </m:r>
                      </m:e>
                      <m:sub>
                        <m:r>
                          <m:rPr/>
                          <m:t>t</m:t>
                        </m:r>
                      </m:sub>
                    </m:sSub>
                    <m:r>
                      <m:rPr>
                        <m:sty m:val="p"/>
                      </m:rPr>
                      <m:t>∨</m:t>
                    </m:r>
                    <m:sSub>
                      <m:sSubPr/>
                      <m:e>
                        <m:r>
                          <m:rPr/>
                          <m:t>c</m:t>
                        </m:r>
                      </m:e>
                      <m:sub>
                        <m:r>
                          <m:rPr/>
                          <m:t>t</m:t>
                        </m:r>
                      </m:sub>
                    </m:sSub>
                    <m:r>
                      <m:rPr>
                        <m:sty m:val="p"/>
                      </m:rPr>
                      <m:t>)∧</m:t>
                    </m:r>
                    <m:sSub>
                      <m:sSubPr/>
                      <m:e>
                        <m:r>
                          <m:rPr/>
                          <m:t>r</m:t>
                        </m:r>
                      </m:e>
                      <m:sub>
                        <m:r>
                          <m:rPr/>
                          <m:t>t</m:t>
                        </m:r>
                      </m:sub>
                    </m:sSub>
                  </m:e>
                </m:d>
              </m:oMath>
            </m:oMathPara>
          </w:p>
        </w:tc>
        <w:tc>
          <w:tcPr>
            <w:tcW w:w="650" w:type="dxa"/>
            <w:tcMar>
              <w:top w:w="0" w:type="dxa"/>
              <w:left w:w="0" w:type="dxa"/>
              <w:bottom w:w="0" w:type="dxa"/>
              <w:right w:w="0" w:type="dxa"/>
            </w:tcMar>
            <w:vAlign w:val="center"/>
          </w:tcPr>
          <w:p w14:paraId="34A630B7">
            <w:pPr>
              <w:spacing w:before="0" w:after="0"/>
              <w:jc w:val="right"/>
            </w:pPr>
            <w:bookmarkStart w:id="37" w:name="_RefEq4_15"/>
            <w:r>
              <w:t>(4-</w:t>
            </w:r>
            <w:r>
              <w:fldChar w:fldCharType="begin"/>
            </w:r>
            <w:r>
              <w:instrText xml:space="preserve"> SEQ Eq4 \* ARABIC </w:instrText>
            </w:r>
            <w:r>
              <w:fldChar w:fldCharType="separate"/>
            </w:r>
            <w:r>
              <w:t>10</w:t>
            </w:r>
            <w:r>
              <w:fldChar w:fldCharType="end"/>
            </w:r>
            <w:r>
              <w:t>)</w:t>
            </w:r>
            <w:bookmarkEnd w:id="37"/>
          </w:p>
        </w:tc>
      </w:tr>
      <w:tr w14:paraId="7D479272">
        <w:trPr>
          <w:cantSplit/>
          <w:jc w:val="center"/>
        </w:trPr>
        <w:tc>
          <w:tcPr>
            <w:tcW w:w="650" w:type="dxa"/>
            <w:tcMar>
              <w:top w:w="0" w:type="dxa"/>
              <w:left w:w="0" w:type="dxa"/>
              <w:bottom w:w="0" w:type="dxa"/>
              <w:right w:w="0" w:type="dxa"/>
            </w:tcMar>
            <w:vAlign w:val="center"/>
          </w:tcPr>
          <w:p w14:paraId="72D63CD7">
            <w:pPr>
              <w:spacing w:before="0" w:after="0"/>
              <w:jc w:val="left"/>
            </w:pPr>
          </w:p>
        </w:tc>
        <w:tc>
          <w:tcPr>
            <w:tcW w:w="7006" w:type="dxa"/>
            <w:tcMar>
              <w:top w:w="0" w:type="dxa"/>
              <w:left w:w="0" w:type="dxa"/>
              <w:bottom w:w="0" w:type="dxa"/>
              <w:right w:w="0" w:type="dxa"/>
            </w:tcMar>
            <w:vAlign w:val="center"/>
          </w:tcPr>
          <w:p w14:paraId="3ACC4281">
            <w:pPr>
              <w:spacing w:before="0" w:after="0"/>
              <w:jc w:val="center"/>
            </w:pPr>
            <m:oMathPara>
              <m:oMath>
                <m:r>
                  <m:rPr>
                    <m:sty m:val="p"/>
                    <m:scr m:val="script"/>
                  </m:rPr>
                  <m:t>ℒ</m:t>
                </m:r>
                <m:r>
                  <m:rPr>
                    <m:sty m:val="p"/>
                  </m:rPr>
                  <m:t>(</m:t>
                </m:r>
                <m:r>
                  <m:rPr/>
                  <m:t>y</m:t>
                </m:r>
                <m:r>
                  <m:rPr>
                    <m:sty m:val="p"/>
                  </m:rPr>
                  <m:t>)=</m:t>
                </m:r>
                <m:f>
                  <m:fPr/>
                  <m:num>
                    <m:nary>
                      <m:naryPr>
                        <m:chr m:val="∑"/>
                        <m:limLoc m:val="undOvr"/>
                      </m:naryPr>
                      <m:sub>
                        <m:r>
                          <m:rPr/>
                          <m:t>t</m:t>
                        </m:r>
                        <m:r>
                          <m:rPr>
                            <m:sty m:val="p"/>
                          </m:rPr>
                          <m:t>=</m:t>
                        </m:r>
                        <m:r>
                          <m:rPr/>
                          <m:t>1</m:t>
                        </m:r>
                      </m:sub>
                      <m:sup>
                        <m:r>
                          <m:rPr/>
                          <m:t>T</m:t>
                        </m:r>
                      </m:sup>
                      <m:e>
                        <m:sSub>
                          <m:sSubPr/>
                          <m:e>
                            <m:r>
                              <m:rPr/>
                              <m:t>m</m:t>
                            </m:r>
                          </m:e>
                          <m:sub>
                            <m:r>
                              <m:rPr/>
                              <m:t>t</m:t>
                            </m:r>
                          </m:sub>
                        </m:sSub>
                      </m:e>
                    </m:nary>
                    <m:sSub>
                      <m:sSubPr/>
                      <m:e>
                        <m:r>
                          <m:rPr>
                            <m:sty m:val="p"/>
                            <m:scr m:val="script"/>
                          </m:rPr>
                          <m:t>ℒ</m:t>
                        </m:r>
                      </m:e>
                      <m:sub>
                        <m:r>
                          <m:rPr/>
                          <m:t>t</m:t>
                        </m:r>
                      </m:sub>
                    </m:sSub>
                  </m:num>
                  <m:den>
                    <m:r>
                      <m:rPr>
                        <m:sty m:val="p"/>
                      </m:rPr>
                      <m:t>max</m:t>
                    </m:r>
                    <m:r>
                      <m:rPr/>
                      <m:t>​</m:t>
                    </m:r>
                    <m:d>
                      <m:dPr>
                        <m:sepChr m:val=""/>
                      </m:dPr>
                      <m:e>
                        <m:r>
                          <m:rPr/>
                          <m:t>1</m:t>
                        </m:r>
                        <m:r>
                          <m:rPr>
                            <m:sty m:val="p"/>
                          </m:rPr>
                          <m:t>,</m:t>
                        </m:r>
                        <m:nary>
                          <m:naryPr>
                            <m:chr m:val="∑"/>
                            <m:limLoc m:val="undOvr"/>
                          </m:naryPr>
                          <m:sub>
                            <m:r>
                              <m:rPr/>
                              <m:t>t</m:t>
                            </m:r>
                            <m:r>
                              <m:rPr>
                                <m:sty m:val="p"/>
                              </m:rPr>
                              <m:t>=</m:t>
                            </m:r>
                            <m:r>
                              <m:rPr/>
                              <m:t>1</m:t>
                            </m:r>
                          </m:sub>
                          <m:sup>
                            <m:r>
                              <m:rPr/>
                              <m:t>T</m:t>
                            </m:r>
                          </m:sup>
                          <m:e>
                            <m:sSub>
                              <m:sSubPr/>
                              <m:e>
                                <m:r>
                                  <m:rPr/>
                                  <m:t>m</m:t>
                                </m:r>
                              </m:e>
                              <m:sub>
                                <m:r>
                                  <m:rPr/>
                                  <m:t>t</m:t>
                                </m:r>
                              </m:sub>
                            </m:sSub>
                          </m:e>
                        </m:nary>
                      </m:e>
                    </m:d>
                  </m:den>
                </m:f>
              </m:oMath>
            </m:oMathPara>
          </w:p>
        </w:tc>
        <w:tc>
          <w:tcPr>
            <w:tcW w:w="650" w:type="dxa"/>
            <w:tcMar>
              <w:top w:w="0" w:type="dxa"/>
              <w:left w:w="0" w:type="dxa"/>
              <w:bottom w:w="0" w:type="dxa"/>
              <w:right w:w="0" w:type="dxa"/>
            </w:tcMar>
            <w:vAlign w:val="center"/>
          </w:tcPr>
          <w:p w14:paraId="4DC4BE71">
            <w:pPr>
              <w:spacing w:before="0" w:after="0"/>
              <w:jc w:val="right"/>
            </w:pPr>
            <w:bookmarkStart w:id="38" w:name="_RefEq4_16"/>
            <w:r>
              <w:t>(4-</w:t>
            </w:r>
            <w:r>
              <w:fldChar w:fldCharType="begin"/>
            </w:r>
            <w:r>
              <w:instrText xml:space="preserve"> SEQ Eq4 \* ARABIC </w:instrText>
            </w:r>
            <w:r>
              <w:fldChar w:fldCharType="separate"/>
            </w:r>
            <w:r>
              <w:t>11</w:t>
            </w:r>
            <w:r>
              <w:fldChar w:fldCharType="end"/>
            </w:r>
            <w:r>
              <w:t>)</w:t>
            </w:r>
            <w:bookmarkEnd w:id="38"/>
          </w:p>
        </w:tc>
      </w:tr>
    </w:tbl>
    <w:p w14:paraId="5CF6615E">
      <w:pPr>
        <w:ind w:firstLine="420"/>
        <w:jc w:val="both"/>
        <w:rPr>
          <w:rFonts w:hint="default" w:eastAsia="宋体"/>
          <w:i w:val="0"/>
          <w:lang w:val="en-US" w:eastAsia="zh-CN"/>
        </w:rPr>
      </w:pPr>
      <w:r>
        <w:rPr>
          <w:rFonts w:hint="default" w:eastAsia="宋体"/>
          <w:i w:val="0"/>
          <w:lang w:val="en-US" w:eastAsia="zh-CN"/>
        </w:rPr>
        <w:t>其中，</w:t>
      </w:r>
      <m:oMath>
        <m:r>
          <m:rPr/>
          <w:rPr>
            <w:rFonts w:hint="default" w:ascii="DejaVu Math TeX Gyre" w:hAnsi="DejaVu Math TeX Gyre" w:eastAsia="宋体"/>
            <w:sz w:val="24"/>
          </w:rPr>
          <m:t>(</m:t>
        </m:r>
        <m:r>
          <m:rPr>
            <m:sty m:val="b"/>
          </m:rPr>
          <w:rPr>
            <w:rFonts w:hint="default" w:ascii="DejaVu Math TeX Gyre" w:hAnsi="DejaVu Math TeX Gyre" w:eastAsia="宋体"/>
            <w:sz w:val="24"/>
          </w:rPr>
          <m:t>1</m:t>
        </m:r>
        <m:r>
          <m:rPr/>
          <w:rPr>
            <w:rFonts w:hint="default" w:ascii="DejaVu Math TeX Gyre" w:hAnsi="DejaVu Math TeX Gyre" w:eastAsia="宋体"/>
            <w:sz w:val="24"/>
          </w:rPr>
          <m:t>{⋅})</m:t>
        </m:r>
      </m:oMath>
      <w:r>
        <w:rPr>
          <w:rFonts w:hint="default" w:eastAsia="宋体"/>
          <w:i w:val="0"/>
          <w:lang w:val="en-US" w:eastAsia="zh-CN"/>
        </w:rPr>
        <w:t xml:space="preserve"> 为示性函数，条件成立时取 1，否则取 0。</w:t>
      </w:r>
    </w:p>
    <w:p w14:paraId="1BA6CEF5">
      <w:pPr>
        <w:ind w:firstLine="420"/>
        <w:jc w:val="left"/>
        <w:rPr>
          <w:rFonts w:hint="default" w:eastAsia="宋体"/>
          <w:i w:val="0"/>
          <w:lang w:val="en-US" w:eastAsia="zh-CN"/>
        </w:rPr>
      </w:pPr>
    </w:p>
    <w:p w14:paraId="34612BD4">
      <w:pPr>
        <w:keepNext/>
        <w:spacing w:before="80" w:after="80" w:line="240" w:lineRule="auto"/>
        <w:ind w:left="0" w:right="0" w:firstLine="0"/>
        <w:jc w:val="center"/>
      </w:pPr>
      <w:r>
        <w:rPr>
          <w:rFonts w:ascii="Times New Roman" w:hAnsi="Times New Roman" w:eastAsia="Songti SC"/>
          <w:sz w:val="21"/>
        </w:rPr>
        <w:t xml:space="preserve">表 </w:t>
      </w:r>
      <w:bookmarkStart w:id="39" w:name="_RefTable4_1"/>
      <w:r>
        <w:rPr>
          <w:rFonts w:ascii="Times New Roman" w:hAnsi="Times New Roman" w:eastAsia="Songti SC"/>
          <w:sz w:val="21"/>
        </w:rPr>
        <w:t>4-</w:t>
      </w:r>
      <w:r>
        <w:rPr>
          <w:rFonts w:ascii="Times New Roman" w:hAnsi="Times New Roman" w:eastAsia="Songti SC"/>
          <w:sz w:val="21"/>
        </w:rPr>
        <w:fldChar w:fldCharType="begin"/>
      </w:r>
      <w:r>
        <w:rPr>
          <w:rFonts w:ascii="Times New Roman" w:hAnsi="Times New Roman" w:eastAsia="Songti SC"/>
          <w:sz w:val="21"/>
        </w:rPr>
        <w:instrText xml:space="preserve"> SEQ TableCh4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39"/>
      <w:r>
        <w:rPr>
          <w:rFonts w:ascii="Times New Roman" w:hAnsi="Times New Roman" w:eastAsia="Songti SC"/>
          <w:sz w:val="21"/>
        </w:rPr>
        <w:t xml:space="preserve">  在线策略蒸馏各环节的统一与记录要求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2996"/>
        <w:gridCol w:w="2810"/>
      </w:tblGrid>
      <w:tr w14:paraId="50064079">
        <w:trPr>
          <w:tblHeader/>
        </w:trPr>
        <w:tc>
          <w:tcPr>
            <w:tcW w:w="4148" w:type="dxa"/>
          </w:tcPr>
          <w:p w14:paraId="0C49D226">
            <w:pPr>
              <w:ind w:firstLine="0"/>
              <w:jc w:val="left"/>
            </w:pPr>
            <w:r>
              <w:rPr>
                <w:b/>
              </w:rPr>
              <w:t>环节</w:t>
            </w:r>
          </w:p>
        </w:tc>
        <w:tc>
          <w:tcPr>
            <w:tcW w:w="4148" w:type="dxa"/>
          </w:tcPr>
          <w:p w14:paraId="336AD755">
            <w:pPr>
              <w:ind w:firstLine="0"/>
              <w:jc w:val="left"/>
            </w:pPr>
            <w:r>
              <w:rPr>
                <w:b/>
              </w:rPr>
              <w:t>需要统一的对象</w:t>
            </w:r>
          </w:p>
        </w:tc>
        <w:tc>
          <w:tcPr>
            <w:tcW w:w="4148" w:type="dxa"/>
          </w:tcPr>
          <w:p w14:paraId="31867045">
            <w:pPr>
              <w:ind w:firstLine="0"/>
              <w:jc w:val="left"/>
            </w:pPr>
            <w:r>
              <w:rPr>
                <w:b/>
              </w:rPr>
              <w:t>需要单独记录的内容</w:t>
            </w:r>
          </w:p>
        </w:tc>
      </w:tr>
      <w:tr w14:paraId="01332DD2">
        <w:tc>
          <w:tcPr>
            <w:tcW w:w="4148" w:type="dxa"/>
          </w:tcPr>
          <w:p w14:paraId="09B52528">
            <w:pPr>
              <w:ind w:firstLine="0"/>
              <w:jc w:val="left"/>
            </w:pPr>
            <w:r>
              <w:t>学生生成</w:t>
            </w:r>
          </w:p>
        </w:tc>
        <w:tc>
          <w:tcPr>
            <w:tcW w:w="4148" w:type="dxa"/>
          </w:tcPr>
          <w:p w14:paraId="3826A6F6">
            <w:pPr>
              <w:ind w:firstLine="0"/>
              <w:jc w:val="left"/>
            </w:pPr>
            <w:r>
              <w:t>输入消息、工具 schema、停止条件和采样规则</w:t>
            </w:r>
          </w:p>
        </w:tc>
        <w:tc>
          <w:tcPr>
            <w:tcW w:w="4148" w:type="dxa"/>
          </w:tcPr>
          <w:p w14:paraId="354CD563">
            <w:pPr>
              <w:ind w:firstLine="0"/>
              <w:jc w:val="left"/>
            </w:pPr>
            <w:r>
              <w:t>生成长度、结束原因、格式解析状态</w:t>
            </w:r>
          </w:p>
        </w:tc>
      </w:tr>
      <w:tr w14:paraId="66AC128B">
        <w:tc>
          <w:tcPr>
            <w:tcW w:w="4148" w:type="dxa"/>
          </w:tcPr>
          <w:p w14:paraId="3B8D2172">
            <w:pPr>
              <w:ind w:firstLine="0"/>
              <w:jc w:val="left"/>
            </w:pPr>
            <w:r>
              <w:t>教师反馈</w:t>
            </w:r>
          </w:p>
        </w:tc>
        <w:tc>
          <w:tcPr>
            <w:tcW w:w="4148" w:type="dxa"/>
          </w:tcPr>
          <w:p w14:paraId="446F33C3">
            <w:pPr>
              <w:ind w:firstLine="0"/>
              <w:jc w:val="left"/>
            </w:pPr>
            <w:r>
              <w:t>学生前缀、教师模型与 token 对齐关系</w:t>
            </w:r>
          </w:p>
        </w:tc>
        <w:tc>
          <w:tcPr>
            <w:tcW w:w="4148" w:type="dxa"/>
          </w:tcPr>
          <w:p w14:paraId="35BEDF60">
            <w:pPr>
              <w:ind w:firstLine="0"/>
              <w:jc w:val="left"/>
            </w:pPr>
            <w:r>
              <w:t>反馈粒度、支持集和教师计算量</w:t>
            </w:r>
          </w:p>
        </w:tc>
      </w:tr>
      <w:tr w14:paraId="2B2B9D61">
        <w:tc>
          <w:tcPr>
            <w:tcW w:w="4148" w:type="dxa"/>
          </w:tcPr>
          <w:p w14:paraId="39CF59A9">
            <w:pPr>
              <w:ind w:firstLine="0"/>
              <w:jc w:val="left"/>
            </w:pPr>
            <w:r>
              <w:t>学生更新</w:t>
            </w:r>
          </w:p>
        </w:tc>
        <w:tc>
          <w:tcPr>
            <w:tcW w:w="4148" w:type="dxa"/>
          </w:tcPr>
          <w:p w14:paraId="254427D2">
            <w:pPr>
              <w:ind w:firstLine="0"/>
              <w:jc w:val="left"/>
            </w:pPr>
            <w:r>
              <w:t>学生 logits、LoRA 参数和 mask</w:t>
            </w:r>
          </w:p>
        </w:tc>
        <w:tc>
          <w:tcPr>
            <w:tcW w:w="4148" w:type="dxa"/>
          </w:tcPr>
          <w:p w14:paraId="5442D8FD">
            <w:pPr>
              <w:ind w:firstLine="0"/>
              <w:jc w:val="left"/>
            </w:pPr>
            <w:r>
              <w:t>散度设置、梯度处理和异常损失</w:t>
            </w:r>
          </w:p>
        </w:tc>
      </w:tr>
      <w:tr w14:paraId="736CFA89">
        <w:tc>
          <w:tcPr>
            <w:tcW w:w="4148" w:type="dxa"/>
          </w:tcPr>
          <w:p w14:paraId="44613D10">
            <w:pPr>
              <w:ind w:firstLine="0"/>
              <w:jc w:val="left"/>
            </w:pPr>
            <w:r>
              <w:t>最终评测</w:t>
            </w:r>
          </w:p>
        </w:tc>
        <w:tc>
          <w:tcPr>
            <w:tcW w:w="4148" w:type="dxa"/>
          </w:tcPr>
          <w:p w14:paraId="14EEC403">
            <w:pPr>
              <w:ind w:firstLine="0"/>
              <w:jc w:val="left"/>
            </w:pPr>
            <w:r>
              <w:t>输入、工具和解析规则</w:t>
            </w:r>
          </w:p>
        </w:tc>
        <w:tc>
          <w:tcPr>
            <w:tcW w:w="4148" w:type="dxa"/>
          </w:tcPr>
          <w:p w14:paraId="1D018489">
            <w:pPr>
              <w:ind w:firstLine="0"/>
              <w:jc w:val="left"/>
            </w:pPr>
            <w:r>
              <w:t>函数、参数、执行及端到端调用结果</w:t>
            </w:r>
          </w:p>
        </w:tc>
      </w:tr>
    </w:tbl>
    <w:p w14:paraId="1A4B1F6D">
      <w:pPr>
        <w:ind w:firstLine="420"/>
        <w:jc w:val="both"/>
      </w:pPr>
      <w:r>
        <w:t>表 4-1 列出各环节需固定和记录的变量。所有对照组共享输入、生成协议、数据划分和候选位置定义。第一项联合方法同时输出实际监督掩码及位置条件化散度权重；其消融分别只改变位置或目标。第二项稀疏方法固定这一联合规则并改变教师反馈表示。教师反馈记录 Top-K 累计概率、尾部质量、决策 token 覆盖和实际 K；联合方法记录位置类别、优先级、掩码与散度权重。图 3 展示训练与评测流程。</w:t>
      </w:r>
    </w:p>
    <w:p w14:paraId="06023151">
      <w:pPr>
        <w:ind w:firstLine="0"/>
        <w:jc w:val="center"/>
      </w:pPr>
      <w:r>
        <w:drawing>
          <wp:inline distT="0" distB="0" distL="114300" distR="114300">
            <wp:extent cx="5669280" cy="2881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881884"/>
                    </a:xfrm>
                    <a:prstGeom prst="rect">
                      <a:avLst/>
                    </a:prstGeom>
                  </pic:spPr>
                </pic:pic>
              </a:graphicData>
            </a:graphic>
          </wp:inline>
        </w:drawing>
      </w:r>
    </w:p>
    <w:p w14:paraId="35FC3DD0">
      <w:pPr>
        <w:spacing w:before="0" w:after="120" w:line="240" w:lineRule="auto"/>
        <w:ind w:firstLine="0"/>
        <w:jc w:val="center"/>
      </w:pPr>
      <w:r>
        <w:rPr>
          <w:rFonts w:ascii="Times New Roman" w:hAnsi="Times New Roman" w:eastAsia="宋体"/>
          <w:sz w:val="21"/>
        </w:rPr>
        <w:t xml:space="preserve">图 </w:t>
      </w:r>
      <w:bookmarkStart w:id="40" w:name="_RefFigure2"/>
      <w:r>
        <w:rPr>
          <w:rFonts w:ascii="Times New Roman" w:hAnsi="Times New Roman" w:eastAsia="宋体"/>
          <w:sz w:val="21"/>
        </w:rPr>
        <w:fldChar w:fldCharType="begin"/>
      </w:r>
      <w:r>
        <w:rPr>
          <w:rFonts w:ascii="Times New Roman" w:hAnsi="Times New Roman" w:eastAsia="宋体"/>
          <w:sz w:val="21"/>
        </w:rPr>
        <w:instrText xml:space="preserve"> SEQ Figure \* ARABIC </w:instrText>
      </w:r>
      <w:r>
        <w:rPr>
          <w:rFonts w:ascii="Times New Roman" w:hAnsi="Times New Roman" w:eastAsia="宋体"/>
          <w:sz w:val="21"/>
        </w:rPr>
        <w:fldChar w:fldCharType="separate"/>
      </w:r>
      <w:r>
        <w:rPr>
          <w:rFonts w:ascii="Times New Roman" w:hAnsi="Times New Roman" w:eastAsia="宋体"/>
          <w:sz w:val="21"/>
        </w:rPr>
        <w:t>3</w:t>
      </w:r>
      <w:r>
        <w:rPr>
          <w:rFonts w:ascii="Times New Roman" w:hAnsi="Times New Roman" w:eastAsia="宋体"/>
          <w:sz w:val="21"/>
        </w:rPr>
        <w:fldChar w:fldCharType="end"/>
      </w:r>
      <w:bookmarkEnd w:id="40"/>
      <w:r>
        <w:rPr>
          <w:rFonts w:ascii="Times New Roman" w:hAnsi="Times New Roman" w:eastAsia="宋体"/>
          <w:sz w:val="21"/>
        </w:rPr>
        <w:t xml:space="preserve">  在线策略蒸馏训练与性能评测流程</w:t>
      </w:r>
    </w:p>
    <w:p w14:paraId="5E2DE293">
      <w:pPr>
        <w:pStyle w:val="3"/>
      </w:pPr>
      <w:bookmarkStart w:id="41" w:name="_Toc307070742"/>
      <w:r>
        <w:rPr>
          <w:rFonts w:ascii="黑体" w:hAnsi="黑体" w:eastAsia="黑体" w:cs="黑体"/>
          <w:b/>
          <w:color w:val="000000"/>
          <w:sz w:val="24"/>
        </w:rPr>
        <w:t>4.4 散度目标分析与稀疏反馈定义</w:t>
      </w:r>
      <w:bookmarkEnd w:id="41"/>
    </w:p>
    <w:p w14:paraId="01830904">
      <w:pPr>
        <w:ind w:firstLine="420"/>
        <w:jc w:val="both"/>
      </w:pPr>
      <w:r>
        <w:t>在完整词表上，Forward KL 按教师概率加权。当学生低估教师认可的 token 时，该目标会产生相应惩罚；单位置定义为：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0283DFCE">
        <w:trPr>
          <w:cantSplit/>
          <w:jc w:val="center"/>
        </w:trPr>
        <w:tc>
          <w:tcPr>
            <w:tcW w:w="650" w:type="dxa"/>
            <w:tcMar>
              <w:top w:w="0" w:type="dxa"/>
              <w:left w:w="0" w:type="dxa"/>
              <w:bottom w:w="0" w:type="dxa"/>
              <w:right w:w="0" w:type="dxa"/>
            </w:tcMar>
            <w:vAlign w:val="center"/>
          </w:tcPr>
          <w:p w14:paraId="6FA87C86">
            <w:pPr>
              <w:spacing w:before="0" w:after="0"/>
              <w:jc w:val="left"/>
            </w:pPr>
          </w:p>
        </w:tc>
        <w:tc>
          <w:tcPr>
            <w:tcW w:w="7006" w:type="dxa"/>
            <w:tcMar>
              <w:top w:w="0" w:type="dxa"/>
              <w:left w:w="0" w:type="dxa"/>
              <w:bottom w:w="0" w:type="dxa"/>
              <w:right w:w="0" w:type="dxa"/>
            </w:tcMar>
            <w:vAlign w:val="center"/>
          </w:tcPr>
          <w:p w14:paraId="3F4E0287">
            <w:pPr>
              <w:spacing w:before="0" w:after="0"/>
              <w:jc w:val="center"/>
            </w:pPr>
            <m:oMathPara>
              <m:oMath>
                <m:sSub>
                  <m:sSubPr/>
                  <m:e>
                    <m:r>
                      <m:rPr/>
                      <m:t>D</m:t>
                    </m:r>
                  </m:e>
                  <m:sub>
                    <m:r>
                      <m:rPr>
                        <m:sty m:val="p"/>
                      </m:rPr>
                      <m:t>FKL</m:t>
                    </m:r>
                  </m:sub>
                </m:sSub>
                <m:r>
                  <m:rPr>
                    <m:sty m:val="p"/>
                  </m:rPr>
                  <m:t>(</m:t>
                </m:r>
                <m:sSub>
                  <m:sSubPr/>
                  <m:e>
                    <m:r>
                      <m:rPr/>
                      <m:t>p</m:t>
                    </m:r>
                  </m:e>
                  <m:sub>
                    <m:r>
                      <m:rPr/>
                      <m:t>T</m:t>
                    </m:r>
                  </m:sub>
                </m:sSub>
                <m:r>
                  <m:rPr>
                    <m:sty m:val="p"/>
                  </m:rPr>
                  <m:t>∥</m:t>
                </m:r>
                <m:sSub>
                  <m:sSubPr/>
                  <m:e>
                    <m:r>
                      <m:rPr/>
                      <m:t>p</m:t>
                    </m:r>
                  </m:e>
                  <m:sub>
                    <m:r>
                      <m:rPr/>
                      <m:t>S</m:t>
                    </m:r>
                  </m:sub>
                </m:sSub>
                <m:r>
                  <m:rPr>
                    <m:sty m:val="p"/>
                  </m:rPr>
                  <m:t>)=</m:t>
                </m:r>
                <m:nary>
                  <m:naryPr>
                    <m:chr m:val="∑"/>
                    <m:limLoc m:val="undOvr"/>
                    <m:supHide m:val="1"/>
                  </m:naryPr>
                  <m:sub>
                    <m:r>
                      <m:rPr/>
                      <m:t>v</m:t>
                    </m:r>
                    <m:r>
                      <m:rPr>
                        <m:sty m:val="p"/>
                      </m:rPr>
                      <m:t>∈</m:t>
                    </m:r>
                    <m:r>
                      <m:rPr>
                        <m:sty m:val="p"/>
                        <m:scr m:val="script"/>
                      </m:rPr>
                      <m:t>V</m:t>
                    </m:r>
                  </m:sub>
                  <m:sup>
                    <m:r>
                      <m:rPr/>
                      <m:t>​</m:t>
                    </m:r>
                  </m:sup>
                  <m:e>
                    <m:sSub>
                      <m:sSubPr/>
                      <m:e>
                        <m:r>
                          <m:rPr/>
                          <m:t>p</m:t>
                        </m:r>
                      </m:e>
                      <m:sub>
                        <m:r>
                          <m:rPr/>
                          <m:t>T</m:t>
                        </m:r>
                      </m:sub>
                    </m:sSub>
                  </m:e>
                </m:nary>
                <m:r>
                  <m:rPr>
                    <m:sty m:val="p"/>
                  </m:rPr>
                  <m:t>(</m:t>
                </m:r>
                <m:r>
                  <m:rPr/>
                  <m:t>v</m:t>
                </m:r>
                <m:r>
                  <m:rPr>
                    <m:sty m:val="p"/>
                  </m:rPr>
                  <m:t>)log</m:t>
                </m:r>
                <m:f>
                  <m:fPr/>
                  <m:num>
                    <m:sSub>
                      <m:sSubPr/>
                      <m:e>
                        <m:r>
                          <m:rPr/>
                          <m:t>p</m:t>
                        </m:r>
                      </m:e>
                      <m:sub>
                        <m:r>
                          <m:rPr/>
                          <m:t>T</m:t>
                        </m:r>
                      </m:sub>
                    </m:sSub>
                    <m:r>
                      <m:rPr>
                        <m:sty m:val="p"/>
                      </m:rPr>
                      <m:t>(</m:t>
                    </m:r>
                    <m:r>
                      <m:rPr/>
                      <m:t>v</m:t>
                    </m:r>
                    <m:r>
                      <m:rPr>
                        <m:sty m:val="p"/>
                      </m:rPr>
                      <m:t>)</m:t>
                    </m:r>
                  </m:num>
                  <m:den>
                    <m:sSub>
                      <m:sSubPr/>
                      <m:e>
                        <m:r>
                          <m:rPr/>
                          <m:t>p</m:t>
                        </m:r>
                      </m:e>
                      <m:sub>
                        <m:r>
                          <m:rPr/>
                          <m:t>S</m:t>
                        </m:r>
                      </m:sub>
                    </m:sSub>
                    <m:r>
                      <m:rPr>
                        <m:sty m:val="p"/>
                      </m:rPr>
                      <m:t>(</m:t>
                    </m:r>
                    <m:r>
                      <m:rPr/>
                      <m:t>v</m:t>
                    </m:r>
                    <m:r>
                      <m:rPr>
                        <m:sty m:val="p"/>
                      </m:rPr>
                      <m:t>)</m:t>
                    </m:r>
                  </m:den>
                </m:f>
              </m:oMath>
            </m:oMathPara>
          </w:p>
        </w:tc>
        <w:tc>
          <w:tcPr>
            <w:tcW w:w="650" w:type="dxa"/>
            <w:tcMar>
              <w:top w:w="0" w:type="dxa"/>
              <w:left w:w="0" w:type="dxa"/>
              <w:bottom w:w="0" w:type="dxa"/>
              <w:right w:w="0" w:type="dxa"/>
            </w:tcMar>
            <w:vAlign w:val="center"/>
          </w:tcPr>
          <w:p w14:paraId="0AC5975C">
            <w:pPr>
              <w:spacing w:before="0" w:after="0"/>
              <w:jc w:val="right"/>
            </w:pPr>
            <w:bookmarkStart w:id="42" w:name="_RefEq4_17"/>
            <w:r>
              <w:t>(4-</w:t>
            </w:r>
            <w:r>
              <w:fldChar w:fldCharType="begin"/>
            </w:r>
            <w:r>
              <w:instrText xml:space="preserve"> SEQ Eq4 \* ARABIC </w:instrText>
            </w:r>
            <w:r>
              <w:fldChar w:fldCharType="separate"/>
            </w:r>
            <w:r>
              <w:t>12</w:t>
            </w:r>
            <w:r>
              <w:fldChar w:fldCharType="end"/>
            </w:r>
            <w:r>
              <w:t>)</w:t>
            </w:r>
            <w:bookmarkEnd w:id="42"/>
          </w:p>
        </w:tc>
      </w:tr>
    </w:tbl>
    <w:p w14:paraId="6E53B4B0">
      <w:pPr>
        <w:ind w:firstLine="420"/>
        <w:jc w:val="both"/>
      </w:pPr>
      <w:r>
        <w:t>Reverse KL 按学生概率加权，更关注学生当前容易生成的区域，其单位置定义为：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36FF09F">
        <w:trPr>
          <w:cantSplit/>
          <w:jc w:val="center"/>
        </w:trPr>
        <w:tc>
          <w:tcPr>
            <w:tcW w:w="650" w:type="dxa"/>
            <w:tcMar>
              <w:top w:w="0" w:type="dxa"/>
              <w:left w:w="0" w:type="dxa"/>
              <w:bottom w:w="0" w:type="dxa"/>
              <w:right w:w="0" w:type="dxa"/>
            </w:tcMar>
            <w:vAlign w:val="center"/>
          </w:tcPr>
          <w:p w14:paraId="66BC75FB">
            <w:pPr>
              <w:spacing w:before="0" w:after="0"/>
              <w:jc w:val="left"/>
            </w:pPr>
          </w:p>
        </w:tc>
        <w:tc>
          <w:tcPr>
            <w:tcW w:w="7006" w:type="dxa"/>
            <w:tcMar>
              <w:top w:w="0" w:type="dxa"/>
              <w:left w:w="0" w:type="dxa"/>
              <w:bottom w:w="0" w:type="dxa"/>
              <w:right w:w="0" w:type="dxa"/>
            </w:tcMar>
            <w:vAlign w:val="center"/>
          </w:tcPr>
          <w:p w14:paraId="300F2380">
            <w:pPr>
              <w:spacing w:before="0" w:after="0"/>
              <w:jc w:val="center"/>
            </w:pPr>
            <m:oMathPara>
              <m:oMath>
                <m:sSub>
                  <m:sSubPr/>
                  <m:e>
                    <m:r>
                      <m:rPr/>
                      <m:t>D</m:t>
                    </m:r>
                  </m:e>
                  <m:sub>
                    <m:r>
                      <m:rPr>
                        <m:sty m:val="p"/>
                      </m:rPr>
                      <m:t>RKL</m:t>
                    </m:r>
                  </m:sub>
                </m:sSub>
                <m:r>
                  <m:rPr>
                    <m:sty m:val="p"/>
                  </m:rPr>
                  <m:t>(</m:t>
                </m:r>
                <m:sSub>
                  <m:sSubPr/>
                  <m:e>
                    <m:r>
                      <m:rPr/>
                      <m:t>p</m:t>
                    </m:r>
                  </m:e>
                  <m:sub>
                    <m:r>
                      <m:rPr/>
                      <m:t>S</m:t>
                    </m:r>
                  </m:sub>
                </m:sSub>
                <m:r>
                  <m:rPr>
                    <m:sty m:val="p"/>
                  </m:rPr>
                  <m:t>∥</m:t>
                </m:r>
                <m:sSub>
                  <m:sSubPr/>
                  <m:e>
                    <m:r>
                      <m:rPr/>
                      <m:t>p</m:t>
                    </m:r>
                  </m:e>
                  <m:sub>
                    <m:r>
                      <m:rPr/>
                      <m:t>T</m:t>
                    </m:r>
                  </m:sub>
                </m:sSub>
                <m:r>
                  <m:rPr>
                    <m:sty m:val="p"/>
                  </m:rPr>
                  <m:t>)=</m:t>
                </m:r>
                <m:nary>
                  <m:naryPr>
                    <m:chr m:val="∑"/>
                    <m:limLoc m:val="undOvr"/>
                    <m:supHide m:val="1"/>
                  </m:naryPr>
                  <m:sub>
                    <m:r>
                      <m:rPr/>
                      <m:t>v</m:t>
                    </m:r>
                    <m:r>
                      <m:rPr>
                        <m:sty m:val="p"/>
                      </m:rPr>
                      <m:t>∈</m:t>
                    </m:r>
                    <m:r>
                      <m:rPr>
                        <m:sty m:val="p"/>
                        <m:scr m:val="script"/>
                      </m:rPr>
                      <m:t>V</m:t>
                    </m:r>
                  </m:sub>
                  <m:sup>
                    <m:r>
                      <m:rPr/>
                      <m:t>​</m:t>
                    </m:r>
                  </m:sup>
                  <m:e>
                    <m:sSub>
                      <m:sSubPr/>
                      <m:e>
                        <m:r>
                          <m:rPr/>
                          <m:t>p</m:t>
                        </m:r>
                      </m:e>
                      <m:sub>
                        <m:r>
                          <m:rPr/>
                          <m:t>S</m:t>
                        </m:r>
                      </m:sub>
                    </m:sSub>
                  </m:e>
                </m:nary>
                <m:r>
                  <m:rPr>
                    <m:sty m:val="p"/>
                  </m:rPr>
                  <m:t>(</m:t>
                </m:r>
                <m:r>
                  <m:rPr/>
                  <m:t>v</m:t>
                </m:r>
                <m:r>
                  <m:rPr>
                    <m:sty m:val="p"/>
                  </m:rPr>
                  <m:t>)log</m:t>
                </m:r>
                <m:f>
                  <m:fPr/>
                  <m:num>
                    <m:sSub>
                      <m:sSubPr/>
                      <m:e>
                        <m:r>
                          <m:rPr/>
                          <m:t>p</m:t>
                        </m:r>
                      </m:e>
                      <m:sub>
                        <m:r>
                          <m:rPr/>
                          <m:t>S</m:t>
                        </m:r>
                      </m:sub>
                    </m:sSub>
                    <m:r>
                      <m:rPr>
                        <m:sty m:val="p"/>
                      </m:rPr>
                      <m:t>(</m:t>
                    </m:r>
                    <m:r>
                      <m:rPr/>
                      <m:t>v</m:t>
                    </m:r>
                    <m:r>
                      <m:rPr>
                        <m:sty m:val="p"/>
                      </m:rPr>
                      <m:t>)</m:t>
                    </m:r>
                  </m:num>
                  <m:den>
                    <m:sSub>
                      <m:sSubPr/>
                      <m:e>
                        <m:r>
                          <m:rPr/>
                          <m:t>p</m:t>
                        </m:r>
                      </m:e>
                      <m:sub>
                        <m:r>
                          <m:rPr/>
                          <m:t>T</m:t>
                        </m:r>
                      </m:sub>
                    </m:sSub>
                    <m:r>
                      <m:rPr>
                        <m:sty m:val="p"/>
                      </m:rPr>
                      <m:t>(</m:t>
                    </m:r>
                    <m:r>
                      <m:rPr/>
                      <m:t>v</m:t>
                    </m:r>
                    <m:r>
                      <m:rPr>
                        <m:sty m:val="p"/>
                      </m:rPr>
                      <m:t>)</m:t>
                    </m:r>
                  </m:den>
                </m:f>
              </m:oMath>
            </m:oMathPara>
          </w:p>
        </w:tc>
        <w:tc>
          <w:tcPr>
            <w:tcW w:w="650" w:type="dxa"/>
            <w:tcMar>
              <w:top w:w="0" w:type="dxa"/>
              <w:left w:w="0" w:type="dxa"/>
              <w:bottom w:w="0" w:type="dxa"/>
              <w:right w:w="0" w:type="dxa"/>
            </w:tcMar>
            <w:vAlign w:val="center"/>
          </w:tcPr>
          <w:p w14:paraId="328C4D26">
            <w:pPr>
              <w:spacing w:before="0" w:after="0"/>
              <w:jc w:val="right"/>
            </w:pPr>
            <w:bookmarkStart w:id="43" w:name="_RefEq4_18"/>
            <w:r>
              <w:t>(4-</w:t>
            </w:r>
            <w:r>
              <w:fldChar w:fldCharType="begin"/>
            </w:r>
            <w:r>
              <w:instrText xml:space="preserve"> SEQ Eq4 \* ARABIC </w:instrText>
            </w:r>
            <w:r>
              <w:fldChar w:fldCharType="separate"/>
            </w:r>
            <w:r>
              <w:t>13</w:t>
            </w:r>
            <w:r>
              <w:fldChar w:fldCharType="end"/>
            </w:r>
            <w:r>
              <w:t>)</w:t>
            </w:r>
            <w:bookmarkEnd w:id="43"/>
          </w:p>
        </w:tc>
      </w:tr>
    </w:tbl>
    <w:p w14:paraId="5B31EE2D">
      <w:pPr>
        <w:ind w:firstLine="420"/>
        <w:jc w:val="both"/>
      </w:pPr>
      <w:r>
        <w:t>为观察两种偏好之间的连续变化，本文同时考察 JSD 与 skew KL。二者所需的混合分布及散度定义如下：</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B14351F">
        <w:trPr>
          <w:cantSplit/>
          <w:jc w:val="center"/>
        </w:trPr>
        <w:tc>
          <w:tcPr>
            <w:tcW w:w="650" w:type="dxa"/>
            <w:tcMar>
              <w:top w:w="0" w:type="dxa"/>
              <w:left w:w="0" w:type="dxa"/>
              <w:bottom w:w="0" w:type="dxa"/>
              <w:right w:w="0" w:type="dxa"/>
            </w:tcMar>
            <w:vAlign w:val="center"/>
          </w:tcPr>
          <w:p w14:paraId="09291E87">
            <w:pPr>
              <w:spacing w:before="0" w:after="0"/>
              <w:jc w:val="left"/>
            </w:pPr>
          </w:p>
        </w:tc>
        <w:tc>
          <w:tcPr>
            <w:tcW w:w="7006" w:type="dxa"/>
            <w:tcMar>
              <w:top w:w="0" w:type="dxa"/>
              <w:left w:w="0" w:type="dxa"/>
              <w:bottom w:w="0" w:type="dxa"/>
              <w:right w:w="0" w:type="dxa"/>
            </w:tcMar>
            <w:vAlign w:val="center"/>
          </w:tcPr>
          <w:p w14:paraId="15BD398D">
            <w:pPr>
              <w:spacing w:before="0" w:after="0"/>
              <w:jc w:val="center"/>
            </w:pPr>
            <m:oMathPara>
              <m:oMath>
                <m:r>
                  <m:rPr/>
                  <m:t>m</m:t>
                </m:r>
                <m:r>
                  <m:rPr>
                    <m:sty m:val="p"/>
                  </m:rPr>
                  <m:t>=</m:t>
                </m:r>
                <m:f>
                  <m:fPr/>
                  <m:num>
                    <m:sSub>
                      <m:sSubPr/>
                      <m:e>
                        <m:r>
                          <m:rPr/>
                          <m:t>p</m:t>
                        </m:r>
                      </m:e>
                      <m:sub>
                        <m:r>
                          <m:rPr/>
                          <m:t>T</m:t>
                        </m:r>
                      </m:sub>
                    </m:sSub>
                    <m:r>
                      <m:rPr>
                        <m:sty m:val="p"/>
                      </m:rPr>
                      <m:t>+</m:t>
                    </m:r>
                    <m:sSub>
                      <m:sSubPr/>
                      <m:e>
                        <m:r>
                          <m:rPr/>
                          <m:t>p</m:t>
                        </m:r>
                      </m:e>
                      <m:sub>
                        <m:r>
                          <m:rPr/>
                          <m:t>S</m:t>
                        </m:r>
                      </m:sub>
                    </m:sSub>
                  </m:num>
                  <m:den>
                    <m:r>
                      <m:rPr/>
                      <m:t>2</m:t>
                    </m:r>
                  </m:den>
                </m:f>
              </m:oMath>
            </m:oMathPara>
          </w:p>
        </w:tc>
        <w:tc>
          <w:tcPr>
            <w:tcW w:w="650" w:type="dxa"/>
            <w:tcMar>
              <w:top w:w="0" w:type="dxa"/>
              <w:left w:w="0" w:type="dxa"/>
              <w:bottom w:w="0" w:type="dxa"/>
              <w:right w:w="0" w:type="dxa"/>
            </w:tcMar>
            <w:vAlign w:val="center"/>
          </w:tcPr>
          <w:p w14:paraId="6857AB00">
            <w:pPr>
              <w:spacing w:before="0" w:after="0"/>
              <w:jc w:val="right"/>
            </w:pPr>
            <w:bookmarkStart w:id="44" w:name="_RefEq4_19"/>
            <w:r>
              <w:t>(4-</w:t>
            </w:r>
            <w:r>
              <w:fldChar w:fldCharType="begin"/>
            </w:r>
            <w:r>
              <w:instrText xml:space="preserve"> SEQ Eq4 \* ARABIC </w:instrText>
            </w:r>
            <w:r>
              <w:fldChar w:fldCharType="separate"/>
            </w:r>
            <w:r>
              <w:t>14</w:t>
            </w:r>
            <w:r>
              <w:fldChar w:fldCharType="end"/>
            </w:r>
            <w:r>
              <w:t>)</w:t>
            </w:r>
            <w:bookmarkEnd w:id="44"/>
          </w:p>
        </w:tc>
      </w:tr>
      <w:tr w14:paraId="1B361AA1">
        <w:trPr>
          <w:cantSplit/>
          <w:jc w:val="center"/>
        </w:trPr>
        <w:tc>
          <w:tcPr>
            <w:tcW w:w="650" w:type="dxa"/>
            <w:tcMar>
              <w:top w:w="0" w:type="dxa"/>
              <w:left w:w="0" w:type="dxa"/>
              <w:bottom w:w="0" w:type="dxa"/>
              <w:right w:w="0" w:type="dxa"/>
            </w:tcMar>
            <w:vAlign w:val="center"/>
          </w:tcPr>
          <w:p w14:paraId="277ECABD">
            <w:pPr>
              <w:spacing w:before="0" w:after="0"/>
              <w:jc w:val="left"/>
            </w:pPr>
          </w:p>
        </w:tc>
        <w:tc>
          <w:tcPr>
            <w:tcW w:w="7006" w:type="dxa"/>
            <w:tcMar>
              <w:top w:w="0" w:type="dxa"/>
              <w:left w:w="0" w:type="dxa"/>
              <w:bottom w:w="0" w:type="dxa"/>
              <w:right w:w="0" w:type="dxa"/>
            </w:tcMar>
            <w:vAlign w:val="center"/>
          </w:tcPr>
          <w:p w14:paraId="6BD0CED4">
            <w:pPr>
              <w:spacing w:before="0" w:after="0"/>
              <w:jc w:val="center"/>
            </w:pPr>
            <m:oMathPara>
              <m:oMath>
                <m:sSub>
                  <m:sSubPr/>
                  <m:e>
                    <m:r>
                      <m:rPr/>
                      <m:t>D</m:t>
                    </m:r>
                  </m:e>
                  <m:sub>
                    <m:r>
                      <m:rPr>
                        <m:sty m:val="p"/>
                      </m:rPr>
                      <m:t>JSD</m:t>
                    </m:r>
                  </m:sub>
                </m:sSub>
                <m:r>
                  <m:rPr>
                    <m:sty m:val="p"/>
                  </m:rPr>
                  <m:t>(</m:t>
                </m:r>
                <m:sSub>
                  <m:sSubPr/>
                  <m:e>
                    <m:r>
                      <m:rPr/>
                      <m:t>p</m:t>
                    </m:r>
                  </m:e>
                  <m:sub>
                    <m:r>
                      <m:rPr/>
                      <m:t>T</m:t>
                    </m:r>
                  </m:sub>
                </m:sSub>
                <m:r>
                  <m:rPr>
                    <m:sty m:val="p"/>
                  </m:rPr>
                  <m:t>,</m:t>
                </m:r>
                <m:sSub>
                  <m:sSubPr/>
                  <m:e>
                    <m:r>
                      <m:rPr/>
                      <m:t>p</m:t>
                    </m:r>
                  </m:e>
                  <m:sub>
                    <m:r>
                      <m:rPr/>
                      <m:t>S</m:t>
                    </m:r>
                  </m:sub>
                </m:sSub>
                <m:r>
                  <m:rPr>
                    <m:sty m:val="p"/>
                  </m:rPr>
                  <m:t>)=</m:t>
                </m:r>
                <m:f>
                  <m:fPr/>
                  <m:num>
                    <m:r>
                      <m:rPr/>
                      <m:t>1</m:t>
                    </m:r>
                  </m:num>
                  <m:den>
                    <m:r>
                      <m:rPr/>
                      <m:t>2</m:t>
                    </m:r>
                  </m:den>
                </m:f>
                <m:sSub>
                  <m:sSubPr/>
                  <m:e>
                    <m:r>
                      <m:rPr/>
                      <m:t>D</m:t>
                    </m:r>
                  </m:e>
                  <m:sub>
                    <m:r>
                      <m:rPr>
                        <m:sty m:val="p"/>
                      </m:rPr>
                      <m:t>KL</m:t>
                    </m:r>
                  </m:sub>
                </m:sSub>
                <m:r>
                  <m:rPr>
                    <m:sty m:val="p"/>
                  </m:rPr>
                  <m:t>(</m:t>
                </m:r>
                <m:sSub>
                  <m:sSubPr/>
                  <m:e>
                    <m:r>
                      <m:rPr/>
                      <m:t>p</m:t>
                    </m:r>
                  </m:e>
                  <m:sub>
                    <m:r>
                      <m:rPr/>
                      <m:t>T</m:t>
                    </m:r>
                  </m:sub>
                </m:sSub>
                <m:r>
                  <m:rPr>
                    <m:sty m:val="p"/>
                  </m:rPr>
                  <m:t>∥</m:t>
                </m:r>
                <m:r>
                  <m:rPr/>
                  <m:t>m</m:t>
                </m:r>
                <m:r>
                  <m:rPr>
                    <m:sty m:val="p"/>
                  </m:rPr>
                  <m:t>)+</m:t>
                </m:r>
                <m:f>
                  <m:fPr/>
                  <m:num>
                    <m:r>
                      <m:rPr/>
                      <m:t>1</m:t>
                    </m:r>
                  </m:num>
                  <m:den>
                    <m:r>
                      <m:rPr/>
                      <m:t>2</m:t>
                    </m:r>
                  </m:den>
                </m:f>
                <m:sSub>
                  <m:sSubPr/>
                  <m:e>
                    <m:r>
                      <m:rPr/>
                      <m:t>D</m:t>
                    </m:r>
                  </m:e>
                  <m:sub>
                    <m:r>
                      <m:rPr>
                        <m:sty m:val="p"/>
                      </m:rPr>
                      <m:t>KL</m:t>
                    </m:r>
                  </m:sub>
                </m:sSub>
                <m:r>
                  <m:rPr>
                    <m:sty m:val="p"/>
                  </m:rPr>
                  <m:t>(</m:t>
                </m:r>
                <m:sSub>
                  <m:sSubPr/>
                  <m:e>
                    <m:r>
                      <m:rPr/>
                      <m:t>p</m:t>
                    </m:r>
                  </m:e>
                  <m:sub>
                    <m:r>
                      <m:rPr/>
                      <m:t>S</m:t>
                    </m:r>
                  </m:sub>
                </m:sSub>
                <m:r>
                  <m:rPr>
                    <m:sty m:val="p"/>
                  </m:rPr>
                  <m:t>∥</m:t>
                </m:r>
                <m:r>
                  <m:rPr/>
                  <m:t>m</m:t>
                </m:r>
                <m:r>
                  <m:rPr>
                    <m:sty m:val="p"/>
                  </m:rPr>
                  <m:t>)</m:t>
                </m:r>
              </m:oMath>
            </m:oMathPara>
          </w:p>
        </w:tc>
        <w:tc>
          <w:tcPr>
            <w:tcW w:w="650" w:type="dxa"/>
            <w:tcMar>
              <w:top w:w="0" w:type="dxa"/>
              <w:left w:w="0" w:type="dxa"/>
              <w:bottom w:w="0" w:type="dxa"/>
              <w:right w:w="0" w:type="dxa"/>
            </w:tcMar>
            <w:vAlign w:val="center"/>
          </w:tcPr>
          <w:p w14:paraId="3CF5EAC1">
            <w:pPr>
              <w:spacing w:before="0" w:after="0"/>
              <w:jc w:val="right"/>
            </w:pPr>
            <w:bookmarkStart w:id="45" w:name="_RefEq4_20"/>
            <w:r>
              <w:t>(4-</w:t>
            </w:r>
            <w:r>
              <w:fldChar w:fldCharType="begin"/>
            </w:r>
            <w:r>
              <w:instrText xml:space="preserve"> SEQ Eq4 \* ARABIC </w:instrText>
            </w:r>
            <w:r>
              <w:fldChar w:fldCharType="separate"/>
            </w:r>
            <w:r>
              <w:t>15</w:t>
            </w:r>
            <w:r>
              <w:fldChar w:fldCharType="end"/>
            </w:r>
            <w:r>
              <w:t>)</w:t>
            </w:r>
            <w:bookmarkEnd w:id="45"/>
          </w:p>
        </w:tc>
      </w:tr>
    </w:tbl>
    <w:p w14:paraId="5AB5AF23">
      <w:pPr>
        <w:ind w:firstLine="420"/>
        <w:jc w:val="both"/>
      </w:pPr>
      <w:r>
        <w:t>skew KL 使用教师分布与学生分布的混合项，本文采用的教师侧形式为：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03F6A3D3">
        <w:trPr>
          <w:cantSplit/>
          <w:jc w:val="center"/>
        </w:trPr>
        <w:tc>
          <w:tcPr>
            <w:tcW w:w="650" w:type="dxa"/>
            <w:tcMar>
              <w:top w:w="0" w:type="dxa"/>
              <w:left w:w="0" w:type="dxa"/>
              <w:bottom w:w="0" w:type="dxa"/>
              <w:right w:w="0" w:type="dxa"/>
            </w:tcMar>
            <w:vAlign w:val="center"/>
          </w:tcPr>
          <w:p w14:paraId="2563EBDD">
            <w:pPr>
              <w:spacing w:before="0" w:after="0"/>
              <w:jc w:val="left"/>
            </w:pPr>
          </w:p>
        </w:tc>
        <w:tc>
          <w:tcPr>
            <w:tcW w:w="7006" w:type="dxa"/>
            <w:tcMar>
              <w:top w:w="0" w:type="dxa"/>
              <w:left w:w="0" w:type="dxa"/>
              <w:bottom w:w="0" w:type="dxa"/>
              <w:right w:w="0" w:type="dxa"/>
            </w:tcMar>
            <w:vAlign w:val="center"/>
          </w:tcPr>
          <w:p w14:paraId="0658F7B7">
            <w:pPr>
              <w:spacing w:before="0" w:after="0"/>
              <w:jc w:val="center"/>
              <w:rPr>
                <w:rFonts w:hint="default"/>
                <w:lang w:val="en-US"/>
              </w:rPr>
            </w:pPr>
            <m:oMathPara>
              <m:oMath>
                <m:sSub>
                  <m:sSubPr/>
                  <m:e>
                    <m:r>
                      <m:rPr/>
                      <m:t>D</m:t>
                    </m:r>
                  </m:e>
                  <m:sub>
                    <m:r>
                      <m:rPr>
                        <m:sty m:val="p"/>
                      </m:rPr>
                      <m:t>skew,</m:t>
                    </m:r>
                    <m:r>
                      <m:rPr/>
                      <m:t>α</m:t>
                    </m:r>
                  </m:sub>
                </m:sSub>
                <m:r>
                  <m:rPr>
                    <m:sty m:val="p"/>
                  </m:rPr>
                  <m:t>(</m:t>
                </m:r>
                <m:sSub>
                  <m:sSubPr/>
                  <m:e>
                    <m:r>
                      <m:rPr/>
                      <m:t>p</m:t>
                    </m:r>
                  </m:e>
                  <m:sub>
                    <m:r>
                      <m:rPr/>
                      <m:t>T</m:t>
                    </m:r>
                  </m:sub>
                </m:sSub>
                <m:r>
                  <m:rPr>
                    <m:sty m:val="p"/>
                  </m:rPr>
                  <m:t>,</m:t>
                </m:r>
                <m:sSub>
                  <m:sSubPr/>
                  <m:e>
                    <m:r>
                      <m:rPr/>
                      <m:t>p</m:t>
                    </m:r>
                  </m:e>
                  <m:sub>
                    <m:r>
                      <m:rPr/>
                      <m:t>S</m:t>
                    </m:r>
                  </m:sub>
                </m:sSub>
                <m:r>
                  <m:rPr>
                    <m:sty m:val="p"/>
                  </m:rPr>
                  <m:t>)=</m:t>
                </m:r>
                <m:sSub>
                  <m:sSubPr/>
                  <m:e>
                    <m:r>
                      <m:rPr/>
                      <m:t>D</m:t>
                    </m:r>
                  </m:e>
                  <m:sub>
                    <m:r>
                      <m:rPr>
                        <m:sty m:val="p"/>
                      </m:rPr>
                      <m:t>KL</m:t>
                    </m:r>
                  </m:sub>
                </m:sSub>
                <m:r>
                  <m:rPr/>
                  <m:t>​</m:t>
                </m:r>
                <m:d>
                  <m:dPr>
                    <m:sepChr m:val="∥"/>
                  </m:dPr>
                  <m:e>
                    <m:sSub>
                      <m:sSubPr/>
                      <m:e>
                        <m:r>
                          <m:rPr/>
                          <m:t>p</m:t>
                        </m:r>
                      </m:e>
                      <m:sub>
                        <m:r>
                          <m:rPr/>
                          <m:t>T</m:t>
                        </m:r>
                      </m:sub>
                    </m:sSub>
                    <m:r>
                      <m:rPr/>
                      <m:t> </m:t>
                    </m:r>
                  </m:e>
                  <m:e>
                    <m:r>
                      <m:rPr/>
                      <m:t> α</m:t>
                    </m:r>
                    <m:sSub>
                      <m:sSubPr/>
                      <m:e>
                        <m:r>
                          <m:rPr/>
                          <m:t>p</m:t>
                        </m:r>
                      </m:e>
                      <m:sub>
                        <m:r>
                          <m:rPr/>
                          <m:t>T</m:t>
                        </m:r>
                      </m:sub>
                    </m:sSub>
                    <m:r>
                      <m:rPr>
                        <m:sty m:val="p"/>
                      </m:rPr>
                      <m:t>+(</m:t>
                    </m:r>
                    <m:r>
                      <m:rPr/>
                      <m:t>1</m:t>
                    </m:r>
                    <m:r>
                      <m:rPr>
                        <m:sty m:val="p"/>
                      </m:rPr>
                      <m:t>−</m:t>
                    </m:r>
                    <m:r>
                      <m:rPr/>
                      <m:t>α</m:t>
                    </m:r>
                    <m:r>
                      <m:rPr>
                        <m:sty m:val="p"/>
                      </m:rPr>
                      <m:t>)</m:t>
                    </m:r>
                    <m:sSub>
                      <m:sSubPr/>
                      <m:e>
                        <m:r>
                          <m:rPr/>
                          <m:t>p</m:t>
                        </m:r>
                      </m:e>
                      <m:sub>
                        <m:r>
                          <m:rPr/>
                          <m:t>S</m:t>
                        </m:r>
                      </m:sub>
                    </m:sSub>
                  </m:e>
                </m:d>
                <m:r>
                  <m:rPr>
                    <m:sty m:val="p"/>
                  </m:rPr>
                  <w:rPr>
                    <w:rFonts w:hint="default"/>
                    <w:lang w:val="en-US"/>
                  </w:rPr>
                  <m:t>,</m:t>
                </m:r>
                <m:r>
                  <m:rPr/>
                  <m:t>0</m:t>
                </m:r>
                <m:r>
                  <m:rPr>
                    <m:sty m:val="p"/>
                  </m:rPr>
                  <m:t>&lt;</m:t>
                </m:r>
                <m:r>
                  <m:rPr/>
                  <m:t>α</m:t>
                </m:r>
                <m:r>
                  <m:rPr>
                    <m:sty m:val="p"/>
                  </m:rPr>
                  <m:t>&lt;</m:t>
                </m:r>
                <m:r>
                  <m:rPr/>
                  <m:t>1</m:t>
                </m:r>
              </m:oMath>
            </m:oMathPara>
          </w:p>
        </w:tc>
        <w:tc>
          <w:tcPr>
            <w:tcW w:w="650" w:type="dxa"/>
            <w:tcMar>
              <w:top w:w="0" w:type="dxa"/>
              <w:left w:w="0" w:type="dxa"/>
              <w:bottom w:w="0" w:type="dxa"/>
              <w:right w:w="0" w:type="dxa"/>
            </w:tcMar>
            <w:vAlign w:val="center"/>
          </w:tcPr>
          <w:p w14:paraId="5A471A70">
            <w:pPr>
              <w:spacing w:before="0" w:after="0"/>
              <w:jc w:val="right"/>
            </w:pPr>
            <w:bookmarkStart w:id="46" w:name="_RefEq4_21"/>
            <w:r>
              <w:t>(4-</w:t>
            </w:r>
            <w:r>
              <w:fldChar w:fldCharType="begin"/>
            </w:r>
            <w:r>
              <w:instrText xml:space="preserve"> SEQ Eq4 \* ARABIC </w:instrText>
            </w:r>
            <w:r>
              <w:fldChar w:fldCharType="separate"/>
            </w:r>
            <w:r>
              <w:t>16</w:t>
            </w:r>
            <w:r>
              <w:fldChar w:fldCharType="end"/>
            </w:r>
            <w:r>
              <w:t>)</w:t>
            </w:r>
            <w:bookmarkEnd w:id="46"/>
          </w:p>
        </w:tc>
      </w:tr>
    </w:tbl>
    <w:p w14:paraId="0B274885">
      <w:pPr>
        <w:ind w:firstLine="420"/>
        <w:jc w:val="both"/>
      </w:pPr>
      <w:r>
        <w:t>完整词表的 Forward KL、Reverse KL、JSD 和 skew KL 构成目标参照[7][8][9][12]。位置条件化方法先计算教师高概率候选的学生欠覆盖量，以及学生最高概率候选相对教师的过估量；两量均取非负值。两量之和非零时，以欠覆盖量占比作为 Forward KL 权重，余下权重分给 Reverse KL；两量都为零时使用预设中性权重。函数选择、参数生成和结构位置可设置不同的阈值与权重边界，取值范围由验证集确定。权重计算不参与梯度传播，单位置损失由式（4-12）和式（4-13）加权组成；全局固定混合与单一散度是直接对照[35]。稀疏实验沿用确定后的规则及相同位置，避免同时更换目标与支持集。</w:t>
      </w:r>
    </w:p>
    <w:p w14:paraId="32BF1A8F">
      <w:pPr>
        <w:ind w:firstLine="420"/>
        <w:jc w:val="both"/>
      </w:pPr>
      <w:r>
        <w:t>表 4-2 按三个研究问题组织受控比较。联合方法在完整词表反馈下检验监督位置与位置条件化散度的协同作用；稀疏方法固定联合规则，检验有限支持集；统一测试系统分别验证配对回放与闭环训练的可靠性。教师、学生起点、数据划分、生成协议及评价规则保持一致，训练组统一有效训练 token 数和更新步数。</w:t>
      </w:r>
    </w:p>
    <w:p w14:paraId="706F3CCD">
      <w:pPr>
        <w:keepNext/>
        <w:spacing w:before="80" w:after="80" w:line="240" w:lineRule="auto"/>
        <w:ind w:left="0" w:right="0" w:firstLine="0"/>
        <w:jc w:val="center"/>
      </w:pPr>
      <w:r>
        <w:rPr>
          <w:rFonts w:ascii="Times New Roman" w:hAnsi="Times New Roman" w:eastAsia="Songti SC"/>
          <w:sz w:val="21"/>
        </w:rPr>
        <w:t xml:space="preserve">表 </w:t>
      </w:r>
      <w:bookmarkStart w:id="47" w:name="_RefTable4_2"/>
      <w:r>
        <w:rPr>
          <w:rFonts w:ascii="Times New Roman" w:hAnsi="Times New Roman" w:eastAsia="Songti SC"/>
          <w:sz w:val="21"/>
        </w:rPr>
        <w:t>4-</w:t>
      </w:r>
      <w:r>
        <w:rPr>
          <w:rFonts w:ascii="Times New Roman" w:hAnsi="Times New Roman" w:eastAsia="Songti SC"/>
          <w:sz w:val="21"/>
        </w:rPr>
        <w:fldChar w:fldCharType="begin"/>
      </w:r>
      <w:r>
        <w:rPr>
          <w:rFonts w:ascii="Times New Roman" w:hAnsi="Times New Roman" w:eastAsia="Songti SC"/>
          <w:sz w:val="21"/>
        </w:rPr>
        <w:instrText xml:space="preserve"> SEQ TableCh4 \* ARABIC </w:instrText>
      </w:r>
      <w:r>
        <w:rPr>
          <w:rFonts w:ascii="Times New Roman" w:hAnsi="Times New Roman" w:eastAsia="Songti SC"/>
          <w:sz w:val="21"/>
        </w:rPr>
        <w:fldChar w:fldCharType="separate"/>
      </w:r>
      <w:r>
        <w:rPr>
          <w:rFonts w:ascii="Times New Roman" w:hAnsi="Times New Roman" w:eastAsia="Songti SC"/>
          <w:sz w:val="21"/>
        </w:rPr>
        <w:t>2</w:t>
      </w:r>
      <w:r>
        <w:rPr>
          <w:rFonts w:ascii="Times New Roman" w:hAnsi="Times New Roman" w:eastAsia="Songti SC"/>
          <w:sz w:val="21"/>
        </w:rPr>
        <w:fldChar w:fldCharType="end"/>
      </w:r>
      <w:bookmarkEnd w:id="47"/>
      <w:r>
        <w:rPr>
          <w:rFonts w:ascii="Times New Roman" w:hAnsi="Times New Roman" w:eastAsia="Songti SC"/>
          <w:sz w:val="21"/>
        </w:rPr>
        <w:t xml:space="preserve">  分层对照实验设计</w:t>
      </w:r>
    </w:p>
    <w:tbl>
      <w:tblPr>
        <w:tblStyle w:val="11"/>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2350"/>
        <w:gridCol w:w="1450"/>
        <w:gridCol w:w="1900"/>
        <w:gridCol w:w="1456"/>
      </w:tblGrid>
      <w:tr w14:paraId="15E61120">
        <w:trPr>
          <w:cantSplit/>
          <w:tblHeader/>
          <w:jc w:val="center"/>
        </w:trPr>
        <w:tc>
          <w:tcPr>
            <w:tcW w:w="1150" w:type="dxa"/>
            <w:vAlign w:val="center"/>
          </w:tcPr>
          <w:p w14:paraId="0C984810">
            <w:pPr>
              <w:spacing w:before="0" w:after="0" w:line="240" w:lineRule="auto"/>
              <w:ind w:firstLine="0"/>
              <w:jc w:val="left"/>
            </w:pPr>
            <w:r>
              <w:rPr>
                <w:rFonts w:ascii="Times New Roman" w:hAnsi="Times New Roman" w:eastAsia="宋体"/>
                <w:b/>
                <w:sz w:val="19"/>
              </w:rPr>
              <w:t>实验层次</w:t>
            </w:r>
          </w:p>
        </w:tc>
        <w:tc>
          <w:tcPr>
            <w:tcW w:w="2350" w:type="dxa"/>
            <w:vAlign w:val="center"/>
          </w:tcPr>
          <w:p w14:paraId="6B2C1018">
            <w:pPr>
              <w:spacing w:before="0" w:after="0" w:line="240" w:lineRule="auto"/>
              <w:ind w:firstLine="0"/>
              <w:jc w:val="left"/>
            </w:pPr>
            <w:r>
              <w:rPr>
                <w:rFonts w:ascii="Times New Roman" w:hAnsi="Times New Roman" w:eastAsia="宋体"/>
                <w:b/>
                <w:sz w:val="19"/>
              </w:rPr>
              <w:t>固定条件</w:t>
            </w:r>
          </w:p>
        </w:tc>
        <w:tc>
          <w:tcPr>
            <w:tcW w:w="1450" w:type="dxa"/>
            <w:vAlign w:val="center"/>
          </w:tcPr>
          <w:p w14:paraId="02EE87DF">
            <w:pPr>
              <w:spacing w:before="0" w:after="0" w:line="240" w:lineRule="auto"/>
              <w:ind w:firstLine="0"/>
              <w:jc w:val="left"/>
            </w:pPr>
            <w:r>
              <w:rPr>
                <w:rFonts w:ascii="Times New Roman" w:hAnsi="Times New Roman" w:eastAsia="宋体"/>
                <w:b/>
                <w:sz w:val="19"/>
              </w:rPr>
              <w:t>变化因素</w:t>
            </w:r>
          </w:p>
        </w:tc>
        <w:tc>
          <w:tcPr>
            <w:tcW w:w="1900" w:type="dxa"/>
            <w:vAlign w:val="center"/>
          </w:tcPr>
          <w:p w14:paraId="60B5A87E">
            <w:pPr>
              <w:spacing w:before="0" w:after="0" w:line="240" w:lineRule="auto"/>
              <w:ind w:firstLine="0"/>
              <w:jc w:val="left"/>
            </w:pPr>
            <w:r>
              <w:rPr>
                <w:rFonts w:ascii="Times New Roman" w:hAnsi="Times New Roman" w:eastAsia="宋体"/>
                <w:b/>
                <w:sz w:val="19"/>
              </w:rPr>
              <w:t>主要观察</w:t>
            </w:r>
          </w:p>
        </w:tc>
        <w:tc>
          <w:tcPr>
            <w:tcW w:w="1456" w:type="dxa"/>
            <w:vAlign w:val="center"/>
          </w:tcPr>
          <w:p w14:paraId="088DB88C">
            <w:pPr>
              <w:spacing w:before="0" w:after="0" w:line="240" w:lineRule="auto"/>
              <w:ind w:firstLine="0"/>
              <w:jc w:val="left"/>
            </w:pPr>
            <w:r>
              <w:rPr>
                <w:rFonts w:ascii="Times New Roman" w:hAnsi="Times New Roman" w:eastAsia="宋体"/>
                <w:b/>
                <w:sz w:val="19"/>
              </w:rPr>
              <w:t>研究作用</w:t>
            </w:r>
          </w:p>
        </w:tc>
      </w:tr>
      <w:tr w14:paraId="568DC1CB">
        <w:trPr>
          <w:cantSplit/>
          <w:jc w:val="center"/>
        </w:trPr>
        <w:tc>
          <w:tcPr>
            <w:tcW w:w="1150" w:type="dxa"/>
            <w:vAlign w:val="center"/>
          </w:tcPr>
          <w:p>
            <w:pPr>
              <w:jc w:val="left"/>
            </w:pPr>
            <w:r>
              <w:rPr>
                <w:sz w:val="19"/>
              </w:rPr>
              <w:t>联合蒸馏方法</w:t>
            </w:r>
          </w:p>
        </w:tc>
        <w:tc>
          <w:tcPr>
            <w:tcW w:w="2350" w:type="dxa"/>
            <w:vAlign w:val="center"/>
          </w:tcPr>
          <w:p>
            <w:pPr>
              <w:jc w:val="left"/>
            </w:pPr>
            <w:r>
              <w:rPr>
                <w:sz w:val="19"/>
              </w:rPr>
              <w:t>同模型、完整反馈、同预算</w:t>
            </w:r>
          </w:p>
        </w:tc>
        <w:tc>
          <w:tcPr>
            <w:tcW w:w="1450" w:type="dxa"/>
            <w:vAlign w:val="center"/>
          </w:tcPr>
          <w:p>
            <w:pPr>
              <w:jc w:val="left"/>
            </w:pPr>
            <w:r>
              <w:rPr>
                <w:sz w:val="19"/>
              </w:rPr>
              <w:t>位置规则与散度权重</w:t>
            </w:r>
          </w:p>
        </w:tc>
        <w:tc>
          <w:tcPr>
            <w:tcW w:w="1900" w:type="dxa"/>
            <w:vAlign w:val="center"/>
          </w:tcPr>
          <w:p>
            <w:pPr>
              <w:jc w:val="left"/>
            </w:pPr>
            <w:r>
              <w:rPr>
                <w:sz w:val="19"/>
              </w:rPr>
              <w:t>梯度、调用结果、成本</w:t>
            </w:r>
          </w:p>
        </w:tc>
        <w:tc>
          <w:tcPr>
            <w:tcW w:w="1456" w:type="dxa"/>
            <w:vAlign w:val="center"/>
          </w:tcPr>
          <w:p>
            <w:pPr>
              <w:jc w:val="left"/>
            </w:pPr>
            <w:r>
              <w:rPr>
                <w:sz w:val="19"/>
              </w:rPr>
              <w:t>验证协同设计</w:t>
            </w:r>
          </w:p>
        </w:tc>
      </w:tr>
      <w:tr w14:paraId="5DED9877">
        <w:trPr>
          <w:cantSplit/>
          <w:jc w:val="center"/>
        </w:trPr>
        <w:tc>
          <w:tcPr>
            <w:tcW w:w="1150" w:type="dxa"/>
            <w:vAlign w:val="center"/>
          </w:tcPr>
          <w:p w14:paraId="03D05CC0">
            <w:pPr>
              <w:spacing w:before="0" w:after="0" w:line="240" w:lineRule="auto"/>
              <w:ind w:firstLine="0"/>
              <w:jc w:val="left"/>
            </w:pPr>
            <w:r>
              <w:rPr>
                <w:rFonts w:ascii="Times New Roman" w:hAnsi="Times New Roman" w:eastAsia="宋体"/>
                <w:b w:val="0"/>
                <w:sz w:val="19"/>
              </w:rPr>
              <w:t>稀疏反馈方法</w:t>
            </w:r>
          </w:p>
        </w:tc>
        <w:tc>
          <w:tcPr>
            <w:tcW w:w="2350" w:type="dxa"/>
            <w:vAlign w:val="center"/>
          </w:tcPr>
          <w:p w14:paraId="340E34F9">
            <w:pPr>
              <w:spacing w:before="0" w:after="0" w:line="240" w:lineRule="auto"/>
              <w:ind w:firstLine="0"/>
              <w:jc w:val="left"/>
            </w:pPr>
            <w:r>
              <w:rPr>
                <w:rFonts w:ascii="Times New Roman" w:hAnsi="Times New Roman" w:eastAsia="宋体"/>
                <w:b w:val="0"/>
                <w:sz w:val="19"/>
              </w:rPr>
              <w:t>同位置、同目标、同反馈预算</w:t>
            </w:r>
          </w:p>
        </w:tc>
        <w:tc>
          <w:tcPr>
            <w:tcW w:w="1450" w:type="dxa"/>
            <w:vAlign w:val="center"/>
          </w:tcPr>
          <w:p w14:paraId="4358821D">
            <w:pPr>
              <w:spacing w:before="0" w:after="0" w:line="240" w:lineRule="auto"/>
              <w:ind w:firstLine="0"/>
              <w:jc w:val="left"/>
            </w:pPr>
            <w:r>
              <w:rPr>
                <w:rFonts w:ascii="Times New Roman" w:hAnsi="Times New Roman" w:eastAsia="宋体"/>
                <w:b w:val="0"/>
                <w:sz w:val="19"/>
              </w:rPr>
              <w:t>Top-K、尾部类别、决策支持集</w:t>
            </w:r>
          </w:p>
        </w:tc>
        <w:tc>
          <w:tcPr>
            <w:tcW w:w="1900" w:type="dxa"/>
            <w:vAlign w:val="center"/>
          </w:tcPr>
          <w:p w14:paraId="7212AE94">
            <w:pPr>
              <w:spacing w:before="0" w:after="0" w:line="240" w:lineRule="auto"/>
              <w:ind w:firstLine="0"/>
              <w:jc w:val="left"/>
            </w:pPr>
            <w:r>
              <w:rPr>
                <w:rFonts w:ascii="Times New Roman" w:hAnsi="Times New Roman" w:eastAsia="宋体"/>
                <w:b w:val="0"/>
                <w:sz w:val="19"/>
              </w:rPr>
              <w:t>尾部质量、调用结果、教师成本</w:t>
            </w:r>
          </w:p>
        </w:tc>
        <w:tc>
          <w:tcPr>
            <w:tcW w:w="1456" w:type="dxa"/>
            <w:vAlign w:val="center"/>
          </w:tcPr>
          <w:p w14:paraId="18867DC3">
            <w:pPr>
              <w:spacing w:before="0" w:after="0" w:line="240" w:lineRule="auto"/>
              <w:ind w:firstLine="0"/>
              <w:jc w:val="left"/>
            </w:pPr>
            <w:r>
              <w:rPr>
                <w:rFonts w:ascii="Times New Roman" w:hAnsi="Times New Roman" w:eastAsia="宋体"/>
                <w:b w:val="0"/>
                <w:sz w:val="19"/>
              </w:rPr>
              <w:t>验证反馈表示</w:t>
            </w:r>
          </w:p>
        </w:tc>
      </w:tr>
      <w:tr>
        <w:tc>
          <w:tcPr>
            <w:tcW w:type="dxa" w:w="1150"/>
          </w:tcPr>
          <w:p>
            <w:pPr>
              <w:jc w:val="left"/>
            </w:pPr>
            <w:r>
              <w:rPr>
                <w:sz w:val="19"/>
              </w:rPr>
              <w:t>统一测试系统</w:t>
            </w:r>
          </w:p>
        </w:tc>
        <w:tc>
          <w:tcPr>
            <w:tcW w:type="dxa" w:w="2350"/>
          </w:tcPr>
          <w:p>
            <w:pPr>
              <w:jc w:val="left"/>
            </w:pPr>
            <w:r>
              <w:rPr>
                <w:sz w:val="19"/>
              </w:rPr>
              <w:t>同轨迹配对、同起点闭环</w:t>
            </w:r>
          </w:p>
        </w:tc>
        <w:tc>
          <w:tcPr>
            <w:tcW w:type="dxa" w:w="1450"/>
          </w:tcPr>
          <w:p>
            <w:pPr>
              <w:jc w:val="left"/>
            </w:pPr>
            <w:r>
              <w:rPr>
                <w:sz w:val="19"/>
              </w:rPr>
              <w:t>回放、解析、计量协议</w:t>
            </w:r>
          </w:p>
        </w:tc>
        <w:tc>
          <w:tcPr>
            <w:tcW w:type="dxa" w:w="1900"/>
          </w:tcPr>
          <w:p>
            <w:pPr>
              <w:jc w:val="left"/>
            </w:pPr>
            <w:r>
              <w:rPr>
                <w:sz w:val="19"/>
              </w:rPr>
              <w:t>一致性、错误追踪、系统开销</w:t>
            </w:r>
          </w:p>
        </w:tc>
        <w:tc>
          <w:tcPr>
            <w:tcW w:type="dxa" w:w="1456"/>
          </w:tcPr>
          <w:p>
            <w:pPr>
              <w:jc w:val="left"/>
            </w:pPr>
            <w:r>
              <w:rPr>
                <w:sz w:val="19"/>
              </w:rPr>
              <w:t>验证系统可信度</w:t>
            </w:r>
          </w:p>
        </w:tc>
      </w:tr>
      <w:tr w14:paraId="7FDDC4CF">
        <w:trPr>
          <w:cantSplit/>
          <w:jc w:val="center"/>
        </w:trPr>
        <w:tc>
          <w:tcPr>
            <w:tcW w:w="1150" w:type="dxa"/>
            <w:vAlign w:val="center"/>
          </w:tcPr>
          <w:p w14:paraId="63F80CA8">
            <w:pPr>
              <w:spacing w:before="0" w:after="0" w:line="240" w:lineRule="auto"/>
              <w:ind w:firstLine="0"/>
              <w:jc w:val="left"/>
            </w:pPr>
            <w:r>
              <w:rPr>
                <w:rFonts w:ascii="Times New Roman" w:hAnsi="Times New Roman" w:eastAsia="宋体"/>
                <w:b w:val="0"/>
                <w:sz w:val="19"/>
              </w:rPr>
              <w:t>方法组合与消融</w:t>
            </w:r>
          </w:p>
        </w:tc>
        <w:tc>
          <w:tcPr>
            <w:tcW w:w="2350" w:type="dxa"/>
            <w:vAlign w:val="center"/>
          </w:tcPr>
          <w:p w14:paraId="3CBD8491">
            <w:pPr>
              <w:spacing w:before="0" w:after="0" w:line="240" w:lineRule="auto"/>
              <w:ind w:firstLine="0"/>
              <w:jc w:val="left"/>
            </w:pPr>
            <w:r>
              <w:rPr>
                <w:rFonts w:ascii="Times New Roman" w:hAnsi="Times New Roman" w:eastAsia="宋体"/>
                <w:b w:val="0"/>
                <w:sz w:val="19"/>
              </w:rPr>
              <w:t>同起点、同训练协议</w:t>
            </w:r>
          </w:p>
        </w:tc>
        <w:tc>
          <w:tcPr>
            <w:tcW w:w="1450" w:type="dxa"/>
            <w:vAlign w:val="center"/>
          </w:tcPr>
          <w:p>
            <w:pPr>
              <w:jc w:val="left"/>
            </w:pPr>
            <w:r>
              <w:rPr>
                <w:sz w:val="19"/>
              </w:rPr>
              <w:t>联合方法、稀疏方法、组合与移除组件</w:t>
            </w:r>
          </w:p>
        </w:tc>
        <w:tc>
          <w:tcPr>
            <w:tcW w:w="1900" w:type="dxa"/>
            <w:vAlign w:val="center"/>
          </w:tcPr>
          <w:p w14:paraId="0A199A6B">
            <w:pPr>
              <w:spacing w:before="0" w:after="0" w:line="240" w:lineRule="auto"/>
              <w:ind w:firstLine="0"/>
              <w:jc w:val="left"/>
            </w:pPr>
            <w:r>
              <w:rPr>
                <w:rFonts w:ascii="Times New Roman" w:hAnsi="Times New Roman" w:eastAsia="宋体"/>
                <w:b w:val="0"/>
                <w:sz w:val="19"/>
              </w:rPr>
              <w:t>任务、时间、显存、波动</w:t>
            </w:r>
          </w:p>
        </w:tc>
        <w:tc>
          <w:tcPr>
            <w:tcW w:w="1456" w:type="dxa"/>
            <w:vAlign w:val="center"/>
          </w:tcPr>
          <w:p w14:paraId="0FA7DA3F">
            <w:pPr>
              <w:spacing w:before="0" w:after="0" w:line="240" w:lineRule="auto"/>
              <w:ind w:firstLine="0"/>
              <w:jc w:val="left"/>
            </w:pPr>
            <w:r>
              <w:rPr>
                <w:rFonts w:ascii="Times New Roman" w:hAnsi="Times New Roman" w:eastAsia="宋体"/>
                <w:b w:val="0"/>
                <w:sz w:val="19"/>
              </w:rPr>
              <w:t>解释交互与适用边界</w:t>
            </w:r>
          </w:p>
        </w:tc>
      </w:tr>
    </w:tbl>
    <w:p w14:paraId="26F667FD">
      <w:pPr>
        <w:ind w:firstLine="420"/>
        <w:jc w:val="both"/>
      </w:pPr>
      <w:r>
        <w:t>联合方法的消融分别移除结构类型、师生分歧与位置条件化权重，并比较“只选位置”“只调目标”和二者同时作用；稀疏方法分别检验决策候选补入、尾部类别与预算分配。完整词表提供反馈上界参照，K1 sampled-token 作为低反馈量边界参照。消融用于解释方法机制，研究主体仍是两项方法及测试系统的设计和验证。</w:t>
      </w:r>
    </w:p>
    <w:p w14:paraId="7D429E15">
      <w:pPr>
        <w:ind w:firstLine="420"/>
        <w:jc w:val="both"/>
      </w:pPr>
      <w:r>
        <w:t>完整词表散度提供信息最充分的参照。常规 Top-K 由教师分布选出显式支持集，随后分别计算教师与学生在该集合内的概率质量：</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8E2D71A">
        <w:trPr>
          <w:cantSplit/>
          <w:jc w:val="center"/>
        </w:trPr>
        <w:tc>
          <w:tcPr>
            <w:tcW w:w="650" w:type="dxa"/>
            <w:tcMar>
              <w:top w:w="0" w:type="dxa"/>
              <w:left w:w="0" w:type="dxa"/>
              <w:bottom w:w="0" w:type="dxa"/>
              <w:right w:w="0" w:type="dxa"/>
            </w:tcMar>
            <w:vAlign w:val="center"/>
          </w:tcPr>
          <w:p w14:paraId="115E50C2">
            <w:pPr>
              <w:spacing w:before="0" w:after="0"/>
              <w:jc w:val="left"/>
            </w:pPr>
          </w:p>
        </w:tc>
        <w:tc>
          <w:tcPr>
            <w:tcW w:w="7006" w:type="dxa"/>
            <w:tcMar>
              <w:top w:w="0" w:type="dxa"/>
              <w:left w:w="0" w:type="dxa"/>
              <w:bottom w:w="0" w:type="dxa"/>
              <w:right w:w="0" w:type="dxa"/>
            </w:tcMar>
            <w:vAlign w:val="center"/>
          </w:tcPr>
          <w:p w14:paraId="7394890F">
            <w:pPr>
              <w:spacing w:before="0" w:after="0"/>
              <w:jc w:val="center"/>
            </w:pPr>
            <m:oMathPara>
              <m:oMath>
                <m:sSub>
                  <m:sSubPr/>
                  <m:e>
                    <m:r>
                      <m:rPr>
                        <m:sty m:val="p"/>
                        <m:scr m:val="script"/>
                      </m:rPr>
                      <m:t>S</m:t>
                    </m:r>
                  </m:e>
                  <m:sub>
                    <m:r>
                      <m:rPr/>
                      <m:t>K</m:t>
                    </m:r>
                    <m:r>
                      <m:rPr>
                        <m:sty m:val="p"/>
                      </m:rPr>
                      <m:t>,</m:t>
                    </m:r>
                    <m:r>
                      <m:rPr/>
                      <m:t>t</m:t>
                    </m:r>
                  </m:sub>
                </m:sSub>
                <m:r>
                  <m:rPr>
                    <m:sty m:val="p"/>
                  </m:rPr>
                  <m:t>=TopK(</m:t>
                </m:r>
                <m:sSub>
                  <m:sSubPr/>
                  <m:e>
                    <m:r>
                      <m:rPr/>
                      <m:t>p</m:t>
                    </m:r>
                  </m:e>
                  <m:sub>
                    <m:r>
                      <m:rPr/>
                      <m:t>T</m:t>
                    </m:r>
                    <m:r>
                      <m:rPr>
                        <m:sty m:val="p"/>
                      </m:rPr>
                      <m:t>,</m:t>
                    </m:r>
                    <m:r>
                      <m:rPr/>
                      <m:t>t</m:t>
                    </m:r>
                  </m:sub>
                </m:sSub>
                <m:r>
                  <m:rPr>
                    <m:sty m:val="p"/>
                  </m:rPr>
                  <m:t>,</m:t>
                </m:r>
                <m:r>
                  <m:rPr/>
                  <m:t>K</m:t>
                </m:r>
                <m:r>
                  <m:rPr>
                    <m:sty m:val="p"/>
                  </m:rPr>
                  <m:t>)</m:t>
                </m:r>
              </m:oMath>
            </m:oMathPara>
          </w:p>
        </w:tc>
        <w:tc>
          <w:tcPr>
            <w:tcW w:w="650" w:type="dxa"/>
            <w:tcMar>
              <w:top w:w="0" w:type="dxa"/>
              <w:left w:w="0" w:type="dxa"/>
              <w:bottom w:w="0" w:type="dxa"/>
              <w:right w:w="0" w:type="dxa"/>
            </w:tcMar>
            <w:vAlign w:val="center"/>
          </w:tcPr>
          <w:p w14:paraId="54B925CC">
            <w:pPr>
              <w:spacing w:before="0" w:after="0"/>
              <w:jc w:val="right"/>
            </w:pPr>
          </w:p>
        </w:tc>
      </w:tr>
      <w:tr w14:paraId="20CAB09D">
        <w:trPr>
          <w:cantSplit/>
          <w:jc w:val="center"/>
        </w:trPr>
        <w:tc>
          <w:tcPr>
            <w:tcW w:w="650" w:type="dxa"/>
            <w:tcMar>
              <w:top w:w="0" w:type="dxa"/>
              <w:left w:w="0" w:type="dxa"/>
              <w:bottom w:w="0" w:type="dxa"/>
              <w:right w:w="0" w:type="dxa"/>
            </w:tcMar>
            <w:vAlign w:val="center"/>
          </w:tcPr>
          <w:p w14:paraId="716BD1F1">
            <w:pPr>
              <w:spacing w:before="0" w:after="0"/>
              <w:jc w:val="left"/>
            </w:pPr>
          </w:p>
        </w:tc>
        <w:tc>
          <w:tcPr>
            <w:tcW w:w="7006" w:type="dxa"/>
            <w:tcMar>
              <w:top w:w="0" w:type="dxa"/>
              <w:left w:w="0" w:type="dxa"/>
              <w:bottom w:w="0" w:type="dxa"/>
              <w:right w:w="0" w:type="dxa"/>
            </w:tcMar>
            <w:vAlign w:val="center"/>
          </w:tcPr>
          <w:p w14:paraId="1B7D00D7">
            <w:pPr>
              <w:spacing w:before="0" w:after="0"/>
              <w:jc w:val="center"/>
            </w:pPr>
            <m:oMathPara>
              <m:oMath>
                <m:sSub>
                  <m:sSubPr/>
                  <m:e>
                    <m:r>
                      <m:rPr/>
                      <m:t>Z</m:t>
                    </m:r>
                  </m:e>
                  <m:sub>
                    <m:r>
                      <m:rPr/>
                      <m:t>T</m:t>
                    </m:r>
                    <m:r>
                      <m:rPr>
                        <m:sty m:val="p"/>
                      </m:rPr>
                      <m:t>,</m:t>
                    </m:r>
                    <m:r>
                      <m:rPr/>
                      <m:t>t</m:t>
                    </m:r>
                  </m:sub>
                </m:sSub>
                <m:r>
                  <m:rPr>
                    <m:sty m:val="p"/>
                  </m:rPr>
                  <m:t>=</m:t>
                </m:r>
                <m:nary>
                  <m:naryPr>
                    <m:chr m:val="∑"/>
                    <m:limLoc m:val="undOvr"/>
                    <m:supHide m:val="1"/>
                  </m:naryPr>
                  <m:sub>
                    <m:r>
                      <m:rPr/>
                      <m:t>v</m:t>
                    </m:r>
                    <m:r>
                      <m:rPr>
                        <m:sty m:val="p"/>
                      </m:rPr>
                      <m:t>∈</m:t>
                    </m:r>
                    <m:sSub>
                      <m:sSubPr/>
                      <m:e>
                        <m:r>
                          <m:rPr>
                            <m:sty m:val="p"/>
                            <m:scr m:val="script"/>
                          </m:rPr>
                          <m:t>S</m:t>
                        </m:r>
                      </m:e>
                      <m:sub>
                        <m:r>
                          <m:rPr/>
                          <m:t>K</m:t>
                        </m:r>
                        <m:r>
                          <m:rPr>
                            <m:sty m:val="p"/>
                          </m:rPr>
                          <m:t>,</m:t>
                        </m:r>
                        <m:r>
                          <m:rPr/>
                          <m:t>t</m:t>
                        </m:r>
                      </m:sub>
                    </m:sSub>
                  </m:sub>
                  <m:sup>
                    <m:r>
                      <m:rPr/>
                      <m:t>​</m:t>
                    </m:r>
                  </m:sup>
                  <m:e>
                    <m:sSub>
                      <m:sSubPr/>
                      <m:e>
                        <m:r>
                          <m:rPr/>
                          <m:t>p</m:t>
                        </m:r>
                      </m:e>
                      <m:sub>
                        <m:r>
                          <m:rPr/>
                          <m:t>T</m:t>
                        </m:r>
                        <m:r>
                          <m:rPr>
                            <m:sty m:val="p"/>
                          </m:rPr>
                          <m:t>,</m:t>
                        </m:r>
                        <m:r>
                          <m:rPr/>
                          <m:t>t</m:t>
                        </m:r>
                      </m:sub>
                    </m:sSub>
                  </m:e>
                </m:nary>
                <m:r>
                  <m:rPr>
                    <m:sty m:val="p"/>
                  </m:rPr>
                  <m:t>(</m:t>
                </m:r>
                <m:r>
                  <m:rPr/>
                  <m:t>v</m:t>
                </m:r>
                <m:r>
                  <m:rPr>
                    <m:sty m:val="p"/>
                  </m:rPr>
                  <m:t>)</m:t>
                </m:r>
              </m:oMath>
            </m:oMathPara>
          </w:p>
        </w:tc>
        <w:tc>
          <w:tcPr>
            <w:tcW w:w="650" w:type="dxa"/>
            <w:tcMar>
              <w:top w:w="0" w:type="dxa"/>
              <w:left w:w="0" w:type="dxa"/>
              <w:bottom w:w="0" w:type="dxa"/>
              <w:right w:w="0" w:type="dxa"/>
            </w:tcMar>
            <w:vAlign w:val="center"/>
          </w:tcPr>
          <w:p w14:paraId="7DF53420">
            <w:pPr>
              <w:spacing w:before="0" w:after="0"/>
              <w:jc w:val="right"/>
            </w:pPr>
            <w:bookmarkStart w:id="48" w:name="_RefEq4_24"/>
            <w:r>
              <w:t>(4-</w:t>
            </w:r>
            <w:r>
              <w:fldChar w:fldCharType="begin"/>
            </w:r>
            <w:r>
              <w:instrText xml:space="preserve"> SEQ Eq4 \* ARABIC </w:instrText>
            </w:r>
            <w:r>
              <w:fldChar w:fldCharType="separate"/>
            </w:r>
            <w:r>
              <w:t>17</w:t>
            </w:r>
            <w:r>
              <w:fldChar w:fldCharType="end"/>
            </w:r>
            <w:r>
              <w:t>)</w:t>
            </w:r>
            <w:bookmarkEnd w:id="48"/>
          </w:p>
        </w:tc>
      </w:tr>
      <w:tr w14:paraId="526A2700">
        <w:trPr>
          <w:cantSplit/>
          <w:jc w:val="center"/>
        </w:trPr>
        <w:tc>
          <w:tcPr>
            <w:tcW w:w="650" w:type="dxa"/>
            <w:tcMar>
              <w:top w:w="0" w:type="dxa"/>
              <w:left w:w="0" w:type="dxa"/>
              <w:bottom w:w="0" w:type="dxa"/>
              <w:right w:w="0" w:type="dxa"/>
            </w:tcMar>
            <w:vAlign w:val="center"/>
          </w:tcPr>
          <w:p w14:paraId="7FDDC4C8">
            <w:pPr>
              <w:spacing w:before="0" w:after="0"/>
              <w:jc w:val="left"/>
            </w:pPr>
          </w:p>
        </w:tc>
        <w:tc>
          <w:tcPr>
            <w:tcW w:w="7006" w:type="dxa"/>
            <w:tcMar>
              <w:top w:w="0" w:type="dxa"/>
              <w:left w:w="0" w:type="dxa"/>
              <w:bottom w:w="0" w:type="dxa"/>
              <w:right w:w="0" w:type="dxa"/>
            </w:tcMar>
            <w:vAlign w:val="center"/>
          </w:tcPr>
          <w:p w14:paraId="07A0B0DA">
            <w:pPr>
              <w:spacing w:before="0" w:after="0"/>
              <w:jc w:val="center"/>
            </w:pPr>
            <m:oMathPara>
              <m:oMath>
                <m:sSub>
                  <m:sSubPr/>
                  <m:e>
                    <m:r>
                      <m:rPr/>
                      <m:t>Z</m:t>
                    </m:r>
                  </m:e>
                  <m:sub>
                    <m:r>
                      <m:rPr/>
                      <m:t>S</m:t>
                    </m:r>
                    <m:r>
                      <m:rPr>
                        <m:sty m:val="p"/>
                      </m:rPr>
                      <m:t>,</m:t>
                    </m:r>
                    <m:r>
                      <m:rPr/>
                      <m:t>t</m:t>
                    </m:r>
                  </m:sub>
                </m:sSub>
                <m:r>
                  <m:rPr>
                    <m:sty m:val="p"/>
                  </m:rPr>
                  <m:t>=</m:t>
                </m:r>
                <m:nary>
                  <m:naryPr>
                    <m:chr m:val="∑"/>
                    <m:limLoc m:val="undOvr"/>
                    <m:supHide m:val="1"/>
                  </m:naryPr>
                  <m:sub>
                    <m:r>
                      <m:rPr/>
                      <m:t>v</m:t>
                    </m:r>
                    <m:r>
                      <m:rPr>
                        <m:sty m:val="p"/>
                      </m:rPr>
                      <m:t>∈</m:t>
                    </m:r>
                    <m:sSub>
                      <m:sSubPr/>
                      <m:e>
                        <m:r>
                          <m:rPr>
                            <m:sty m:val="p"/>
                            <m:scr m:val="script"/>
                          </m:rPr>
                          <m:t>S</m:t>
                        </m:r>
                      </m:e>
                      <m:sub>
                        <m:r>
                          <m:rPr/>
                          <m:t>K</m:t>
                        </m:r>
                        <m:r>
                          <m:rPr>
                            <m:sty m:val="p"/>
                          </m:rPr>
                          <m:t>,</m:t>
                        </m:r>
                        <m:r>
                          <m:rPr/>
                          <m:t>t</m:t>
                        </m:r>
                      </m:sub>
                    </m:sSub>
                  </m:sub>
                  <m:sup>
                    <m:r>
                      <m:rPr/>
                      <m:t>​</m:t>
                    </m:r>
                  </m:sup>
                  <m:e>
                    <m:sSub>
                      <m:sSubPr/>
                      <m:e>
                        <m:r>
                          <m:rPr/>
                          <m:t>p</m:t>
                        </m:r>
                      </m:e>
                      <m:sub>
                        <m:r>
                          <m:rPr/>
                          <m:t>S</m:t>
                        </m:r>
                        <m:r>
                          <m:rPr>
                            <m:sty m:val="p"/>
                          </m:rPr>
                          <m:t>,</m:t>
                        </m:r>
                        <m:r>
                          <m:rPr/>
                          <m:t>t</m:t>
                        </m:r>
                      </m:sub>
                    </m:sSub>
                  </m:e>
                </m:nary>
                <m:r>
                  <m:rPr>
                    <m:sty m:val="p"/>
                  </m:rPr>
                  <m:t>(</m:t>
                </m:r>
                <m:r>
                  <m:rPr/>
                  <m:t>v</m:t>
                </m:r>
                <m:r>
                  <m:rPr>
                    <m:sty m:val="p"/>
                  </m:rPr>
                  <m:t>)</m:t>
                </m:r>
              </m:oMath>
            </m:oMathPara>
          </w:p>
        </w:tc>
        <w:tc>
          <w:tcPr>
            <w:tcW w:w="650" w:type="dxa"/>
            <w:tcMar>
              <w:top w:w="0" w:type="dxa"/>
              <w:left w:w="0" w:type="dxa"/>
              <w:bottom w:w="0" w:type="dxa"/>
              <w:right w:w="0" w:type="dxa"/>
            </w:tcMar>
            <w:vAlign w:val="center"/>
          </w:tcPr>
          <w:p w14:paraId="5E2E62C5">
            <w:pPr>
              <w:spacing w:before="0" w:after="0"/>
              <w:jc w:val="right"/>
            </w:pPr>
          </w:p>
        </w:tc>
      </w:tr>
    </w:tbl>
    <w:p w14:paraId="1E71EBD7">
      <w:pPr>
        <w:ind w:firstLine="420"/>
        <w:jc w:val="both"/>
      </w:pPr>
      <w:r>
        <w:t>常规截断基线将师生概率分别限制在教师支持集内归一化，见式（4-18）。TA-OPD 在该集合外设置尾部类别[31]，是本课题的直接方法基线。候选方案在此基础上增加学生高概率的合法决策 token；补入坐标与尾部总量分别接受监督，并通过消融分析各自的作用。</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CF70D08">
        <w:trPr>
          <w:cantSplit/>
          <w:jc w:val="center"/>
        </w:trPr>
        <w:tc>
          <w:tcPr>
            <w:tcW w:w="650" w:type="dxa"/>
            <w:tcMar>
              <w:top w:w="0" w:type="dxa"/>
              <w:left w:w="0" w:type="dxa"/>
              <w:bottom w:w="0" w:type="dxa"/>
              <w:right w:w="0" w:type="dxa"/>
            </w:tcMar>
            <w:vAlign w:val="center"/>
          </w:tcPr>
          <w:p w14:paraId="042B969B">
            <w:pPr>
              <w:spacing w:before="0" w:after="0"/>
              <w:jc w:val="left"/>
            </w:pPr>
          </w:p>
        </w:tc>
        <w:tc>
          <w:tcPr>
            <w:tcW w:w="7006" w:type="dxa"/>
            <w:tcMar>
              <w:top w:w="0" w:type="dxa"/>
              <w:left w:w="0" w:type="dxa"/>
              <w:bottom w:w="0" w:type="dxa"/>
              <w:right w:w="0" w:type="dxa"/>
            </w:tcMar>
            <w:vAlign w:val="center"/>
          </w:tcPr>
          <w:p w14:paraId="169B8FF7">
            <w:pPr>
              <w:spacing w:before="0" w:after="0"/>
              <w:jc w:val="center"/>
              <w:rPr>
                <w:rFonts w:hint="default"/>
                <w:lang w:val="en-US"/>
              </w:rPr>
            </w:pPr>
            <m:oMathPara>
              <m:oMath>
                <m:sSub>
                  <m:sSubPr/>
                  <m:e>
                    <m:acc>
                      <m:accPr>
                        <m:chr m:val="̃"/>
                      </m:accPr>
                      <m:e>
                        <m:r>
                          <m:rPr/>
                          <m:t>p</m:t>
                        </m:r>
                      </m:e>
                    </m:acc>
                  </m:e>
                  <m:sub>
                    <m:r>
                      <m:rPr/>
                      <m:t>T</m:t>
                    </m:r>
                    <m:r>
                      <m:rPr>
                        <m:sty m:val="p"/>
                      </m:rPr>
                      <m:t>,</m:t>
                    </m:r>
                    <m:r>
                      <m:rPr/>
                      <m:t>t</m:t>
                    </m:r>
                  </m:sub>
                </m:sSub>
                <m:r>
                  <m:rPr>
                    <m:sty m:val="p"/>
                  </m:rPr>
                  <m:t>(</m:t>
                </m:r>
                <m:r>
                  <m:rPr/>
                  <m:t>v</m:t>
                </m:r>
                <m:r>
                  <m:rPr>
                    <m:sty m:val="p"/>
                  </m:rPr>
                  <m:t>)=</m:t>
                </m:r>
                <m:f>
                  <m:fPr/>
                  <m:num>
                    <m:sSub>
                      <m:sSubPr/>
                      <m:e>
                        <m:r>
                          <m:rPr/>
                          <m:t>p</m:t>
                        </m:r>
                      </m:e>
                      <m:sub>
                        <m:r>
                          <m:rPr/>
                          <m:t>T</m:t>
                        </m:r>
                        <m:r>
                          <m:rPr>
                            <m:sty m:val="p"/>
                          </m:rPr>
                          <m:t>,</m:t>
                        </m:r>
                        <m:r>
                          <m:rPr/>
                          <m:t>t</m:t>
                        </m:r>
                      </m:sub>
                    </m:sSub>
                    <m:r>
                      <m:rPr>
                        <m:sty m:val="p"/>
                      </m:rPr>
                      <m:t>(</m:t>
                    </m:r>
                    <m:r>
                      <m:rPr/>
                      <m:t>v</m:t>
                    </m:r>
                    <m:r>
                      <m:rPr>
                        <m:sty m:val="p"/>
                      </m:rPr>
                      <m:t>)</m:t>
                    </m:r>
                  </m:num>
                  <m:den>
                    <m:sSub>
                      <m:sSubPr/>
                      <m:e>
                        <m:r>
                          <m:rPr/>
                          <m:t>Z</m:t>
                        </m:r>
                      </m:e>
                      <m:sub>
                        <m:r>
                          <m:rPr/>
                          <m:t>T</m:t>
                        </m:r>
                        <m:r>
                          <m:rPr>
                            <m:sty m:val="p"/>
                          </m:rPr>
                          <m:t>,</m:t>
                        </m:r>
                        <m:r>
                          <m:rPr/>
                          <m:t>t</m:t>
                        </m:r>
                      </m:sub>
                    </m:sSub>
                  </m:den>
                </m:f>
                <m:r>
                  <m:rPr>
                    <m:sty m:val="p"/>
                  </m:rPr>
                  <w:rPr>
                    <w:rFonts w:hint="default"/>
                    <w:lang w:val="en-US"/>
                  </w:rPr>
                  <m:t>,</m:t>
                </m:r>
                <m:r>
                  <m:rPr/>
                  <m:t>v</m:t>
                </m:r>
                <m:r>
                  <m:rPr>
                    <m:sty m:val="p"/>
                  </m:rPr>
                  <m:t>∈</m:t>
                </m:r>
                <m:sSub>
                  <m:sSubPr/>
                  <m:e>
                    <m:r>
                      <m:rPr>
                        <m:sty m:val="p"/>
                        <m:scr m:val="script"/>
                      </m:rPr>
                      <m:t>S</m:t>
                    </m:r>
                  </m:e>
                  <m:sub>
                    <m:r>
                      <m:rPr/>
                      <m:t>K</m:t>
                    </m:r>
                    <m:r>
                      <m:rPr>
                        <m:sty m:val="p"/>
                      </m:rPr>
                      <m:t>,</m:t>
                    </m:r>
                    <m:r>
                      <m:rPr/>
                      <m:t>t</m:t>
                    </m:r>
                  </m:sub>
                </m:sSub>
              </m:oMath>
            </m:oMathPara>
          </w:p>
        </w:tc>
        <w:tc>
          <w:tcPr>
            <w:tcW w:w="650" w:type="dxa"/>
            <w:tcMar>
              <w:top w:w="0" w:type="dxa"/>
              <w:left w:w="0" w:type="dxa"/>
              <w:bottom w:w="0" w:type="dxa"/>
              <w:right w:w="0" w:type="dxa"/>
            </w:tcMar>
            <w:vAlign w:val="center"/>
          </w:tcPr>
          <w:p w14:paraId="570F6FE6">
            <w:pPr>
              <w:spacing w:before="0" w:after="0"/>
              <w:jc w:val="right"/>
            </w:pPr>
            <w:bookmarkStart w:id="49" w:name="_RefEq4_26"/>
            <w:r>
              <w:t>(4-</w:t>
            </w:r>
            <w:r>
              <w:fldChar w:fldCharType="begin"/>
            </w:r>
            <w:r>
              <w:instrText xml:space="preserve"> SEQ Eq4 \* ARABIC </w:instrText>
            </w:r>
            <w:r>
              <w:fldChar w:fldCharType="separate"/>
            </w:r>
            <w:r>
              <w:t>18</w:t>
            </w:r>
            <w:r>
              <w:fldChar w:fldCharType="end"/>
            </w:r>
            <w:r>
              <w:t>)</w:t>
            </w:r>
            <w:bookmarkEnd w:id="49"/>
          </w:p>
        </w:tc>
      </w:tr>
      <w:tr w14:paraId="2A993CC4">
        <w:trPr>
          <w:cantSplit/>
          <w:jc w:val="center"/>
        </w:trPr>
        <w:tc>
          <w:tcPr>
            <w:tcW w:w="650" w:type="dxa"/>
            <w:tcMar>
              <w:top w:w="0" w:type="dxa"/>
              <w:left w:w="0" w:type="dxa"/>
              <w:bottom w:w="0" w:type="dxa"/>
              <w:right w:w="0" w:type="dxa"/>
            </w:tcMar>
            <w:vAlign w:val="center"/>
          </w:tcPr>
          <w:p w14:paraId="238FD7B2">
            <w:pPr>
              <w:spacing w:before="0" w:after="0"/>
              <w:jc w:val="left"/>
            </w:pPr>
          </w:p>
        </w:tc>
        <w:tc>
          <w:tcPr>
            <w:tcW w:w="7006" w:type="dxa"/>
            <w:tcMar>
              <w:top w:w="0" w:type="dxa"/>
              <w:left w:w="0" w:type="dxa"/>
              <w:bottom w:w="0" w:type="dxa"/>
              <w:right w:w="0" w:type="dxa"/>
            </w:tcMar>
            <w:vAlign w:val="center"/>
          </w:tcPr>
          <w:p w14:paraId="2BA3E32A">
            <w:pPr>
              <w:spacing w:before="0" w:after="0"/>
              <w:jc w:val="center"/>
              <w:rPr>
                <w:rFonts w:hint="default"/>
                <w:lang w:val="en-US"/>
              </w:rPr>
            </w:pPr>
            <m:oMathPara>
              <m:oMath>
                <m:sSub>
                  <m:sSubPr/>
                  <m:e>
                    <m:acc>
                      <m:accPr>
                        <m:chr m:val="̃"/>
                      </m:accPr>
                      <m:e>
                        <m:r>
                          <m:rPr/>
                          <m:t>p</m:t>
                        </m:r>
                      </m:e>
                    </m:acc>
                  </m:e>
                  <m:sub>
                    <m:r>
                      <m:rPr/>
                      <m:t>S</m:t>
                    </m:r>
                    <m:r>
                      <m:rPr>
                        <m:sty m:val="p"/>
                      </m:rPr>
                      <m:t>,</m:t>
                    </m:r>
                    <m:r>
                      <m:rPr/>
                      <m:t>t</m:t>
                    </m:r>
                  </m:sub>
                </m:sSub>
                <m:r>
                  <m:rPr>
                    <m:sty m:val="p"/>
                  </m:rPr>
                  <m:t>(</m:t>
                </m:r>
                <m:r>
                  <m:rPr/>
                  <m:t>v</m:t>
                </m:r>
                <m:r>
                  <m:rPr>
                    <m:sty m:val="p"/>
                  </m:rPr>
                  <m:t>)=</m:t>
                </m:r>
                <m:f>
                  <m:fPr/>
                  <m:num>
                    <m:sSub>
                      <m:sSubPr/>
                      <m:e>
                        <m:r>
                          <m:rPr/>
                          <m:t>p</m:t>
                        </m:r>
                      </m:e>
                      <m:sub>
                        <m:r>
                          <m:rPr/>
                          <m:t>S</m:t>
                        </m:r>
                        <m:r>
                          <m:rPr>
                            <m:sty m:val="p"/>
                          </m:rPr>
                          <m:t>,</m:t>
                        </m:r>
                        <m:r>
                          <m:rPr/>
                          <m:t>t</m:t>
                        </m:r>
                      </m:sub>
                    </m:sSub>
                    <m:r>
                      <m:rPr>
                        <m:sty m:val="p"/>
                      </m:rPr>
                      <m:t>(</m:t>
                    </m:r>
                    <m:r>
                      <m:rPr/>
                      <m:t>v</m:t>
                    </m:r>
                    <m:r>
                      <m:rPr>
                        <m:sty m:val="p"/>
                      </m:rPr>
                      <m:t>)</m:t>
                    </m:r>
                  </m:num>
                  <m:den>
                    <m:sSub>
                      <m:sSubPr/>
                      <m:e>
                        <m:r>
                          <m:rPr/>
                          <m:t>Z</m:t>
                        </m:r>
                      </m:e>
                      <m:sub>
                        <m:r>
                          <m:rPr/>
                          <m:t>S</m:t>
                        </m:r>
                        <m:r>
                          <m:rPr>
                            <m:sty m:val="p"/>
                          </m:rPr>
                          <m:t>,</m:t>
                        </m:r>
                        <m:r>
                          <m:rPr/>
                          <m:t>t</m:t>
                        </m:r>
                      </m:sub>
                    </m:sSub>
                  </m:den>
                </m:f>
                <m:r>
                  <m:rPr>
                    <m:sty m:val="p"/>
                  </m:rPr>
                  <w:rPr>
                    <w:rFonts w:hint="default"/>
                    <w:lang w:val="en-US"/>
                  </w:rPr>
                  <m:t>,</m:t>
                </m:r>
                <m:r>
                  <m:rPr/>
                  <m:t>v</m:t>
                </m:r>
                <m:r>
                  <m:rPr>
                    <m:sty m:val="p"/>
                  </m:rPr>
                  <m:t>∈</m:t>
                </m:r>
                <m:sSub>
                  <m:sSubPr/>
                  <m:e>
                    <m:r>
                      <m:rPr>
                        <m:sty m:val="p"/>
                        <m:scr m:val="script"/>
                      </m:rPr>
                      <m:t>S</m:t>
                    </m:r>
                  </m:e>
                  <m:sub>
                    <m:r>
                      <m:rPr/>
                      <m:t>K</m:t>
                    </m:r>
                    <m:r>
                      <m:rPr>
                        <m:sty m:val="p"/>
                      </m:rPr>
                      <m:t>,</m:t>
                    </m:r>
                    <m:r>
                      <m:rPr/>
                      <m:t>t</m:t>
                    </m:r>
                  </m:sub>
                </m:sSub>
              </m:oMath>
            </m:oMathPara>
          </w:p>
        </w:tc>
        <w:tc>
          <w:tcPr>
            <w:tcW w:w="650" w:type="dxa"/>
            <w:tcMar>
              <w:top w:w="0" w:type="dxa"/>
              <w:left w:w="0" w:type="dxa"/>
              <w:bottom w:w="0" w:type="dxa"/>
              <w:right w:w="0" w:type="dxa"/>
            </w:tcMar>
            <w:vAlign w:val="center"/>
          </w:tcPr>
          <w:p w14:paraId="5A7200DC">
            <w:pPr>
              <w:spacing w:before="0" w:after="0"/>
              <w:jc w:val="right"/>
              <w:rPr>
                <w:rFonts w:hint="default"/>
                <w:lang w:val="en-US"/>
              </w:rPr>
            </w:pPr>
          </w:p>
        </w:tc>
      </w:tr>
    </w:tbl>
    <w:p w14:paraId="15691AA2">
      <w:pPr>
        <w:ind w:firstLine="420"/>
        <w:jc w:val="both"/>
      </w:pPr>
      <w:r>
        <w:t xml:space="preserve">由 schema 确定且未进入教师 Top-K 的合法决策 token 组成候选集合 </w:t>
      </w:r>
      <m:oMath>
        <m:sSubSup>
          <m:sSubSupPr/>
          <m:e>
            <m:r>
              <m:rPr/>
              <m:t>V</m:t>
            </m:r>
          </m:e>
          <m:sub>
            <m:r>
              <m:rPr/>
              <m:t>t</m:t>
            </m:r>
          </m:sub>
          <m:sup>
            <m:r>
              <m:rPr>
                <m:sty m:val="p"/>
              </m:rPr>
              <m:t>dec</m:t>
            </m:r>
          </m:sup>
        </m:sSubSup>
      </m:oMath>
      <w:r>
        <w:t>。式（4-17）中的 K 随位置调整；从候选集合选出学生高概率 token，与教师支持集取并集：</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227B2EA4">
        <w:trPr>
          <w:cantSplit/>
          <w:jc w:val="center"/>
        </w:trPr>
        <w:tc>
          <w:tcPr>
            <w:tcW w:w="650" w:type="dxa"/>
            <w:tcMar>
              <w:top w:w="0" w:type="dxa"/>
              <w:left w:w="0" w:type="dxa"/>
              <w:bottom w:w="0" w:type="dxa"/>
              <w:right w:w="0" w:type="dxa"/>
            </w:tcMar>
            <w:vAlign w:val="center"/>
          </w:tcPr>
          <w:p w14:paraId="E825052D">
            <w:pPr>
              <w:spacing w:before="0" w:after="0"/>
              <w:jc w:val="left"/>
            </w:pPr>
          </w:p>
        </w:tc>
        <w:tc>
          <w:tcPr>
            <w:tcW w:w="7006" w:type="dxa"/>
            <w:tcMar>
              <w:top w:w="0" w:type="dxa"/>
              <w:left w:w="0" w:type="dxa"/>
              <w:bottom w:w="0" w:type="dxa"/>
              <w:right w:w="0" w:type="dxa"/>
            </w:tcMar>
            <w:vAlign w:val="center"/>
          </w:tcPr>
          <w:p w14:paraId="529C5DE6">
            <w:pPr>
              <w:spacing w:before="0" w:after="0"/>
              <w:jc w:val="center"/>
              <w:rPr>
                <w:rFonts w:hint="default"/>
                <w:lang w:val="en-US"/>
              </w:rPr>
            </w:pPr>
            <m:oMathPara>
              <m:oMath>
                <m:sSub>
                  <m:sSubPr/>
                  <m:e>
                    <m:r>
                      <m:rPr/>
                      <m:t>C</m:t>
                    </m:r>
                  </m:e>
                  <m:sub>
                    <m:r>
                      <m:rPr/>
                      <m:t>t</m:t>
                    </m:r>
                  </m:sub>
                </m:sSub>
                <m:r>
                  <m:rPr>
                    <m:sty m:val="p"/>
                  </m:rPr>
                  <m:t>=</m:t>
                </m:r>
                <m:sSub>
                  <m:sSubPr/>
                  <m:e>
                    <m:r>
                      <m:rPr>
                        <m:sty m:val="p"/>
                      </m:rPr>
                      <m:t>Top</m:t>
                    </m:r>
                  </m:e>
                  <m:sub>
                    <m:sSub>
                      <m:sSubPr/>
                      <m:e>
                        <m:r>
                          <m:rPr/>
                          <m:t>b</m:t>
                        </m:r>
                      </m:e>
                      <m:sub>
                        <m:r>
                          <m:rPr/>
                          <m:t>t</m:t>
                        </m:r>
                      </m:sub>
                    </m:sSub>
                  </m:sub>
                </m:sSub>
                <m:r>
                  <m:rPr>
                    <m:sty m:val="p"/>
                  </m:rPr>
                  <m:t>(</m:t>
                </m:r>
                <m:sSub>
                  <m:sSubPr/>
                  <m:e>
                    <m:r>
                      <m:rPr/>
                      <m:t>p</m:t>
                    </m:r>
                  </m:e>
                  <m:sub>
                    <m:r>
                      <m:rPr/>
                      <m:t>S</m:t>
                    </m:r>
                    <m:r>
                      <m:rPr>
                        <m:sty m:val="p"/>
                      </m:rPr>
                      <m:t>,</m:t>
                    </m:r>
                    <m:r>
                      <m:rPr/>
                      <m:t>t</m:t>
                    </m:r>
                  </m:sub>
                </m:sSub>
                <m:r>
                  <m:rPr>
                    <m:sty m:val="p"/>
                  </m:rPr>
                  <m:t>;</m:t>
                </m:r>
                <m:sSubSup>
                  <m:sSubSupPr/>
                  <m:e>
                    <m:r>
                      <m:rPr/>
                      <m:t>V</m:t>
                    </m:r>
                  </m:e>
                  <m:sub>
                    <m:r>
                      <m:rPr/>
                      <m:t>t</m:t>
                    </m:r>
                  </m:sub>
                  <m:sup>
                    <m:r>
                      <m:rPr>
                        <m:sty m:val="p"/>
                      </m:rPr>
                      <m:t>dec</m:t>
                    </m:r>
                  </m:sup>
                </m:sSubSup>
                <m:r>
                  <m:rPr>
                    <m:sty m:val="p"/>
                  </m:rPr>
                  <m:t>),</m:t>
                </m:r>
                <m:r>
                  <m:rPr/>
                  <m:t>  </m:t>
                </m:r>
                <m:sSub>
                  <m:sSubPr/>
                  <m:e>
                    <m:r>
                      <m:rPr/>
                      <m:t>A</m:t>
                    </m:r>
                  </m:e>
                  <m:sub>
                    <m:r>
                      <m:rPr/>
                      <m:t>t</m:t>
                    </m:r>
                  </m:sub>
                </m:sSub>
                <m:r>
                  <m:rPr>
                    <m:sty m:val="p"/>
                  </m:rPr>
                  <m:t>=</m:t>
                </m:r>
                <m:sSub>
                  <m:sSubPr/>
                  <m:e>
                    <m:r>
                      <m:rPr/>
                      <m:t>S</m:t>
                    </m:r>
                  </m:e>
                  <m:sub>
                    <m:sSub>
                      <m:sSubPr/>
                      <m:e>
                        <m:r>
                          <m:rPr/>
                          <m:t>K</m:t>
                        </m:r>
                      </m:e>
                      <m:sub>
                        <m:r>
                          <m:rPr/>
                          <m:t>t</m:t>
                        </m:r>
                      </m:sub>
                    </m:sSub>
                    <m:r>
                      <m:rPr>
                        <m:sty m:val="p"/>
                      </m:rPr>
                      <m:t>,</m:t>
                    </m:r>
                    <m:r>
                      <m:rPr/>
                      <m:t>t</m:t>
                    </m:r>
                  </m:sub>
                </m:sSub>
                <m:r>
                  <m:rPr>
                    <m:sty m:val="p"/>
                  </m:rPr>
                  <m:t>∪</m:t>
                </m:r>
                <m:sSub>
                  <m:sSubPr/>
                  <m:e>
                    <m:r>
                      <m:rPr/>
                      <m:t>C</m:t>
                    </m:r>
                  </m:e>
                  <m:sub>
                    <m:r>
                      <m:rPr/>
                      <m:t>t</m:t>
                    </m:r>
                  </m:sub>
                </m:sSub>
                <m:r>
                  <m:rPr>
                    <m:sty m:val="p"/>
                  </m:rPr>
                  <m:t>.</m:t>
                </m:r>
              </m:oMath>
            </m:oMathPara>
          </w:p>
        </w:tc>
        <w:tc>
          <w:tcPr>
            <w:tcW w:w="650" w:type="dxa"/>
            <w:tcMar>
              <w:top w:w="0" w:type="dxa"/>
              <w:left w:w="0" w:type="dxa"/>
              <w:bottom w:w="0" w:type="dxa"/>
              <w:right w:w="0" w:type="dxa"/>
            </w:tcMar>
            <w:vAlign w:val="center"/>
          </w:tcPr>
          <w:p w14:paraId="56DD5B5E">
            <w:pPr>
              <w:spacing w:before="0" w:after="0"/>
              <w:jc w:val="right"/>
            </w:pPr>
            <w:bookmarkStart w:id="50" w:name="_RefEq4_41"/>
            <w:r>
              <w:t>(4-</w:t>
            </w:r>
            <w:r>
              <w:fldChar w:fldCharType="begin"/>
            </w:r>
            <w:r>
              <w:instrText xml:space="preserve"> SEQ Eq4 \* ARABIC </w:instrText>
            </w:r>
            <w:r>
              <w:fldChar w:fldCharType="separate"/>
            </w:r>
            <w:r>
              <w:t>19</w:t>
            </w:r>
            <w:r>
              <w:fldChar w:fldCharType="end"/>
            </w:r>
            <w:r>
              <w:t>)</w:t>
            </w:r>
            <w:bookmarkEnd w:id="50"/>
          </w:p>
        </w:tc>
      </w:tr>
    </w:tbl>
    <w:p w14:paraId="68F1FDC4">
      <w:pPr>
        <w:ind w:firstLine="420"/>
        <w:jc w:val="both"/>
      </w:pPr>
      <w:r>
        <w:t>式（4-19）的 Top 算子按学生概率选择候选，额外名额依据位置风险分配；名额为零或候选集合为空时，补入集合为空。教师对补入 token 的概率须通过可靠接口或本地前向计算取得。稀疏实验沿用已确定的监督位置及散度权重；如权重所需的欠覆盖量无法由当前反馈恢复，应在粗粒度支持集上重新定义可计算的代理量，并与完整词表权重分开报告。对扩展后的同一支持集，师生各保留显式 token 的原始概率，并将其余概率并入尾部类别：</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5153211C">
        <w:trPr>
          <w:cantSplit/>
          <w:jc w:val="center"/>
        </w:trPr>
        <w:tc>
          <w:tcPr>
            <w:tcW w:w="650" w:type="dxa"/>
            <w:tcMar>
              <w:top w:w="0" w:type="dxa"/>
              <w:left w:w="0" w:type="dxa"/>
              <w:bottom w:w="0" w:type="dxa"/>
              <w:right w:w="0" w:type="dxa"/>
            </w:tcMar>
            <w:vAlign w:val="center"/>
          </w:tcPr>
          <w:p w14:paraId="9A7DEEC6">
            <w:pPr>
              <w:spacing w:before="0" w:after="0"/>
              <w:jc w:val="left"/>
            </w:pPr>
          </w:p>
        </w:tc>
        <w:tc>
          <w:tcPr>
            <w:tcW w:w="7006" w:type="dxa"/>
            <w:tcMar>
              <w:top w:w="0" w:type="dxa"/>
              <w:left w:w="0" w:type="dxa"/>
              <w:bottom w:w="0" w:type="dxa"/>
              <w:right w:w="0" w:type="dxa"/>
            </w:tcMar>
            <w:vAlign w:val="center"/>
          </w:tcPr>
          <w:p w14:paraId="D4AA01AD">
            <w:pPr>
              <w:spacing w:before="0" w:after="0"/>
              <w:jc w:val="center"/>
              <w:rPr>
                <w:rFonts w:hint="default"/>
                <w:lang w:val="en-US"/>
              </w:rPr>
            </w:pPr>
            <m:oMathPara>
              <m:oMath>
                <m:sSubSup>
                  <m:sSubSupPr/>
                  <m:e>
                    <m:r>
                      <m:rPr/>
                      <m:t>p</m:t>
                    </m:r>
                  </m:e>
                  <m:sub>
                    <m:r>
                      <m:rPr/>
                      <m:t>j</m:t>
                    </m:r>
                    <m:r>
                      <m:rPr>
                        <m:sty m:val="p"/>
                      </m:rPr>
                      <m:t>,</m:t>
                    </m:r>
                    <m:r>
                      <m:rPr/>
                      <m:t>t</m:t>
                    </m:r>
                  </m:sub>
                  <m:sup>
                    <m:sSub>
                      <m:sSubPr/>
                      <m:e>
                        <m:r>
                          <m:rPr/>
                          <m:t>A</m:t>
                        </m:r>
                      </m:e>
                      <m:sub>
                        <m:r>
                          <m:rPr/>
                          <m:t>t</m:t>
                        </m:r>
                      </m:sub>
                    </m:sSub>
                  </m:sup>
                </m:sSubSup>
                <m:r>
                  <m:rPr>
                    <m:sty m:val="p"/>
                  </m:rPr>
                  <m:t>=</m:t>
                </m:r>
                <m:d>
                  <m:dPr>
                    <m:sepChr m:val=""/>
                  </m:dPr>
                  <m:e>
                    <m:r>
                      <m:rPr>
                        <m:sty m:val="p"/>
                      </m:rPr>
                      <m:t>{</m:t>
                    </m:r>
                    <m:sSub>
                      <m:sSubPr/>
                      <m:e>
                        <m:r>
                          <m:rPr/>
                          <m:t>p</m:t>
                        </m:r>
                      </m:e>
                      <m:sub>
                        <m:r>
                          <m:rPr/>
                          <m:t>j</m:t>
                        </m:r>
                        <m:r>
                          <m:rPr>
                            <m:sty m:val="p"/>
                          </m:rPr>
                          <m:t>,</m:t>
                        </m:r>
                        <m:r>
                          <m:rPr/>
                          <m:t>t</m:t>
                        </m:r>
                      </m:sub>
                    </m:sSub>
                    <m:r>
                      <m:rPr>
                        <m:sty m:val="p"/>
                      </m:rPr>
                      <m:t>(</m:t>
                    </m:r>
                    <m:r>
                      <m:rPr/>
                      <m:t>v</m:t>
                    </m:r>
                    <m:r>
                      <m:rPr>
                        <m:sty m:val="p"/>
                      </m:rPr>
                      <m:t>)</m:t>
                    </m:r>
                    <m:sSub>
                      <m:sSubPr/>
                      <m:e>
                        <m:r>
                          <m:rPr>
                            <m:sty m:val="p"/>
                          </m:rPr>
                          <m:t>}</m:t>
                        </m:r>
                      </m:e>
                      <m:sub>
                        <m:r>
                          <m:rPr/>
                          <m:t>v</m:t>
                        </m:r>
                        <m:r>
                          <m:rPr>
                            <m:sty m:val="p"/>
                          </m:rPr>
                          <m:t>∈</m:t>
                        </m:r>
                        <m:sSub>
                          <m:sSubPr/>
                          <m:e>
                            <m:r>
                              <m:rPr/>
                              <m:t>A</m:t>
                            </m:r>
                          </m:e>
                          <m:sub>
                            <m:r>
                              <m:rPr/>
                              <m:t>t</m:t>
                            </m:r>
                          </m:sub>
                        </m:sSub>
                      </m:sub>
                    </m:sSub>
                    <m:r>
                      <m:rPr>
                        <m:sty m:val="p"/>
                      </m:rPr>
                      <m:t>,</m:t>
                    </m:r>
                    <m:r>
                      <m:rPr/>
                      <m:t> 1</m:t>
                    </m:r>
                    <m:r>
                      <m:rPr>
                        <m:sty m:val="p"/>
                      </m:rPr>
                      <m:t>−</m:t>
                    </m:r>
                    <m:nary>
                      <m:naryPr>
                        <m:chr m:val="∑"/>
                        <m:limLoc m:val="undOvr"/>
                        <m:supHide m:val="1"/>
                      </m:naryPr>
                      <m:sub>
                        <m:r>
                          <m:rPr/>
                          <m:t>v</m:t>
                        </m:r>
                        <m:r>
                          <m:rPr>
                            <m:sty m:val="p"/>
                          </m:rPr>
                          <m:t>∈</m:t>
                        </m:r>
                        <m:sSub>
                          <m:sSubPr/>
                          <m:e>
                            <m:r>
                              <m:rPr/>
                              <m:t>A</m:t>
                            </m:r>
                          </m:e>
                          <m:sub>
                            <m:r>
                              <m:rPr/>
                              <m:t>t</m:t>
                            </m:r>
                          </m:sub>
                        </m:sSub>
                      </m:sub>
                      <m:sup>
                        <m:r>
                          <m:rPr/>
                          <m:t>​</m:t>
                        </m:r>
                      </m:sup>
                      <m:e>
                        <m:sSub>
                          <m:sSubPr/>
                          <m:e>
                            <m:r>
                              <m:rPr/>
                              <m:t>p</m:t>
                            </m:r>
                          </m:e>
                          <m:sub>
                            <m:r>
                              <m:rPr/>
                              <m:t>j</m:t>
                            </m:r>
                            <m:r>
                              <m:rPr>
                                <m:sty m:val="p"/>
                              </m:rPr>
                              <m:t>,</m:t>
                            </m:r>
                            <m:r>
                              <m:rPr/>
                              <m:t>t</m:t>
                            </m:r>
                          </m:sub>
                        </m:sSub>
                      </m:e>
                    </m:nary>
                    <m:r>
                      <m:rPr>
                        <m:sty m:val="p"/>
                      </m:rPr>
                      <m:t>(</m:t>
                    </m:r>
                    <m:r>
                      <m:rPr/>
                      <m:t>v</m:t>
                    </m:r>
                    <m:r>
                      <m:rPr>
                        <m:sty m:val="p"/>
                      </m:rPr>
                      <m:t>)</m:t>
                    </m:r>
                  </m:e>
                </m:d>
                <m:r>
                  <m:rPr>
                    <m:sty m:val="p"/>
                  </m:rPr>
                  <m:t>,</m:t>
                </m:r>
                <m:r>
                  <m:rPr/>
                  <m:t>  j</m:t>
                </m:r>
                <m:r>
                  <m:rPr>
                    <m:sty m:val="p"/>
                  </m:rPr>
                  <m:t>∈{</m:t>
                </m:r>
                <m:r>
                  <m:rPr/>
                  <m:t>T</m:t>
                </m:r>
                <m:r>
                  <m:rPr>
                    <m:sty m:val="p"/>
                  </m:rPr>
                  <m:t>,</m:t>
                </m:r>
                <m:r>
                  <m:rPr/>
                  <m:t>S</m:t>
                </m:r>
                <m:r>
                  <m:rPr>
                    <m:sty m:val="p"/>
                  </m:rPr>
                  <m:t>}.</m:t>
                </m:r>
              </m:oMath>
            </m:oMathPara>
          </w:p>
        </w:tc>
        <w:tc>
          <w:tcPr>
            <w:tcW w:w="650" w:type="dxa"/>
            <w:tcMar>
              <w:top w:w="0" w:type="dxa"/>
              <w:left w:w="0" w:type="dxa"/>
              <w:bottom w:w="0" w:type="dxa"/>
              <w:right w:w="0" w:type="dxa"/>
            </w:tcMar>
            <w:vAlign w:val="center"/>
          </w:tcPr>
          <w:p w14:paraId="F8E9EACE">
            <w:pPr>
              <w:spacing w:before="0" w:after="0"/>
              <w:jc w:val="right"/>
            </w:pPr>
            <w:bookmarkStart w:id="51" w:name="_RefEq4_42"/>
            <w:r>
              <w:t>(4-</w:t>
            </w:r>
            <w:r>
              <w:fldChar w:fldCharType="begin"/>
            </w:r>
            <w:r>
              <w:instrText xml:space="preserve"> SEQ Eq4 \* ARABIC </w:instrText>
            </w:r>
            <w:r>
              <w:fldChar w:fldCharType="separate"/>
            </w:r>
            <w:r>
              <w:t>20</w:t>
            </w:r>
            <w:r>
              <w:fldChar w:fldCharType="end"/>
            </w:r>
            <w:r>
              <w:t>)</w:t>
            </w:r>
            <w:bookmarkEnd w:id="51"/>
          </w:p>
        </w:tc>
      </w:tr>
    </w:tbl>
    <w:p w14:paraId="CE78763B">
      <w:pPr>
        <w:ind w:firstLine="420"/>
        <w:jc w:val="both"/>
      </w:pPr>
      <w:r>
        <w:t>式（4-20）中的显式 token 按统一词表顺序排列，使师生粗粒度分布逐项对应；尾部类别仅表示剩余总量。将这两个分布代入式（4-2），即可在主要散度下训练学生。各组匹配平均显式候选数，补入 token 的教师评分另行计时；仅使用教师 Top-K 时，式（4-20）退化为已有的尾部类别基线[31]。</w:t>
      </w:r>
    </w:p>
    <w:p w14:paraId="718B00F7">
      <w:pPr>
        <w:ind w:firstLine="420"/>
        <w:jc w:val="both"/>
      </w:pPr>
      <w:r>
        <w:t>K1 sampled-token 使用从提议分布抽取的单个 token 估计词表求和，作为极低反馈量基线。下式给出 Forward KL 和 Reverse KL 对应的单样本重要性估计：</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0B9330FF">
        <w:trPr>
          <w:cantSplit/>
          <w:jc w:val="center"/>
        </w:trPr>
        <w:tc>
          <w:tcPr>
            <w:tcW w:w="650" w:type="dxa"/>
            <w:tcMar>
              <w:top w:w="0" w:type="dxa"/>
              <w:left w:w="0" w:type="dxa"/>
              <w:bottom w:w="0" w:type="dxa"/>
              <w:right w:w="0" w:type="dxa"/>
            </w:tcMar>
            <w:vAlign w:val="center"/>
          </w:tcPr>
          <w:p w14:paraId="5488FD29">
            <w:pPr>
              <w:spacing w:before="0" w:after="0"/>
              <w:jc w:val="left"/>
            </w:pPr>
          </w:p>
        </w:tc>
        <w:tc>
          <w:tcPr>
            <w:tcW w:w="7006" w:type="dxa"/>
            <w:tcMar>
              <w:top w:w="0" w:type="dxa"/>
              <w:left w:w="0" w:type="dxa"/>
              <w:bottom w:w="0" w:type="dxa"/>
              <w:right w:w="0" w:type="dxa"/>
            </w:tcMar>
            <w:vAlign w:val="center"/>
          </w:tcPr>
          <w:p w14:paraId="08848BCF">
            <w:pPr>
              <w:spacing w:before="0" w:after="0"/>
              <w:jc w:val="center"/>
              <w:rPr>
                <w:rFonts w:hint="default"/>
                <w:lang w:val="en-US"/>
              </w:rPr>
            </w:pPr>
            <m:oMathPara>
              <m:oMathParaPr>
                <m:jc m:val="center"/>
              </m:oMathParaPr>
              <m:oMath>
                <m:sSub>
                  <m:sSubPr/>
                  <m:e>
                    <m:acc>
                      <m:accPr/>
                      <m:e>
                        <m:r>
                          <m:rPr/>
                          <m:t>D</m:t>
                        </m:r>
                      </m:e>
                    </m:acc>
                  </m:e>
                  <m:sub>
                    <m:r>
                      <m:rPr>
                        <m:sty m:val="p"/>
                      </m:rPr>
                      <m:t>FKL</m:t>
                    </m:r>
                  </m:sub>
                </m:sSub>
                <m:r>
                  <m:rPr>
                    <m:sty m:val="p"/>
                  </m:rPr>
                  <m:t>=</m:t>
                </m:r>
                <m:f>
                  <m:fPr/>
                  <m:num>
                    <m:sSub>
                      <m:sSubPr/>
                      <m:e>
                        <m:r>
                          <m:rPr/>
                          <m:t>p</m:t>
                        </m:r>
                      </m:e>
                      <m:sub>
                        <m:r>
                          <m:rPr/>
                          <m:t>T</m:t>
                        </m:r>
                        <m:r>
                          <m:rPr>
                            <m:sty m:val="p"/>
                          </m:rPr>
                          <m:t>,</m:t>
                        </m:r>
                        <m:r>
                          <m:rPr/>
                          <m:t>t</m:t>
                        </m:r>
                      </m:sub>
                    </m:sSub>
                    <m:r>
                      <m:rPr>
                        <m:sty m:val="p"/>
                      </m:rPr>
                      <m:t>(</m:t>
                    </m:r>
                    <m:acc>
                      <m:accPr/>
                      <m:e>
                        <m:r>
                          <m:rPr/>
                          <m:t>v</m:t>
                        </m:r>
                      </m:e>
                    </m:acc>
                    <m:r>
                      <m:rPr>
                        <m:sty m:val="p"/>
                      </m:rPr>
                      <m:t>)</m:t>
                    </m:r>
                  </m:num>
                  <m:den>
                    <m:sSub>
                      <m:sSubPr/>
                      <m:e>
                        <m:r>
                          <m:rPr/>
                          <m:t>q</m:t>
                        </m:r>
                      </m:e>
                      <m:sub>
                        <m:r>
                          <m:rPr/>
                          <m:t>t</m:t>
                        </m:r>
                      </m:sub>
                    </m:sSub>
                    <m:r>
                      <m:rPr>
                        <m:sty m:val="p"/>
                      </m:rPr>
                      <m:t>(</m:t>
                    </m:r>
                    <m:acc>
                      <m:accPr/>
                      <m:e>
                        <m:r>
                          <m:rPr/>
                          <m:t>v</m:t>
                        </m:r>
                      </m:e>
                    </m:acc>
                    <m:r>
                      <m:rPr>
                        <m:sty m:val="p"/>
                      </m:rPr>
                      <m:t>)</m:t>
                    </m:r>
                  </m:den>
                </m:f>
                <m:r>
                  <m:rPr>
                    <m:sty m:val="p"/>
                  </m:rPr>
                  <m:t>log</m:t>
                </m:r>
                <m:f>
                  <m:fPr/>
                  <m:num>
                    <m:sSub>
                      <m:sSubPr/>
                      <m:e>
                        <m:r>
                          <m:rPr/>
                          <m:t>p</m:t>
                        </m:r>
                      </m:e>
                      <m:sub>
                        <m:r>
                          <m:rPr/>
                          <m:t>T</m:t>
                        </m:r>
                        <m:r>
                          <m:rPr>
                            <m:sty m:val="p"/>
                          </m:rPr>
                          <m:t>,</m:t>
                        </m:r>
                        <m:r>
                          <m:rPr/>
                          <m:t>t</m:t>
                        </m:r>
                      </m:sub>
                    </m:sSub>
                    <m:r>
                      <m:rPr>
                        <m:sty m:val="p"/>
                      </m:rPr>
                      <m:t>(</m:t>
                    </m:r>
                    <m:acc>
                      <m:accPr/>
                      <m:e>
                        <m:r>
                          <m:rPr/>
                          <m:t>v</m:t>
                        </m:r>
                      </m:e>
                    </m:acc>
                    <m:r>
                      <m:rPr>
                        <m:sty m:val="p"/>
                      </m:rPr>
                      <m:t>)</m:t>
                    </m:r>
                  </m:num>
                  <m:den>
                    <m:sSub>
                      <m:sSubPr/>
                      <m:e>
                        <m:r>
                          <m:rPr/>
                          <m:t>p</m:t>
                        </m:r>
                      </m:e>
                      <m:sub>
                        <m:r>
                          <m:rPr/>
                          <m:t>S</m:t>
                        </m:r>
                        <m:r>
                          <m:rPr>
                            <m:sty m:val="p"/>
                          </m:rPr>
                          <m:t>,</m:t>
                        </m:r>
                        <m:r>
                          <m:rPr/>
                          <m:t>t</m:t>
                        </m:r>
                      </m:sub>
                    </m:sSub>
                    <m:r>
                      <m:rPr>
                        <m:sty m:val="p"/>
                      </m:rPr>
                      <m:t>(</m:t>
                    </m:r>
                    <m:acc>
                      <m:accPr/>
                      <m:e>
                        <m:r>
                          <m:rPr/>
                          <m:t>v</m:t>
                        </m:r>
                      </m:e>
                    </m:acc>
                    <m:r>
                      <m:rPr>
                        <m:sty m:val="p"/>
                      </m:rPr>
                      <m:t>)</m:t>
                    </m:r>
                  </m:den>
                </m:f>
                <m:r>
                  <m:rPr>
                    <m:sty m:val="p"/>
                  </m:rPr>
                  <w:rPr>
                    <w:rFonts w:hint="default"/>
                    <w:lang w:val="en-US"/>
                  </w:rPr>
                  <m:t>,</m:t>
                </m:r>
                <m:acc>
                  <m:accPr/>
                  <m:e>
                    <m:r>
                      <m:rPr/>
                      <m:t>v</m:t>
                    </m:r>
                  </m:e>
                </m:acc>
                <m:r>
                  <m:rPr>
                    <m:sty m:val="p"/>
                  </m:rPr>
                  <m:t>∼</m:t>
                </m:r>
                <m:sSub>
                  <m:sSubPr/>
                  <m:e>
                    <m:r>
                      <m:rPr/>
                      <m:t>q</m:t>
                    </m:r>
                  </m:e>
                  <m:sub>
                    <m:r>
                      <m:rPr/>
                      <m:t>t</m:t>
                    </m:r>
                  </m:sub>
                </m:sSub>
              </m:oMath>
            </m:oMathPara>
          </w:p>
        </w:tc>
        <w:tc>
          <w:tcPr>
            <w:tcW w:w="650" w:type="dxa"/>
            <w:tcMar>
              <w:top w:w="0" w:type="dxa"/>
              <w:left w:w="0" w:type="dxa"/>
              <w:bottom w:w="0" w:type="dxa"/>
              <w:right w:w="0" w:type="dxa"/>
            </w:tcMar>
            <w:vAlign w:val="center"/>
          </w:tcPr>
          <w:p w14:paraId="4AFCBB51">
            <w:pPr>
              <w:spacing w:before="0" w:after="0"/>
              <w:jc w:val="right"/>
            </w:pPr>
            <w:bookmarkStart w:id="52" w:name="_RefEq4_29"/>
            <w:r>
              <w:t>(4-</w:t>
            </w:r>
            <w:r>
              <w:fldChar w:fldCharType="begin"/>
            </w:r>
            <w:r>
              <w:instrText xml:space="preserve"> SEQ Eq4 \* ARABIC </w:instrText>
            </w:r>
            <w:r>
              <w:fldChar w:fldCharType="separate"/>
            </w:r>
            <w:r>
              <w:t>21</w:t>
            </w:r>
            <w:r>
              <w:fldChar w:fldCharType="end"/>
            </w:r>
            <w:r>
              <w:t>)</w:t>
            </w:r>
            <w:bookmarkEnd w:id="52"/>
          </w:p>
        </w:tc>
      </w:tr>
      <w:tr w14:paraId="60555149">
        <w:trPr>
          <w:cantSplit/>
          <w:jc w:val="center"/>
        </w:trPr>
        <w:tc>
          <w:tcPr>
            <w:tcW w:w="650" w:type="dxa"/>
            <w:tcMar>
              <w:top w:w="0" w:type="dxa"/>
              <w:left w:w="0" w:type="dxa"/>
              <w:bottom w:w="0" w:type="dxa"/>
              <w:right w:w="0" w:type="dxa"/>
            </w:tcMar>
            <w:vAlign w:val="center"/>
          </w:tcPr>
          <w:p w14:paraId="5F689192">
            <w:pPr>
              <w:spacing w:before="0" w:after="0"/>
              <w:jc w:val="left"/>
            </w:pPr>
          </w:p>
        </w:tc>
        <w:tc>
          <w:tcPr>
            <w:tcW w:w="7006" w:type="dxa"/>
            <w:tcMar>
              <w:top w:w="0" w:type="dxa"/>
              <w:left w:w="0" w:type="dxa"/>
              <w:bottom w:w="0" w:type="dxa"/>
              <w:right w:w="0" w:type="dxa"/>
            </w:tcMar>
            <w:vAlign w:val="center"/>
          </w:tcPr>
          <w:p w14:paraId="15E5ADDD">
            <w:pPr>
              <w:spacing w:before="0" w:after="0"/>
              <w:jc w:val="center"/>
              <w:rPr>
                <w:rFonts w:hint="default"/>
                <w:lang w:val="en-US"/>
              </w:rPr>
            </w:pPr>
            <m:oMathPara>
              <m:oMathParaPr>
                <m:jc m:val="center"/>
              </m:oMathParaPr>
              <m:oMath>
                <m:sSub>
                  <m:sSubPr/>
                  <m:e>
                    <m:acc>
                      <m:accPr/>
                      <m:e>
                        <m:r>
                          <m:rPr/>
                          <m:t>D</m:t>
                        </m:r>
                      </m:e>
                    </m:acc>
                  </m:e>
                  <m:sub>
                    <m:r>
                      <m:rPr>
                        <m:sty m:val="p"/>
                      </m:rPr>
                      <m:t>RKL</m:t>
                    </m:r>
                  </m:sub>
                </m:sSub>
                <m:r>
                  <m:rPr>
                    <m:sty m:val="p"/>
                  </m:rPr>
                  <m:t>=</m:t>
                </m:r>
                <m:f>
                  <m:fPr/>
                  <m:num>
                    <m:sSub>
                      <m:sSubPr/>
                      <m:e>
                        <m:r>
                          <m:rPr/>
                          <m:t>p</m:t>
                        </m:r>
                      </m:e>
                      <m:sub>
                        <m:r>
                          <m:rPr/>
                          <m:t>S</m:t>
                        </m:r>
                        <m:r>
                          <m:rPr>
                            <m:sty m:val="p"/>
                          </m:rPr>
                          <m:t>,</m:t>
                        </m:r>
                        <m:r>
                          <m:rPr/>
                          <m:t>t</m:t>
                        </m:r>
                      </m:sub>
                    </m:sSub>
                    <m:r>
                      <m:rPr>
                        <m:sty m:val="p"/>
                      </m:rPr>
                      <m:t>(</m:t>
                    </m:r>
                    <m:acc>
                      <m:accPr/>
                      <m:e>
                        <m:r>
                          <m:rPr/>
                          <m:t>v</m:t>
                        </m:r>
                      </m:e>
                    </m:acc>
                    <m:r>
                      <m:rPr>
                        <m:sty m:val="p"/>
                      </m:rPr>
                      <m:t>)</m:t>
                    </m:r>
                  </m:num>
                  <m:den>
                    <m:sSub>
                      <m:sSubPr/>
                      <m:e>
                        <m:r>
                          <m:rPr/>
                          <m:t>q</m:t>
                        </m:r>
                      </m:e>
                      <m:sub>
                        <m:r>
                          <m:rPr/>
                          <m:t>t</m:t>
                        </m:r>
                      </m:sub>
                    </m:sSub>
                    <m:r>
                      <m:rPr>
                        <m:sty m:val="p"/>
                      </m:rPr>
                      <m:t>(</m:t>
                    </m:r>
                    <m:acc>
                      <m:accPr/>
                      <m:e>
                        <m:r>
                          <m:rPr/>
                          <m:t>v</m:t>
                        </m:r>
                      </m:e>
                    </m:acc>
                    <m:r>
                      <m:rPr>
                        <m:sty m:val="p"/>
                      </m:rPr>
                      <m:t>)</m:t>
                    </m:r>
                  </m:den>
                </m:f>
                <m:r>
                  <m:rPr>
                    <m:sty m:val="p"/>
                  </m:rPr>
                  <m:t>log</m:t>
                </m:r>
                <m:f>
                  <m:fPr/>
                  <m:num>
                    <m:sSub>
                      <m:sSubPr/>
                      <m:e>
                        <m:r>
                          <m:rPr/>
                          <m:t>p</m:t>
                        </m:r>
                      </m:e>
                      <m:sub>
                        <m:r>
                          <m:rPr/>
                          <m:t>S</m:t>
                        </m:r>
                        <m:r>
                          <m:rPr>
                            <m:sty m:val="p"/>
                          </m:rPr>
                          <m:t>,</m:t>
                        </m:r>
                        <m:r>
                          <m:rPr/>
                          <m:t>t</m:t>
                        </m:r>
                      </m:sub>
                    </m:sSub>
                    <m:r>
                      <m:rPr>
                        <m:sty m:val="p"/>
                      </m:rPr>
                      <m:t>(</m:t>
                    </m:r>
                    <m:acc>
                      <m:accPr/>
                      <m:e>
                        <m:r>
                          <m:rPr/>
                          <m:t>v</m:t>
                        </m:r>
                      </m:e>
                    </m:acc>
                    <m:r>
                      <m:rPr>
                        <m:sty m:val="p"/>
                      </m:rPr>
                      <m:t>)</m:t>
                    </m:r>
                  </m:num>
                  <m:den>
                    <m:sSub>
                      <m:sSubPr/>
                      <m:e>
                        <m:r>
                          <m:rPr/>
                          <m:t>p</m:t>
                        </m:r>
                      </m:e>
                      <m:sub>
                        <m:r>
                          <m:rPr/>
                          <m:t>T</m:t>
                        </m:r>
                        <m:r>
                          <m:rPr>
                            <m:sty m:val="p"/>
                          </m:rPr>
                          <m:t>,</m:t>
                        </m:r>
                        <m:r>
                          <m:rPr/>
                          <m:t>t</m:t>
                        </m:r>
                      </m:sub>
                    </m:sSub>
                    <m:r>
                      <m:rPr>
                        <m:sty m:val="p"/>
                      </m:rPr>
                      <m:t>(</m:t>
                    </m:r>
                    <m:acc>
                      <m:accPr/>
                      <m:e>
                        <m:r>
                          <m:rPr/>
                          <m:t>v</m:t>
                        </m:r>
                      </m:e>
                    </m:acc>
                    <m:r>
                      <m:rPr>
                        <m:sty m:val="p"/>
                      </m:rPr>
                      <m:t>)</m:t>
                    </m:r>
                  </m:den>
                </m:f>
                <m:r>
                  <m:rPr>
                    <m:sty m:val="p"/>
                  </m:rPr>
                  <w:rPr>
                    <w:rFonts w:hint="default"/>
                    <w:lang w:val="en-US"/>
                  </w:rPr>
                  <m:t>,</m:t>
                </m:r>
                <m:acc>
                  <m:accPr/>
                  <m:e>
                    <m:r>
                      <m:rPr/>
                      <m:t>v</m:t>
                    </m:r>
                  </m:e>
                </m:acc>
                <m:r>
                  <m:rPr>
                    <m:sty m:val="p"/>
                  </m:rPr>
                  <m:t>∼</m:t>
                </m:r>
                <m:sSub>
                  <m:sSubPr/>
                  <m:e>
                    <m:r>
                      <m:rPr/>
                      <m:t>q</m:t>
                    </m:r>
                  </m:e>
                  <m:sub>
                    <m:r>
                      <m:rPr/>
                      <m:t>t</m:t>
                    </m:r>
                  </m:sub>
                </m:sSub>
              </m:oMath>
            </m:oMathPara>
          </w:p>
        </w:tc>
        <w:tc>
          <w:tcPr>
            <w:tcW w:w="650" w:type="dxa"/>
            <w:tcMar>
              <w:top w:w="0" w:type="dxa"/>
              <w:left w:w="0" w:type="dxa"/>
              <w:bottom w:w="0" w:type="dxa"/>
              <w:right w:w="0" w:type="dxa"/>
            </w:tcMar>
            <w:vAlign w:val="center"/>
          </w:tcPr>
          <w:p w14:paraId="58B0A796">
            <w:pPr>
              <w:spacing w:before="0" w:after="0"/>
              <w:jc w:val="right"/>
            </w:pPr>
          </w:p>
        </w:tc>
      </w:tr>
    </w:tbl>
    <w:p w14:paraId="3D436604">
      <w:pPr>
        <w:ind w:firstLine="420"/>
        <w:jc w:val="both"/>
      </w:pPr>
      <w:r>
        <w:t>K1 的提议分布及随机种子均需记录，提议分布应覆盖被估计目标的支持集。位置风险在训练集诊断子集估计，质量阈值、候选名额和 K 上限由验证集确定，测试集只用于最终评价。额外教师概率查询、反馈字节数与教师前向时间分别计量。所有目标采用一致的数值稳定处理、有效位置归一化和有限值检查。</w:t>
      </w:r>
    </w:p>
    <w:p w14:paraId="264AD57D">
      <w:pPr>
        <w:pStyle w:val="3"/>
        <w:jc w:val="left"/>
      </w:pPr>
      <w:bookmarkStart w:id="53" w:name="_Toc534757053"/>
      <w:r>
        <w:rPr>
          <w:rFonts w:ascii="黑体" w:hAnsi="黑体" w:eastAsia="黑体" w:cs="黑体"/>
          <w:b/>
          <w:color w:val="000000"/>
          <w:sz w:val="24"/>
        </w:rPr>
        <w:t>4.5 统一测试系统的实现与评价指标</w:t>
      </w:r>
      <w:bookmarkEnd w:id="53"/>
    </w:p>
    <w:p w14:paraId="1E75A657">
      <w:pPr>
        <w:ind w:firstLine="420"/>
        <w:jc w:val="both"/>
      </w:pPr>
      <w:r>
        <w:t>统一测试系统以事件化轨迹记录连接数据审计、学生生成、同前缀教师反馈、目标计算、训练更新及调用评测。每条记录包含样本与工具 schema 标识、学生前缀和位置类别、教师与学生概率的来源、显式候选及尾部质量、目标配置、损失和梯度摘要、原始调用与解析结果。模型版本、tokenizer、消息模板、解码配置、随机种子、代码版本和环境与轨迹绑定，使任一图表可以追溯到原始记录。位置选择、散度目标、反馈表示与任务判定使用独立接口，接口间通过已验证的数据契约传递，而非在训练脚本中暗含条件分支。</w:t>
      </w:r>
    </w:p>
    <w:p w14:paraId="23EB28DE">
      <w:pPr>
        <w:ind w:firstLine="420"/>
        <w:jc w:val="both"/>
      </w:pPr>
      <w:r>
        <w:t>系统实施两条相互校验的实验路径。同前缀配对回放冻结轨迹、教师概率和样本顺序，只改变一个方法规则，比较有效位置、目标值、梯度及反馈量；该路径用于分析局部机制，不代表训练后的最终表现。闭环路径从同一学生检查点独立训练，按固定生成协议重新采样轨迹，在隔离测试集上评价工具调用。系统同时报告学生生成、教师前向、学生反向传播、反馈传输或存储的开销；对共享教师缓存与额外候选评分单独记账，防止把反馈稀疏误写成教师计算必然减少。</w:t>
      </w:r>
    </w:p>
    <w:p w14:paraId="5D446639">
      <w:pPr>
        <w:ind w:firstLine="420"/>
        <w:jc w:val="both"/>
      </w:pPr>
      <w:r>
        <w:t>系统本身以回放一致性、单变量替换隔离性、轨迹字段完整率、标准答案解析正确率和额外运行开销作为验收指标。方法评价对应前两项研究：联合方法的位置覆盖、散度梯度及工具调用错误，稀疏方法的尾部质量、决策候选覆盖与教师成本。任务和训练指标见表 4-3，系统验收指标另行保存；局部回放与闭环任务结果出现分歧时，沿状态、支持集和错误类别追踪原因，不把二者差值直接解释为某方法的因果效应。</w:t>
      </w:r>
    </w:p>
    <w:p w14:paraId="245845D3">
      <w:pPr>
        <w:ind w:firstLine="420"/>
        <w:jc w:val="both"/>
      </w:pPr>
    </w:p>
    <w:p w14:paraId="40DFDBB5">
      <w:pPr>
        <w:keepNext/>
        <w:spacing w:before="80" w:after="80" w:line="240" w:lineRule="auto"/>
        <w:ind w:left="0" w:right="0" w:firstLine="0"/>
        <w:jc w:val="center"/>
      </w:pPr>
      <w:r>
        <w:rPr>
          <w:rFonts w:ascii="Times New Roman" w:hAnsi="Times New Roman" w:eastAsia="Songti SC"/>
          <w:sz w:val="21"/>
        </w:rPr>
        <w:t xml:space="preserve">表 </w:t>
      </w:r>
      <w:bookmarkStart w:id="54" w:name="_RefTable4_3"/>
      <w:r>
        <w:rPr>
          <w:rFonts w:ascii="Times New Roman" w:hAnsi="Times New Roman" w:eastAsia="Songti SC"/>
          <w:sz w:val="21"/>
        </w:rPr>
        <w:t>4-</w:t>
      </w:r>
      <w:r>
        <w:rPr>
          <w:rFonts w:ascii="Times New Roman" w:hAnsi="Times New Roman" w:eastAsia="Songti SC"/>
          <w:sz w:val="21"/>
        </w:rPr>
        <w:fldChar w:fldCharType="begin"/>
      </w:r>
      <w:r>
        <w:rPr>
          <w:rFonts w:ascii="Times New Roman" w:hAnsi="Times New Roman" w:eastAsia="Songti SC"/>
          <w:sz w:val="21"/>
        </w:rPr>
        <w:instrText xml:space="preserve"> SEQ TableCh4 \* ARABIC </w:instrText>
      </w:r>
      <w:r>
        <w:rPr>
          <w:rFonts w:ascii="Times New Roman" w:hAnsi="Times New Roman" w:eastAsia="Songti SC"/>
          <w:sz w:val="21"/>
        </w:rPr>
        <w:fldChar w:fldCharType="separate"/>
      </w:r>
      <w:r>
        <w:rPr>
          <w:rFonts w:ascii="Times New Roman" w:hAnsi="Times New Roman" w:eastAsia="Songti SC"/>
          <w:sz w:val="21"/>
        </w:rPr>
        <w:t>3</w:t>
      </w:r>
      <w:r>
        <w:rPr>
          <w:rFonts w:ascii="Times New Roman" w:hAnsi="Times New Roman" w:eastAsia="Songti SC"/>
          <w:sz w:val="21"/>
        </w:rPr>
        <w:fldChar w:fldCharType="end"/>
      </w:r>
      <w:bookmarkEnd w:id="54"/>
      <w:r>
        <w:rPr>
          <w:rFonts w:ascii="Times New Roman" w:hAnsi="Times New Roman" w:eastAsia="Songti SC"/>
          <w:sz w:val="21"/>
        </w:rPr>
        <w:t xml:space="preserve">  评价指标体系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4BAA24E3">
        <w:trPr>
          <w:tblHeader/>
        </w:trPr>
        <w:tc>
          <w:tcPr>
            <w:tcW w:w="4148" w:type="dxa"/>
          </w:tcPr>
          <w:p w14:paraId="4A8E5867">
            <w:pPr>
              <w:ind w:firstLine="0"/>
              <w:jc w:val="left"/>
            </w:pPr>
            <w:r>
              <w:rPr>
                <w:b/>
              </w:rPr>
              <w:t>类别</w:t>
            </w:r>
          </w:p>
        </w:tc>
        <w:tc>
          <w:tcPr>
            <w:tcW w:w="4148" w:type="dxa"/>
          </w:tcPr>
          <w:p w14:paraId="16F921AE">
            <w:pPr>
              <w:ind w:firstLine="0"/>
              <w:jc w:val="left"/>
            </w:pPr>
            <w:r>
              <w:rPr>
                <w:b/>
              </w:rPr>
              <w:t>关注内容</w:t>
            </w:r>
          </w:p>
        </w:tc>
      </w:tr>
      <w:tr w14:paraId="31D6FC77">
        <w:tc>
          <w:tcPr>
            <w:tcW w:w="4148" w:type="dxa"/>
          </w:tcPr>
          <w:p w14:paraId="63B6EAB1">
            <w:pPr>
              <w:ind w:firstLine="0"/>
              <w:jc w:val="left"/>
            </w:pPr>
            <w:r>
              <w:t>核心任务效果</w:t>
            </w:r>
          </w:p>
        </w:tc>
        <w:tc>
          <w:tcPr>
            <w:tcW w:w="4148" w:type="dxa"/>
          </w:tcPr>
          <w:p w14:paraId="34B5B63E">
            <w:pPr>
              <w:ind w:firstLine="0"/>
              <w:jc w:val="left"/>
            </w:pPr>
            <w:r>
              <w:t>JSON／结构化格式合法性、函数名、参数键值、schema 通过率、调用执行成功率和端到端任务完成率</w:t>
            </w:r>
          </w:p>
        </w:tc>
      </w:tr>
      <w:tr w14:paraId="2CB808BD">
        <w:tc>
          <w:tcPr>
            <w:tcW w:w="4148" w:type="dxa"/>
          </w:tcPr>
          <w:p w14:paraId="3DAA5DB3">
            <w:pPr>
              <w:ind w:firstLine="0"/>
              <w:jc w:val="left"/>
            </w:pPr>
            <w:r>
              <w:t>核心稳定性与分布</w:t>
            </w:r>
          </w:p>
        </w:tc>
        <w:tc>
          <w:tcPr>
            <w:tcW w:w="4148" w:type="dxa"/>
          </w:tcPr>
          <w:p w14:paraId="57A77911">
            <w:pPr>
              <w:ind w:firstLine="0"/>
              <w:jc w:val="left"/>
            </w:pPr>
            <w:r>
              <w:t>蒸馏损失、熵变化、师生分布差异、Top-K overlap、支持集外概率、非法输出率和重复率</w:t>
            </w:r>
          </w:p>
        </w:tc>
      </w:tr>
      <w:tr w14:paraId="3B623E40">
        <w:tc>
          <w:tcPr>
            <w:tcW w:w="4148" w:type="dxa"/>
          </w:tcPr>
          <w:p w14:paraId="10FF9CC5">
            <w:pPr>
              <w:ind w:firstLine="0"/>
              <w:jc w:val="left"/>
            </w:pPr>
            <w:r>
              <w:t>核心训练资源</w:t>
            </w:r>
          </w:p>
        </w:tc>
        <w:tc>
          <w:tcPr>
            <w:tcW w:w="4148" w:type="dxa"/>
          </w:tcPr>
          <w:p w14:paraId="0E85455F">
            <w:pPr>
              <w:ind w:firstLine="0"/>
              <w:jc w:val="left"/>
            </w:pPr>
            <w:r>
              <w:t>教师反馈量、教师推理开销、学生 rollout 开销、训练时间和峰值显存</w:t>
            </w:r>
          </w:p>
        </w:tc>
      </w:tr>
      <w:tr w14:paraId="0EB55E25">
        <w:tc>
          <w:tcPr>
            <w:tcW w:w="4148" w:type="dxa"/>
          </w:tcPr>
          <w:p w14:paraId="5DA3D9BE">
            <w:pPr>
              <w:ind w:firstLine="0"/>
              <w:jc w:val="left"/>
            </w:pPr>
            <w:r>
              <w:t>扩展服务评测</w:t>
            </w:r>
          </w:p>
        </w:tc>
        <w:tc>
          <w:tcPr>
            <w:tcW w:w="4148" w:type="dxa"/>
          </w:tcPr>
          <w:p w14:paraId="557C7C13">
            <w:pPr>
              <w:ind w:firstLine="0"/>
              <w:jc w:val="left"/>
            </w:pPr>
            <w:r>
              <w:t>吞吐、首 token 延迟、完整响应延迟和端到端任务成功率</w:t>
            </w:r>
          </w:p>
        </w:tc>
      </w:tr>
      <w:tr>
        <w:tc>
          <w:tcPr>
            <w:tcW w:type="dxa" w:w="4148"/>
          </w:tcPr>
          <w:p>
            <w:r>
              <w:t>统一测试系统</w:t>
            </w:r>
          </w:p>
        </w:tc>
        <w:tc>
          <w:tcPr>
            <w:tcW w:type="dxa" w:w="4148"/>
          </w:tcPr>
          <w:p>
            <w:r>
              <w:t>同前缀回放一致性、单变量隔离性、轨迹字段完整率、调用解析正确率、额外运行开销</w:t>
            </w:r>
          </w:p>
        </w:tc>
      </w:tr>
    </w:tbl>
    <w:p w14:paraId="6FA4E227">
      <w:pPr>
        <w:ind w:firstLine="420"/>
        <w:jc w:val="both"/>
      </w:pPr>
      <w:r>
        <w:t>设测试集包含若干样本，并分别记录预测函数、目标函数和端到端任务是否完成，则函数选择准确率和端到端成功率定义为：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77B0B164">
        <w:trPr>
          <w:cantSplit/>
          <w:jc w:val="center"/>
        </w:trPr>
        <w:tc>
          <w:tcPr>
            <w:tcW w:w="650" w:type="dxa"/>
            <w:tcMar>
              <w:top w:w="0" w:type="dxa"/>
              <w:left w:w="0" w:type="dxa"/>
              <w:bottom w:w="0" w:type="dxa"/>
              <w:right w:w="0" w:type="dxa"/>
            </w:tcMar>
            <w:vAlign w:val="center"/>
          </w:tcPr>
          <w:p w14:paraId="133780AC">
            <w:pPr>
              <w:spacing w:before="0" w:after="0"/>
              <w:jc w:val="left"/>
            </w:pPr>
          </w:p>
        </w:tc>
        <w:tc>
          <w:tcPr>
            <w:tcW w:w="7006" w:type="dxa"/>
            <w:tcMar>
              <w:top w:w="0" w:type="dxa"/>
              <w:left w:w="0" w:type="dxa"/>
              <w:bottom w:w="0" w:type="dxa"/>
              <w:right w:w="0" w:type="dxa"/>
            </w:tcMar>
            <w:vAlign w:val="center"/>
          </w:tcPr>
          <w:p w14:paraId="2A54C04B">
            <w:pPr>
              <w:spacing w:before="0" w:after="0"/>
              <w:jc w:val="center"/>
            </w:pPr>
            <m:oMathPara>
              <m:oMath>
                <m:sSub>
                  <m:sSubPr>
                    <m:ctrlPr>
                      <w:rPr>
                        <w:rFonts w:hint="default" w:ascii="Cambria Math"/>
                      </w:rPr>
                    </m:ctrlPr>
                  </m:sSubPr>
                  <m:e>
                    <m:r>
                      <m:rPr>
                        <m:sty m:val="p"/>
                      </m:rPr>
                      <w:rPr>
                        <w:rFonts w:hint="default" w:ascii="Cambria Math"/>
                      </w:rPr>
                      <m:t>Acc</m:t>
                    </m:r>
                    <m:ctrlPr>
                      <w:rPr>
                        <w:rFonts w:hint="default" w:ascii="Cambria Math"/>
                      </w:rPr>
                    </m:ctrlPr>
                  </m:e>
                  <m:sub>
                    <m:r>
                      <m:rPr>
                        <m:sty m:val="p"/>
                      </m:rPr>
                      <w:rPr>
                        <w:rFonts w:hint="default" w:ascii="Cambria Math"/>
                      </w:rPr>
                      <m:t>fn</m:t>
                    </m:r>
                    <m:ctrlPr>
                      <w:rPr>
                        <w:rFonts w:hint="default" w:ascii="Cambria Math"/>
                      </w:rPr>
                    </m:ctrlPr>
                  </m:sub>
                </m:sSub>
                <m:r>
                  <m:rPr>
                    <m:sty m:val="p"/>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N</m:t>
                    </m:r>
                    <m:ctrlPr>
                      <w:rPr>
                        <w:rFonts w:hint="default" w:ascii="Cambria Math"/>
                      </w:rPr>
                    </m:ctrlPr>
                  </m:den>
                </m:f>
                <m:nary>
                  <m:naryPr>
                    <m:chr m:val="∑"/>
                    <m:limLoc m:val="undOvr"/>
                    <m:ctrlPr>
                      <w:rPr>
                        <w:rFonts w:hint="default" w:ascii="Cambria Math"/>
                      </w:rPr>
                    </m:ctrlPr>
                  </m:naryPr>
                  <m:sub>
                    <m:r>
                      <m:rPr/>
                      <w:rPr>
                        <w:rFonts w:hint="default" w:ascii="Cambria Math"/>
                      </w:rPr>
                      <m:t>i</m:t>
                    </m:r>
                    <m:r>
                      <m:rPr>
                        <m:sty m:val="p"/>
                      </m:rPr>
                      <w:rPr>
                        <w:rFonts w:hint="default" w:ascii="Cambria Math"/>
                      </w:rPr>
                      <m:t>=</m:t>
                    </m:r>
                    <m:r>
                      <m:rPr/>
                      <w:rPr>
                        <w:rFonts w:hint="default" w:ascii="Cambria Math"/>
                      </w:rPr>
                      <m:t>1</m:t>
                    </m:r>
                    <m:ctrlPr>
                      <w:rPr>
                        <w:rFonts w:hint="default" w:ascii="Cambria Math"/>
                      </w:rPr>
                    </m:ctrlPr>
                  </m:sub>
                  <m:sup>
                    <m:r>
                      <m:rPr/>
                      <w:rPr>
                        <w:rFonts w:hint="default" w:ascii="Cambria Math"/>
                      </w:rPr>
                      <m:t>N</m:t>
                    </m:r>
                    <m:ctrlPr>
                      <w:rPr>
                        <w:rFonts w:hint="default" w:ascii="Cambria Math"/>
                      </w:rPr>
                    </m:ctrlPr>
                  </m:sup>
                  <m:e>
                    <m:r>
                      <m:rPr>
                        <m:sty m:val="b"/>
                      </m:rPr>
                      <w:rPr>
                        <w:rFonts w:hint="default" w:ascii="Cambria Math"/>
                      </w:rPr>
                      <m:t>1</m:t>
                    </m:r>
                    <m:ctrlPr>
                      <w:rPr>
                        <w:rFonts w:hint="default" w:ascii="Cambria Math"/>
                      </w:rPr>
                    </m:ctrlPr>
                  </m:e>
                </m:nary>
                <m:r>
                  <m:rPr>
                    <m:sty m:val="p"/>
                  </m:rPr>
                  <w:rPr>
                    <w:rFonts w:hint="default" w:ascii="Cambria Math"/>
                  </w:rPr>
                  <m:t>{</m:t>
                </m:r>
                <m:sSub>
                  <m:sSubPr>
                    <m:ctrlPr>
                      <w:rPr>
                        <w:rFonts w:hint="default" w:ascii="Cambria Math"/>
                      </w:rPr>
                    </m:ctrlPr>
                  </m:sSubPr>
                  <m:e>
                    <m:acc>
                      <m:accPr>
                        <m:ctrlPr>
                          <w:rPr>
                            <w:rFonts w:hint="default" w:ascii="Cambria Math"/>
                          </w:rPr>
                        </m:ctrlPr>
                      </m:accPr>
                      <m:e>
                        <m:r>
                          <m:rPr/>
                          <w:rPr>
                            <w:rFonts w:hint="default" w:ascii="Cambria Math"/>
                          </w:rPr>
                          <m:t>f</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m:sty m:val="p"/>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i</m:t>
                    </m:r>
                    <m:ctrlPr>
                      <w:rPr>
                        <w:rFonts w:hint="default" w:ascii="Cambria Math"/>
                      </w:rPr>
                    </m:ctrlPr>
                  </m:sub>
                </m:sSub>
                <m:r>
                  <m:rPr>
                    <m:sty m:val="p"/>
                  </m:rPr>
                  <w:rPr>
                    <w:rFonts w:hint="default" w:ascii="Cambria Math"/>
                  </w:rPr>
                  <m:t>}</m:t>
                </m:r>
              </m:oMath>
            </m:oMathPara>
          </w:p>
        </w:tc>
        <w:tc>
          <w:tcPr>
            <w:tcW w:w="650" w:type="dxa"/>
            <w:tcMar>
              <w:top w:w="0" w:type="dxa"/>
              <w:left w:w="0" w:type="dxa"/>
              <w:bottom w:w="0" w:type="dxa"/>
              <w:right w:w="0" w:type="dxa"/>
            </w:tcMar>
            <w:vAlign w:val="center"/>
          </w:tcPr>
          <w:p w14:paraId="6A59A8B8">
            <w:pPr>
              <w:spacing w:before="0" w:after="0"/>
              <w:jc w:val="right"/>
            </w:pPr>
            <w:bookmarkStart w:id="55" w:name="_RefEq4_32"/>
            <w:r>
              <w:t>(4-</w:t>
            </w:r>
            <w:r>
              <w:fldChar w:fldCharType="begin"/>
            </w:r>
            <w:r>
              <w:instrText xml:space="preserve"> SEQ Eq4 \* ARABIC </w:instrText>
            </w:r>
            <w:r>
              <w:fldChar w:fldCharType="separate"/>
            </w:r>
            <w:r>
              <w:t>22</w:t>
            </w:r>
            <w:r>
              <w:fldChar w:fldCharType="end"/>
            </w:r>
            <w:r>
              <w:t>)</w:t>
            </w:r>
            <w:bookmarkEnd w:id="55"/>
          </w:p>
        </w:tc>
      </w:tr>
      <w:tr w14:paraId="55347374">
        <w:trPr>
          <w:cantSplit/>
          <w:jc w:val="center"/>
        </w:trPr>
        <w:tc>
          <w:tcPr>
            <w:tcW w:w="650" w:type="dxa"/>
            <w:tcMar>
              <w:top w:w="0" w:type="dxa"/>
              <w:left w:w="0" w:type="dxa"/>
              <w:bottom w:w="0" w:type="dxa"/>
              <w:right w:w="0" w:type="dxa"/>
            </w:tcMar>
            <w:vAlign w:val="center"/>
          </w:tcPr>
          <w:p w14:paraId="06DB0282">
            <w:pPr>
              <w:spacing w:before="0" w:after="0"/>
              <w:jc w:val="left"/>
            </w:pPr>
          </w:p>
        </w:tc>
        <w:tc>
          <w:tcPr>
            <w:tcW w:w="7006" w:type="dxa"/>
            <w:tcMar>
              <w:top w:w="0" w:type="dxa"/>
              <w:left w:w="0" w:type="dxa"/>
              <w:bottom w:w="0" w:type="dxa"/>
              <w:right w:w="0" w:type="dxa"/>
            </w:tcMar>
            <w:vAlign w:val="center"/>
          </w:tcPr>
          <w:p w14:paraId="1B67E20E">
            <w:pPr>
              <w:spacing w:before="0" w:after="0"/>
              <w:jc w:val="center"/>
            </w:pPr>
            <m:oMathPara>
              <m:oMath>
                <m:sSub>
                  <m:sSubPr>
                    <m:ctrlPr>
                      <w:rPr>
                        <w:rFonts w:hint="default" w:ascii="Cambria Math"/>
                      </w:rPr>
                    </m:ctrlPr>
                  </m:sSubPr>
                  <m:e>
                    <m:r>
                      <m:rPr>
                        <m:sty m:val="p"/>
                      </m:rPr>
                      <w:rPr>
                        <w:rFonts w:hint="default" w:ascii="Cambria Math"/>
                      </w:rPr>
                      <m:t>SR</m:t>
                    </m:r>
                    <m:ctrlPr>
                      <w:rPr>
                        <w:rFonts w:hint="default" w:ascii="Cambria Math"/>
                      </w:rPr>
                    </m:ctrlPr>
                  </m:e>
                  <m:sub>
                    <m:r>
                      <m:rPr>
                        <m:sty m:val="p"/>
                      </m:rPr>
                      <w:rPr>
                        <w:rFonts w:hint="default" w:ascii="Cambria Math"/>
                      </w:rPr>
                      <m:t>e2e</m:t>
                    </m:r>
                    <m:ctrlPr>
                      <w:rPr>
                        <w:rFonts w:hint="default" w:ascii="Cambria Math"/>
                      </w:rPr>
                    </m:ctrlPr>
                  </m:sub>
                </m:sSub>
                <m:r>
                  <m:rPr>
                    <m:sty m:val="p"/>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N</m:t>
                    </m:r>
                    <m:ctrlPr>
                      <w:rPr>
                        <w:rFonts w:hint="default" w:ascii="Cambria Math"/>
                      </w:rPr>
                    </m:ctrlPr>
                  </m:den>
                </m:f>
                <m:nary>
                  <m:naryPr>
                    <m:chr m:val="∑"/>
                    <m:limLoc m:val="undOvr"/>
                    <m:ctrlPr>
                      <w:rPr>
                        <w:rFonts w:hint="default" w:ascii="Cambria Math"/>
                      </w:rPr>
                    </m:ctrlPr>
                  </m:naryPr>
                  <m:sub>
                    <m:r>
                      <m:rPr/>
                      <w:rPr>
                        <w:rFonts w:hint="default" w:ascii="Cambria Math"/>
                      </w:rPr>
                      <m:t>i</m:t>
                    </m:r>
                    <m:r>
                      <m:rPr>
                        <m:sty m:val="p"/>
                      </m:rPr>
                      <w:rPr>
                        <w:rFonts w:hint="default" w:ascii="Cambria Math"/>
                      </w:rPr>
                      <m:t>=</m:t>
                    </m:r>
                    <m:r>
                      <m:rPr/>
                      <w:rPr>
                        <w:rFonts w:hint="default" w:ascii="Cambria Math"/>
                      </w:rPr>
                      <m:t>1</m:t>
                    </m:r>
                    <m:ctrlPr>
                      <w:rPr>
                        <w:rFonts w:hint="default" w:ascii="Cambria Math"/>
                      </w:rPr>
                    </m:ctrlPr>
                  </m:sub>
                  <m:sup>
                    <m:r>
                      <m:rPr/>
                      <w:rPr>
                        <w:rFonts w:hint="default" w:ascii="Cambria Math"/>
                      </w:rPr>
                      <m:t>N</m:t>
                    </m:r>
                    <m:ctrlPr>
                      <w:rPr>
                        <w:rFonts w:hint="default" w:ascii="Cambria Math"/>
                      </w:rPr>
                    </m:ctrlPr>
                  </m:sup>
                  <m:e>
                    <m:r>
                      <m:rPr>
                        <m:sty m:val="b"/>
                      </m:rPr>
                      <w:rPr>
                        <w:rFonts w:hint="default" w:ascii="Cambria Math"/>
                      </w:rPr>
                      <m:t>1</m:t>
                    </m:r>
                    <m:ctrlPr>
                      <w:rPr>
                        <w:rFonts w:hint="default" w:ascii="Cambria Math"/>
                      </w:rPr>
                    </m:ctrlPr>
                  </m:e>
                </m:nary>
                <m:r>
                  <m:rPr>
                    <m:sty m:val="p"/>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r>
                  <m:rPr>
                    <m:sty m:val="p"/>
                  </m:rPr>
                  <w:rPr>
                    <w:rFonts w:hint="default" w:ascii="Cambria Math"/>
                  </w:rPr>
                  <m:t>=</m:t>
                </m:r>
                <m:r>
                  <m:rPr/>
                  <w:rPr>
                    <w:rFonts w:hint="default" w:ascii="Cambria Math"/>
                  </w:rPr>
                  <m:t>1</m:t>
                </m:r>
                <m:r>
                  <m:rPr>
                    <m:sty m:val="p"/>
                  </m:rPr>
                  <w:rPr>
                    <w:rFonts w:hint="default" w:ascii="Cambria Math"/>
                  </w:rPr>
                  <m:t>}</m:t>
                </m:r>
              </m:oMath>
            </m:oMathPara>
          </w:p>
        </w:tc>
        <w:tc>
          <w:tcPr>
            <w:tcW w:w="650" w:type="dxa"/>
            <w:tcMar>
              <w:top w:w="0" w:type="dxa"/>
              <w:left w:w="0" w:type="dxa"/>
              <w:bottom w:w="0" w:type="dxa"/>
              <w:right w:w="0" w:type="dxa"/>
            </w:tcMar>
            <w:vAlign w:val="center"/>
          </w:tcPr>
          <w:p w14:paraId="7E3CDEA7">
            <w:pPr>
              <w:spacing w:before="0" w:after="0"/>
              <w:jc w:val="right"/>
            </w:pPr>
            <w:bookmarkStart w:id="56" w:name="_RefEq4_33"/>
            <w:r>
              <w:t>(4-</w:t>
            </w:r>
            <w:r>
              <w:fldChar w:fldCharType="begin"/>
            </w:r>
            <w:r>
              <w:instrText xml:space="preserve"> SEQ Eq4 \* ARABIC </w:instrText>
            </w:r>
            <w:r>
              <w:fldChar w:fldCharType="separate"/>
            </w:r>
            <w:r>
              <w:t>23</w:t>
            </w:r>
            <w:r>
              <w:fldChar w:fldCharType="end"/>
            </w:r>
            <w:r>
              <w:t>)</w:t>
            </w:r>
            <w:bookmarkEnd w:id="56"/>
          </w:p>
        </w:tc>
      </w:tr>
    </w:tbl>
    <w:p w14:paraId="7C90D5F1">
      <w:pPr>
        <w:ind w:firstLine="420"/>
        <w:jc w:val="both"/>
      </w:pPr>
      <w:r>
        <w:t>对于包含多个参数字段的函数调用，参数级准确率按照所有可比较字段归一化：</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E0E33E1">
        <w:trPr>
          <w:cantSplit/>
          <w:jc w:val="center"/>
        </w:trPr>
        <w:tc>
          <w:tcPr>
            <w:tcW w:w="650" w:type="dxa"/>
            <w:tcMar>
              <w:top w:w="0" w:type="dxa"/>
              <w:left w:w="0" w:type="dxa"/>
              <w:bottom w:w="0" w:type="dxa"/>
              <w:right w:w="0" w:type="dxa"/>
            </w:tcMar>
            <w:vAlign w:val="center"/>
          </w:tcPr>
          <w:p w14:paraId="4D966F52">
            <w:pPr>
              <w:spacing w:before="0" w:after="0"/>
              <w:jc w:val="left"/>
            </w:pPr>
          </w:p>
        </w:tc>
        <w:tc>
          <w:tcPr>
            <w:tcW w:w="7006" w:type="dxa"/>
            <w:tcMar>
              <w:top w:w="0" w:type="dxa"/>
              <w:left w:w="0" w:type="dxa"/>
              <w:bottom w:w="0" w:type="dxa"/>
              <w:right w:w="0" w:type="dxa"/>
            </w:tcMar>
            <w:vAlign w:val="center"/>
          </w:tcPr>
          <w:p w14:paraId="775E31AF">
            <w:pPr>
              <w:spacing w:before="0" w:after="0"/>
              <w:jc w:val="center"/>
            </w:pPr>
            <m:oMathPara>
              <m:oMath>
                <m:sSub>
                  <m:sSubPr/>
                  <m:e>
                    <m:r>
                      <m:rPr>
                        <m:sty m:val="p"/>
                      </m:rPr>
                      <m:t>Acc</m:t>
                    </m:r>
                  </m:e>
                  <m:sub>
                    <m:r>
                      <m:rPr>
                        <m:sty m:val="p"/>
                      </m:rPr>
                      <m:t>arg</m:t>
                    </m:r>
                  </m:sub>
                </m:sSub>
                <m:r>
                  <m:rPr>
                    <m:sty m:val="p"/>
                  </m:rPr>
                  <m:t>=</m:t>
                </m:r>
                <m:f>
                  <m:fPr/>
                  <m:num>
                    <m:nary>
                      <m:naryPr>
                        <m:chr m:val="∑"/>
                        <m:limLoc m:val="undOvr"/>
                      </m:naryPr>
                      <m:sub>
                        <m:r>
                          <m:rPr/>
                          <m:t>i</m:t>
                        </m:r>
                        <m:r>
                          <m:rPr>
                            <m:sty m:val="p"/>
                          </m:rPr>
                          <m:t>=</m:t>
                        </m:r>
                        <m:r>
                          <m:rPr/>
                          <m:t>1</m:t>
                        </m:r>
                      </m:sub>
                      <m:sup>
                        <m:r>
                          <m:rPr/>
                          <m:t>N</m:t>
                        </m:r>
                      </m:sup>
                      <m:e>
                        <m:nary>
                          <m:naryPr>
                            <m:chr m:val="∑"/>
                            <m:limLoc m:val="undOvr"/>
                            <m:supHide m:val="1"/>
                          </m:naryPr>
                          <m:sub>
                            <m:r>
                              <m:rPr/>
                              <m:t>j</m:t>
                            </m:r>
                            <m:r>
                              <m:rPr>
                                <m:sty m:val="p"/>
                              </m:rPr>
                              <m:t>∈</m:t>
                            </m:r>
                            <m:sSub>
                              <m:sSubPr/>
                              <m:e>
                                <m:r>
                                  <m:rPr/>
                                  <m:t>A</m:t>
                                </m:r>
                              </m:e>
                              <m:sub>
                                <m:r>
                                  <m:rPr/>
                                  <m:t>i</m:t>
                                </m:r>
                              </m:sub>
                            </m:sSub>
                          </m:sub>
                          <m:sup>
                            <m:r>
                              <m:rPr/>
                              <m:t>​</m:t>
                            </m:r>
                          </m:sup>
                          <m:e>
                            <m:r>
                              <m:rPr>
                                <m:sty m:val="b"/>
                              </m:rPr>
                              <m:t>1</m:t>
                            </m:r>
                          </m:e>
                        </m:nary>
                      </m:e>
                    </m:nary>
                    <m:r>
                      <m:rPr>
                        <m:sty m:val="p"/>
                      </m:rPr>
                      <m:t>{</m:t>
                    </m:r>
                    <m:sSub>
                      <m:sSubPr/>
                      <m:e>
                        <m:acc>
                          <m:accPr/>
                          <m:e>
                            <m:r>
                              <m:rPr/>
                              <m:t>a</m:t>
                            </m:r>
                          </m:e>
                        </m:acc>
                      </m:e>
                      <m:sub>
                        <m:r>
                          <m:rPr/>
                          <m:t>ij</m:t>
                        </m:r>
                      </m:sub>
                    </m:sSub>
                    <m:r>
                      <m:rPr>
                        <m:sty m:val="p"/>
                      </m:rPr>
                      <m:t>≡</m:t>
                    </m:r>
                    <m:sSub>
                      <m:sSubPr/>
                      <m:e>
                        <m:r>
                          <m:rPr/>
                          <m:t>a</m:t>
                        </m:r>
                      </m:e>
                      <m:sub>
                        <m:r>
                          <m:rPr/>
                          <m:t>ij</m:t>
                        </m:r>
                      </m:sub>
                    </m:sSub>
                    <m:r>
                      <m:rPr>
                        <m:sty m:val="p"/>
                      </m:rPr>
                      <m:t>}</m:t>
                    </m:r>
                  </m:num>
                  <m:den>
                    <m:nary>
                      <m:naryPr>
                        <m:chr m:val="∑"/>
                        <m:limLoc m:val="undOvr"/>
                      </m:naryPr>
                      <m:sub>
                        <m:r>
                          <m:rPr/>
                          <m:t>i</m:t>
                        </m:r>
                        <m:r>
                          <m:rPr>
                            <m:sty m:val="p"/>
                          </m:rPr>
                          <m:t>=</m:t>
                        </m:r>
                        <m:r>
                          <m:rPr/>
                          <m:t>1</m:t>
                        </m:r>
                      </m:sub>
                      <m:sup>
                        <m:r>
                          <m:rPr/>
                          <m:t>N</m:t>
                        </m:r>
                      </m:sup>
                      <m:e>
                        <m:r>
                          <m:rPr>
                            <m:sty m:val="p"/>
                          </m:rPr>
                          <m:t>|</m:t>
                        </m:r>
                      </m:e>
                    </m:nary>
                    <m:sSub>
                      <m:sSubPr/>
                      <m:e>
                        <m:r>
                          <m:rPr/>
                          <m:t>A</m:t>
                        </m:r>
                      </m:e>
                      <m:sub>
                        <m:r>
                          <m:rPr/>
                          <m:t>i</m:t>
                        </m:r>
                      </m:sub>
                    </m:sSub>
                    <m:r>
                      <m:rPr>
                        <m:sty m:val="p"/>
                      </m:rPr>
                      <m:t>|</m:t>
                    </m:r>
                  </m:den>
                </m:f>
              </m:oMath>
            </m:oMathPara>
          </w:p>
        </w:tc>
        <w:tc>
          <w:tcPr>
            <w:tcW w:w="650" w:type="dxa"/>
            <w:tcMar>
              <w:top w:w="0" w:type="dxa"/>
              <w:left w:w="0" w:type="dxa"/>
              <w:bottom w:w="0" w:type="dxa"/>
              <w:right w:w="0" w:type="dxa"/>
            </w:tcMar>
            <w:vAlign w:val="center"/>
          </w:tcPr>
          <w:p w14:paraId="782F97F3">
            <w:pPr>
              <w:spacing w:before="0" w:after="0"/>
              <w:jc w:val="right"/>
            </w:pPr>
            <w:bookmarkStart w:id="57" w:name="_RefEq4_34"/>
            <w:r>
              <w:t>(4-</w:t>
            </w:r>
            <w:r>
              <w:fldChar w:fldCharType="begin"/>
            </w:r>
            <w:r>
              <w:instrText xml:space="preserve"> SEQ Eq4 \* ARABIC </w:instrText>
            </w:r>
            <w:r>
              <w:fldChar w:fldCharType="separate"/>
            </w:r>
            <w:r>
              <w:t>24</w:t>
            </w:r>
            <w:r>
              <w:fldChar w:fldCharType="end"/>
            </w:r>
            <w:r>
              <w:t>)</w:t>
            </w:r>
            <w:bookmarkEnd w:id="57"/>
          </w:p>
        </w:tc>
      </w:tr>
    </w:tbl>
    <w:p w14:paraId="04F1D07C">
      <w:pPr>
        <w:ind w:firstLine="420"/>
        <w:jc w:val="both"/>
      </w:pPr>
      <w:r>
        <w:t>式（4-24）中的“≡”按 schema 允许的类型转换、无序字段和等价表示判定。结果分别报告 JSON 可解析率、schema 合法率、函数选择及参数正确率。具备可执行工具和经过核验的环境时，另报告执行成功率与端到端任务成功率；其余样本采用结构化调用匹配，并说明评价边界。BFCL 的任务划分和判定规则提供评测参考[27]。</w:t>
      </w:r>
    </w:p>
    <w:p w14:paraId="7A0844C1">
      <w:pPr>
        <w:ind w:firstLine="420"/>
        <w:jc w:val="both"/>
      </w:pPr>
      <w:r>
        <w:t>训练稳定性通过损失曲线、梯度范数、师生熵和支持集重叠进行分析。对全部有效位置求平均后，教师熵与 Top-K 重叠率写为：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1117BB8B">
        <w:trPr>
          <w:cantSplit/>
          <w:jc w:val="center"/>
        </w:trPr>
        <w:tc>
          <w:tcPr>
            <w:tcW w:w="650" w:type="dxa"/>
            <w:tcMar>
              <w:top w:w="0" w:type="dxa"/>
              <w:left w:w="0" w:type="dxa"/>
              <w:bottom w:w="0" w:type="dxa"/>
              <w:right w:w="0" w:type="dxa"/>
            </w:tcMar>
            <w:vAlign w:val="center"/>
          </w:tcPr>
          <w:p w14:paraId="1427DD24">
            <w:pPr>
              <w:spacing w:before="0" w:after="0"/>
              <w:jc w:val="left"/>
            </w:pPr>
          </w:p>
        </w:tc>
        <w:tc>
          <w:tcPr>
            <w:tcW w:w="7006" w:type="dxa"/>
            <w:tcMar>
              <w:top w:w="0" w:type="dxa"/>
              <w:left w:w="0" w:type="dxa"/>
              <w:bottom w:w="0" w:type="dxa"/>
              <w:right w:w="0" w:type="dxa"/>
            </w:tcMar>
            <w:vAlign w:val="center"/>
          </w:tcPr>
          <w:p w14:paraId="0D695F6F">
            <w:pPr>
              <w:spacing w:before="0" w:after="0"/>
              <w:jc w:val="center"/>
            </w:pPr>
            <m:oMathPara>
              <m:oMath>
                <m:sSub>
                  <m:sSubPr/>
                  <m:e>
                    <m:r>
                      <m:rPr/>
                      <m:t>H</m:t>
                    </m:r>
                  </m:e>
                  <m:sub>
                    <m:r>
                      <m:rPr/>
                      <m:t>T</m:t>
                    </m:r>
                  </m:sub>
                </m:sSub>
                <m:r>
                  <m:rPr>
                    <m:sty m:val="p"/>
                  </m:rPr>
                  <m:t>=</m:t>
                </m:r>
                <m:r>
                  <m:rPr>
                    <m:sty m:val="p"/>
                  </m:rPr>
                  <w:rPr>
                    <w:rFonts w:hint="default" w:ascii="DejaVu Math TeX Gyre" w:hAnsi="DejaVu Math TeX Gyre"/>
                    <w:lang w:val="en-US" w:eastAsia="zh-CN"/>
                  </w:rPr>
                  <m:t xml:space="preserve"> </m:t>
                </m:r>
                <m:r>
                  <m:rPr>
                    <m:sty m:val="p"/>
                  </m:rPr>
                  <m:t>−</m:t>
                </m:r>
                <m:f>
                  <m:fPr/>
                  <m:num>
                    <m:r>
                      <m:rPr/>
                      <m:t>1</m:t>
                    </m:r>
                  </m:num>
                  <m:den>
                    <m:r>
                      <m:rPr>
                        <m:sty m:val="p"/>
                      </m:rPr>
                      <m:t>|</m:t>
                    </m:r>
                    <m:r>
                      <m:rPr>
                        <m:sty m:val="p"/>
                        <m:scr m:val="script"/>
                      </m:rPr>
                      <m:t>ℳ</m:t>
                    </m:r>
                    <m:r>
                      <m:rPr>
                        <m:sty m:val="p"/>
                      </m:rPr>
                      <m:t>|</m:t>
                    </m:r>
                  </m:den>
                </m:f>
                <m:nary>
                  <m:naryPr>
                    <m:chr m:val="∑"/>
                    <m:limLoc m:val="undOvr"/>
                    <m:supHide m:val="1"/>
                  </m:naryPr>
                  <m:sub>
                    <m:r>
                      <m:rPr/>
                      <m:t>t</m:t>
                    </m:r>
                    <m:r>
                      <m:rPr>
                        <m:sty m:val="p"/>
                      </m:rPr>
                      <m:t>∈</m:t>
                    </m:r>
                    <m:r>
                      <m:rPr>
                        <m:sty m:val="p"/>
                        <m:scr m:val="script"/>
                      </m:rPr>
                      <m:t>ℳ</m:t>
                    </m:r>
                  </m:sub>
                  <m:sup>
                    <m:r>
                      <m:rPr/>
                      <m:t>​</m:t>
                    </m:r>
                  </m:sup>
                  <m:e>
                    <m:nary>
                      <m:naryPr>
                        <m:chr m:val="∑"/>
                        <m:limLoc m:val="undOvr"/>
                        <m:supHide m:val="1"/>
                      </m:naryPr>
                      <m:sub>
                        <m:r>
                          <m:rPr/>
                          <m:t>v</m:t>
                        </m:r>
                        <m:r>
                          <m:rPr>
                            <m:sty m:val="p"/>
                          </m:rPr>
                          <m:t>∈</m:t>
                        </m:r>
                        <m:r>
                          <m:rPr>
                            <m:sty m:val="p"/>
                            <m:scr m:val="script"/>
                          </m:rPr>
                          <m:t>V</m:t>
                        </m:r>
                      </m:sub>
                      <m:sup>
                        <m:r>
                          <m:rPr/>
                          <m:t>​</m:t>
                        </m:r>
                      </m:sup>
                      <m:e>
                        <m:sSub>
                          <m:sSubPr/>
                          <m:e>
                            <m:r>
                              <m:rPr/>
                              <m:t>p</m:t>
                            </m:r>
                          </m:e>
                          <m:sub>
                            <m:r>
                              <m:rPr/>
                              <m:t>T</m:t>
                            </m:r>
                            <m:r>
                              <m:rPr>
                                <m:sty m:val="p"/>
                              </m:rPr>
                              <m:t>,</m:t>
                            </m:r>
                            <m:r>
                              <m:rPr/>
                              <m:t>t</m:t>
                            </m:r>
                          </m:sub>
                        </m:sSub>
                      </m:e>
                    </m:nary>
                  </m:e>
                </m:nary>
                <m:r>
                  <m:rPr>
                    <m:sty m:val="p"/>
                  </m:rPr>
                  <m:t>(</m:t>
                </m:r>
                <m:r>
                  <m:rPr/>
                  <m:t>v</m:t>
                </m:r>
                <m:r>
                  <m:rPr>
                    <m:sty m:val="p"/>
                  </m:rPr>
                  <m:t>)log</m:t>
                </m:r>
                <m:sSub>
                  <m:sSubPr/>
                  <m:e>
                    <m:r>
                      <m:rPr/>
                      <m:t>p</m:t>
                    </m:r>
                  </m:e>
                  <m:sub>
                    <m:r>
                      <m:rPr/>
                      <m:t>T</m:t>
                    </m:r>
                    <m:r>
                      <m:rPr>
                        <m:sty m:val="p"/>
                      </m:rPr>
                      <m:t>,</m:t>
                    </m:r>
                    <m:r>
                      <m:rPr/>
                      <m:t>t</m:t>
                    </m:r>
                  </m:sub>
                </m:sSub>
                <m:r>
                  <m:rPr>
                    <m:sty m:val="p"/>
                  </m:rPr>
                  <m:t>(</m:t>
                </m:r>
                <m:r>
                  <m:rPr/>
                  <m:t>v</m:t>
                </m:r>
                <m:r>
                  <m:rPr>
                    <m:sty m:val="p"/>
                  </m:rPr>
                  <m:t>)</m:t>
                </m:r>
              </m:oMath>
            </m:oMathPara>
          </w:p>
        </w:tc>
        <w:tc>
          <w:tcPr>
            <w:tcW w:w="650" w:type="dxa"/>
            <w:tcMar>
              <w:top w:w="0" w:type="dxa"/>
              <w:left w:w="0" w:type="dxa"/>
              <w:bottom w:w="0" w:type="dxa"/>
              <w:right w:w="0" w:type="dxa"/>
            </w:tcMar>
            <w:vAlign w:val="center"/>
          </w:tcPr>
          <w:p w14:paraId="6373FFD1">
            <w:pPr>
              <w:spacing w:before="0" w:after="0"/>
              <w:jc w:val="right"/>
            </w:pPr>
            <w:bookmarkStart w:id="58" w:name="_RefEq4_35"/>
            <w:r>
              <w:t>(4-</w:t>
            </w:r>
            <w:r>
              <w:fldChar w:fldCharType="begin"/>
            </w:r>
            <w:r>
              <w:instrText xml:space="preserve"> SEQ Eq4 \* ARABIC </w:instrText>
            </w:r>
            <w:r>
              <w:fldChar w:fldCharType="separate"/>
            </w:r>
            <w:r>
              <w:t>25</w:t>
            </w:r>
            <w:r>
              <w:fldChar w:fldCharType="end"/>
            </w:r>
            <w:r>
              <w:t>)</w:t>
            </w:r>
            <w:bookmarkEnd w:id="58"/>
          </w:p>
        </w:tc>
      </w:tr>
      <w:tr w14:paraId="790F7078">
        <w:trPr>
          <w:cantSplit/>
          <w:jc w:val="center"/>
        </w:trPr>
        <w:tc>
          <w:tcPr>
            <w:tcW w:w="650" w:type="dxa"/>
            <w:tcMar>
              <w:top w:w="0" w:type="dxa"/>
              <w:left w:w="0" w:type="dxa"/>
              <w:bottom w:w="0" w:type="dxa"/>
              <w:right w:w="0" w:type="dxa"/>
            </w:tcMar>
            <w:vAlign w:val="center"/>
          </w:tcPr>
          <w:p w14:paraId="1989DE9F">
            <w:pPr>
              <w:spacing w:before="0" w:after="0"/>
              <w:jc w:val="left"/>
            </w:pPr>
          </w:p>
        </w:tc>
        <w:tc>
          <w:tcPr>
            <w:tcW w:w="7006" w:type="dxa"/>
            <w:tcMar>
              <w:top w:w="0" w:type="dxa"/>
              <w:left w:w="0" w:type="dxa"/>
              <w:bottom w:w="0" w:type="dxa"/>
              <w:right w:w="0" w:type="dxa"/>
            </w:tcMar>
            <w:vAlign w:val="center"/>
          </w:tcPr>
          <w:p w14:paraId="6CA74C69">
            <w:pPr>
              <w:spacing w:before="0" w:after="0"/>
              <w:jc w:val="center"/>
            </w:pPr>
            <m:oMathPara>
              <m:oMath>
                <m:sSub>
                  <m:sSubPr/>
                  <m:e>
                    <m:r>
                      <m:rPr/>
                      <m:t>O</m:t>
                    </m:r>
                  </m:e>
                  <m:sub>
                    <m:r>
                      <m:rPr/>
                      <m:t>K</m:t>
                    </m:r>
                  </m:sub>
                </m:sSub>
                <m:r>
                  <m:rPr>
                    <m:sty m:val="p"/>
                  </m:rPr>
                  <m:t>=</m:t>
                </m:r>
                <m:r>
                  <m:rPr>
                    <m:sty m:val="p"/>
                  </m:rPr>
                  <w:rPr>
                    <w:rFonts w:hint="default" w:ascii="DejaVu Math TeX Gyre" w:hAnsi="DejaVu Math TeX Gyre"/>
                    <w:lang w:val="en-US" w:eastAsia="zh-CN"/>
                  </w:rPr>
                  <m:t xml:space="preserve"> </m:t>
                </m:r>
                <m:f>
                  <m:fPr/>
                  <m:num>
                    <m:r>
                      <m:rPr/>
                      <m:t>1</m:t>
                    </m:r>
                  </m:num>
                  <m:den>
                    <m:r>
                      <m:rPr>
                        <m:sty m:val="p"/>
                      </m:rPr>
                      <m:t>|</m:t>
                    </m:r>
                    <m:r>
                      <m:rPr>
                        <m:sty m:val="p"/>
                        <m:scr m:val="script"/>
                      </m:rPr>
                      <m:t>ℳ</m:t>
                    </m:r>
                    <m:r>
                      <m:rPr>
                        <m:sty m:val="p"/>
                      </m:rPr>
                      <m:t>|</m:t>
                    </m:r>
                  </m:den>
                </m:f>
                <m:nary>
                  <m:naryPr>
                    <m:chr m:val="∑"/>
                    <m:limLoc m:val="undOvr"/>
                    <m:supHide m:val="1"/>
                  </m:naryPr>
                  <m:sub>
                    <m:r>
                      <m:rPr/>
                      <m:t>t</m:t>
                    </m:r>
                    <m:r>
                      <m:rPr>
                        <m:sty m:val="p"/>
                      </m:rPr>
                      <m:t>∈</m:t>
                    </m:r>
                    <m:r>
                      <m:rPr>
                        <m:sty m:val="p"/>
                        <m:scr m:val="script"/>
                      </m:rPr>
                      <m:t>ℳ</m:t>
                    </m:r>
                  </m:sub>
                  <m:sup>
                    <m:r>
                      <m:rPr/>
                      <m:t>​</m:t>
                    </m:r>
                  </m:sup>
                  <m:e>
                    <m:f>
                      <m:fPr/>
                      <m:num>
                        <m:r>
                          <m:rPr>
                            <m:sty m:val="p"/>
                          </m:rPr>
                          <m:t>|TopK(</m:t>
                        </m:r>
                        <m:sSub>
                          <m:sSubPr/>
                          <m:e>
                            <m:r>
                              <m:rPr/>
                              <m:t>p</m:t>
                            </m:r>
                          </m:e>
                          <m:sub>
                            <m:r>
                              <m:rPr/>
                              <m:t>T</m:t>
                            </m:r>
                            <m:r>
                              <m:rPr>
                                <m:sty m:val="p"/>
                              </m:rPr>
                              <m:t>,</m:t>
                            </m:r>
                            <m:r>
                              <m:rPr/>
                              <m:t>t</m:t>
                            </m:r>
                          </m:sub>
                        </m:sSub>
                        <m:r>
                          <m:rPr>
                            <m:sty m:val="p"/>
                          </m:rPr>
                          <m:t>)∩TopK(</m:t>
                        </m:r>
                        <m:sSub>
                          <m:sSubPr/>
                          <m:e>
                            <m:r>
                              <m:rPr/>
                              <m:t>p</m:t>
                            </m:r>
                          </m:e>
                          <m:sub>
                            <m:r>
                              <m:rPr/>
                              <m:t>S</m:t>
                            </m:r>
                            <m:r>
                              <m:rPr>
                                <m:sty m:val="p"/>
                              </m:rPr>
                              <m:t>,</m:t>
                            </m:r>
                            <m:r>
                              <m:rPr/>
                              <m:t>t</m:t>
                            </m:r>
                          </m:sub>
                        </m:sSub>
                        <m:r>
                          <m:rPr>
                            <m:sty m:val="p"/>
                          </m:rPr>
                          <m:t>)|</m:t>
                        </m:r>
                      </m:num>
                      <m:den>
                        <m:r>
                          <m:rPr/>
                          <m:t>K</m:t>
                        </m:r>
                      </m:den>
                    </m:f>
                  </m:e>
                </m:nary>
              </m:oMath>
            </m:oMathPara>
          </w:p>
        </w:tc>
        <w:tc>
          <w:tcPr>
            <w:tcW w:w="650" w:type="dxa"/>
            <w:tcMar>
              <w:top w:w="0" w:type="dxa"/>
              <w:left w:w="0" w:type="dxa"/>
              <w:bottom w:w="0" w:type="dxa"/>
              <w:right w:w="0" w:type="dxa"/>
            </w:tcMar>
            <w:vAlign w:val="center"/>
          </w:tcPr>
          <w:p w14:paraId="76E986BB">
            <w:pPr>
              <w:spacing w:before="0" w:after="0"/>
              <w:jc w:val="right"/>
            </w:pPr>
            <w:bookmarkStart w:id="59" w:name="_RefEq4_36"/>
            <w:r>
              <w:t>(4-</w:t>
            </w:r>
            <w:r>
              <w:fldChar w:fldCharType="begin"/>
            </w:r>
            <w:r>
              <w:instrText xml:space="preserve"> SEQ Eq4 \* ARABIC </w:instrText>
            </w:r>
            <w:r>
              <w:fldChar w:fldCharType="separate"/>
            </w:r>
            <w:r>
              <w:t>26</w:t>
            </w:r>
            <w:r>
              <w:fldChar w:fldCharType="end"/>
            </w:r>
            <w:r>
              <w:t>)</w:t>
            </w:r>
            <w:bookmarkEnd w:id="59"/>
          </w:p>
        </w:tc>
      </w:tr>
    </w:tbl>
    <w:p w14:paraId="3E2F0339">
      <w:pPr>
        <w:ind w:firstLine="420"/>
        <w:jc w:val="both"/>
      </w:pPr>
      <w:r>
        <w:t>熵与支持集重叠反映师生分布的变化。状态实验按函数、参数和结构位置统计有效 token 与错误；散度实验比较对应位置的梯度范数、方向和熵；稀疏实验记录师生支持集外的概率质量、决策 token 漏选率及相对完整词表目标的梯度差异。异常损失、格式错误和函数误选与上述诊断一同分析。</w:t>
      </w:r>
    </w:p>
    <w:p w14:paraId="2CC9EDD0">
      <w:pPr>
        <w:ind w:firstLine="420"/>
        <w:jc w:val="both"/>
      </w:pPr>
      <w:r>
        <w:t>公平比较要求各组共享相同的训练预算。本文以有效训练 token 数和学生更新步数作为主预算，并把总成本拆分为学生生成、教师前向和学生反向传播三部分：</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60155A05">
        <w:trPr>
          <w:cantSplit/>
          <w:jc w:val="center"/>
        </w:trPr>
        <w:tc>
          <w:tcPr>
            <w:tcW w:w="650" w:type="dxa"/>
            <w:tcMar>
              <w:top w:w="0" w:type="dxa"/>
              <w:left w:w="0" w:type="dxa"/>
              <w:bottom w:w="0" w:type="dxa"/>
              <w:right w:w="0" w:type="dxa"/>
            </w:tcMar>
            <w:vAlign w:val="center"/>
          </w:tcPr>
          <w:p w14:paraId="6D8F943C">
            <w:pPr>
              <w:spacing w:before="0" w:after="0"/>
              <w:jc w:val="left"/>
            </w:pPr>
          </w:p>
        </w:tc>
        <w:tc>
          <w:tcPr>
            <w:tcW w:w="7006" w:type="dxa"/>
            <w:tcMar>
              <w:top w:w="0" w:type="dxa"/>
              <w:left w:w="0" w:type="dxa"/>
              <w:bottom w:w="0" w:type="dxa"/>
              <w:right w:w="0" w:type="dxa"/>
            </w:tcMar>
            <w:vAlign w:val="center"/>
          </w:tcPr>
          <w:p w14:paraId="2E0B6BAD">
            <w:pPr>
              <w:spacing w:before="0" w:after="0"/>
              <w:jc w:val="center"/>
            </w:pPr>
            <m:oMathPara>
              <m:oMath>
                <m:r>
                  <m:rPr/>
                  <m:t>B</m:t>
                </m:r>
                <m:r>
                  <m:rPr>
                    <m:sty m:val="p"/>
                  </m:rPr>
                  <m:t>=</m:t>
                </m:r>
                <m:nary>
                  <m:naryPr>
                    <m:chr m:val="∑"/>
                    <m:limLoc m:val="undOvr"/>
                    <m:supHide m:val="1"/>
                  </m:naryPr>
                  <m:sub>
                    <m:r>
                      <m:rPr>
                        <m:sty m:val="p"/>
                      </m:rPr>
                      <m:t>step</m:t>
                    </m:r>
                  </m:sub>
                  <m:sup>
                    <m:r>
                      <m:rPr/>
                      <m:t>​</m:t>
                    </m:r>
                  </m:sup>
                  <m:e>
                    <m:nary>
                      <m:naryPr>
                        <m:chr m:val="∑"/>
                        <m:limLoc m:val="undOvr"/>
                      </m:naryPr>
                      <m:sub>
                        <m:r>
                          <m:rPr/>
                          <m:t>t</m:t>
                        </m:r>
                        <m:r>
                          <m:rPr>
                            <m:sty m:val="p"/>
                          </m:rPr>
                          <m:t>=</m:t>
                        </m:r>
                        <m:r>
                          <m:rPr/>
                          <m:t>1</m:t>
                        </m:r>
                      </m:sub>
                      <m:sup>
                        <m:r>
                          <m:rPr/>
                          <m:t>T</m:t>
                        </m:r>
                      </m:sup>
                      <m:e>
                        <m:sSub>
                          <m:sSubPr/>
                          <m:e>
                            <m:r>
                              <m:rPr/>
                              <m:t>m</m:t>
                            </m:r>
                          </m:e>
                          <m:sub>
                            <m:r>
                              <m:rPr/>
                              <m:t>t</m:t>
                            </m:r>
                          </m:sub>
                        </m:sSub>
                      </m:e>
                    </m:nary>
                  </m:e>
                </m:nary>
              </m:oMath>
            </m:oMathPara>
          </w:p>
        </w:tc>
        <w:tc>
          <w:tcPr>
            <w:tcW w:w="650" w:type="dxa"/>
            <w:tcMar>
              <w:top w:w="0" w:type="dxa"/>
              <w:left w:w="0" w:type="dxa"/>
              <w:bottom w:w="0" w:type="dxa"/>
              <w:right w:w="0" w:type="dxa"/>
            </w:tcMar>
            <w:vAlign w:val="center"/>
          </w:tcPr>
          <w:p w14:paraId="358F0084">
            <w:pPr>
              <w:spacing w:before="0" w:after="0"/>
              <w:jc w:val="right"/>
            </w:pPr>
            <w:bookmarkStart w:id="60" w:name="_RefEq4_37"/>
            <w:r>
              <w:t>(4-</w:t>
            </w:r>
            <w:r>
              <w:fldChar w:fldCharType="begin"/>
            </w:r>
            <w:r>
              <w:instrText xml:space="preserve"> SEQ Eq4 \* ARABIC </w:instrText>
            </w:r>
            <w:r>
              <w:fldChar w:fldCharType="separate"/>
            </w:r>
            <w:r>
              <w:t>27</w:t>
            </w:r>
            <w:r>
              <w:fldChar w:fldCharType="end"/>
            </w:r>
            <w:r>
              <w:t>)</w:t>
            </w:r>
            <w:bookmarkEnd w:id="60"/>
          </w:p>
        </w:tc>
      </w:tr>
      <w:tr w14:paraId="56B3E4EC">
        <w:trPr>
          <w:cantSplit/>
          <w:jc w:val="center"/>
        </w:trPr>
        <w:tc>
          <w:tcPr>
            <w:tcW w:w="650" w:type="dxa"/>
            <w:tcMar>
              <w:top w:w="0" w:type="dxa"/>
              <w:left w:w="0" w:type="dxa"/>
              <w:bottom w:w="0" w:type="dxa"/>
              <w:right w:w="0" w:type="dxa"/>
            </w:tcMar>
            <w:vAlign w:val="center"/>
          </w:tcPr>
          <w:p w14:paraId="56C9E764">
            <w:pPr>
              <w:spacing w:before="0" w:after="0"/>
              <w:jc w:val="left"/>
            </w:pPr>
          </w:p>
        </w:tc>
        <w:tc>
          <w:tcPr>
            <w:tcW w:w="7006" w:type="dxa"/>
            <w:tcMar>
              <w:top w:w="0" w:type="dxa"/>
              <w:left w:w="0" w:type="dxa"/>
              <w:bottom w:w="0" w:type="dxa"/>
              <w:right w:w="0" w:type="dxa"/>
            </w:tcMar>
            <w:vAlign w:val="center"/>
          </w:tcPr>
          <w:p w14:paraId="6DE441D7">
            <w:pPr>
              <w:spacing w:before="0" w:after="0"/>
              <w:jc w:val="center"/>
            </w:pPr>
            <m:oMathPara>
              <m:oMath>
                <m:sSub>
                  <m:sSubPr/>
                  <m:e>
                    <m:r>
                      <m:rPr/>
                      <m:t>C</m:t>
                    </m:r>
                  </m:e>
                  <m:sub>
                    <m:r>
                      <m:rPr>
                        <m:sty m:val="p"/>
                      </m:rPr>
                      <m:t>total</m:t>
                    </m:r>
                  </m:sub>
                </m:sSub>
                <m:r>
                  <m:rPr>
                    <m:sty m:val="p"/>
                  </m:rPr>
                  <m:t>=</m:t>
                </m:r>
                <m:sSub>
                  <m:sSubPr/>
                  <m:e>
                    <m:r>
                      <m:rPr/>
                      <m:t>C</m:t>
                    </m:r>
                  </m:e>
                  <m:sub>
                    <m:r>
                      <m:rPr>
                        <m:sty m:val="p"/>
                      </m:rPr>
                      <m:t>rollout</m:t>
                    </m:r>
                  </m:sub>
                </m:sSub>
                <m:r>
                  <m:rPr>
                    <m:sty m:val="p"/>
                  </m:rPr>
                  <m:t>+</m:t>
                </m:r>
                <m:sSub>
                  <m:sSubPr/>
                  <m:e>
                    <m:r>
                      <m:rPr/>
                      <m:t>C</m:t>
                    </m:r>
                  </m:e>
                  <m:sub>
                    <m:r>
                      <m:rPr>
                        <m:sty m:val="p"/>
                      </m:rPr>
                      <m:t>teacher</m:t>
                    </m:r>
                  </m:sub>
                </m:sSub>
                <m:r>
                  <m:rPr>
                    <m:sty m:val="p"/>
                  </m:rPr>
                  <m:t>+</m:t>
                </m:r>
                <m:sSub>
                  <m:sSubPr/>
                  <m:e>
                    <m:r>
                      <m:rPr/>
                      <m:t>C</m:t>
                    </m:r>
                  </m:e>
                  <m:sub>
                    <m:r>
                      <m:rPr>
                        <m:sty m:val="p"/>
                      </m:rPr>
                      <m:t>backward</m:t>
                    </m:r>
                  </m:sub>
                </m:sSub>
              </m:oMath>
            </m:oMathPara>
          </w:p>
        </w:tc>
        <w:tc>
          <w:tcPr>
            <w:tcW w:w="650" w:type="dxa"/>
            <w:tcMar>
              <w:top w:w="0" w:type="dxa"/>
              <w:left w:w="0" w:type="dxa"/>
              <w:bottom w:w="0" w:type="dxa"/>
              <w:right w:w="0" w:type="dxa"/>
            </w:tcMar>
            <w:vAlign w:val="center"/>
          </w:tcPr>
          <w:p w14:paraId="5E5F5C7E">
            <w:pPr>
              <w:spacing w:before="0" w:after="0"/>
              <w:jc w:val="right"/>
            </w:pPr>
            <w:bookmarkStart w:id="61" w:name="_RefEq4_38"/>
            <w:r>
              <w:t>(4-</w:t>
            </w:r>
            <w:r>
              <w:fldChar w:fldCharType="begin"/>
            </w:r>
            <w:r>
              <w:instrText xml:space="preserve"> SEQ Eq4 \* ARABIC </w:instrText>
            </w:r>
            <w:r>
              <w:fldChar w:fldCharType="separate"/>
            </w:r>
            <w:r>
              <w:t>28</w:t>
            </w:r>
            <w:r>
              <w:fldChar w:fldCharType="end"/>
            </w:r>
            <w:r>
              <w:t>)</w:t>
            </w:r>
            <w:bookmarkEnd w:id="61"/>
          </w:p>
        </w:tc>
      </w:tr>
    </w:tbl>
    <w:p w14:paraId="2DE6B7B8">
      <w:pPr>
        <w:ind w:firstLine="420"/>
        <w:jc w:val="both"/>
      </w:pPr>
      <w:r>
        <w:t>资源分析同时报告教师处理 token 数、前向墙钟时间、峰值显存、训练时间和推理吞吐，并统计教师反馈字节数及 K 的分布。吞吐按生成 token 数与墙钟时间计算。稀疏反馈有望减少传输或存储，但教师计算是否同步下降，需要分别计时验证。</w:t>
      </w:r>
    </w:p>
    <w:p w14:paraId="2386798F">
      <w:pPr>
        <w:ind w:firstLine="420"/>
        <w:jc w:val="both"/>
      </w:pPr>
      <w:r>
        <w:t>正式实验至少使用多个随机种子重复运行。对于同一指标的多次观测，均值和样本标准差定义为：</w:t>
      </w:r>
    </w:p>
    <w:tbl>
      <w:tblPr>
        <w:tblStyle w:val="1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7006"/>
        <w:gridCol w:w="650"/>
      </w:tblGrid>
      <w:tr w14:paraId="4CF82490">
        <w:trPr>
          <w:cantSplit/>
          <w:jc w:val="center"/>
        </w:trPr>
        <w:tc>
          <w:tcPr>
            <w:tcW w:w="650" w:type="dxa"/>
            <w:tcMar>
              <w:top w:w="0" w:type="dxa"/>
              <w:left w:w="0" w:type="dxa"/>
              <w:bottom w:w="0" w:type="dxa"/>
              <w:right w:w="0" w:type="dxa"/>
            </w:tcMar>
            <w:vAlign w:val="center"/>
          </w:tcPr>
          <w:p w14:paraId="64E92A79">
            <w:pPr>
              <w:spacing w:before="0" w:after="0"/>
              <w:jc w:val="left"/>
            </w:pPr>
          </w:p>
        </w:tc>
        <w:tc>
          <w:tcPr>
            <w:tcW w:w="7006" w:type="dxa"/>
            <w:tcMar>
              <w:top w:w="0" w:type="dxa"/>
              <w:left w:w="0" w:type="dxa"/>
              <w:bottom w:w="0" w:type="dxa"/>
              <w:right w:w="0" w:type="dxa"/>
            </w:tcMar>
            <w:vAlign w:val="center"/>
          </w:tcPr>
          <w:p w14:paraId="27A26B45">
            <w:pPr>
              <w:spacing w:before="0" w:after="0"/>
              <w:jc w:val="center"/>
            </w:pPr>
            <m:oMathPara>
              <m:oMath>
                <m:r>
                  <m:rPr/>
                  <m:t>μ</m:t>
                </m:r>
                <m:r>
                  <m:rPr>
                    <m:sty m:val="p"/>
                  </m:rPr>
                  <m:t>=</m:t>
                </m:r>
                <m:f>
                  <m:fPr/>
                  <m:num>
                    <m:r>
                      <m:rPr/>
                      <m:t>1</m:t>
                    </m:r>
                  </m:num>
                  <m:den>
                    <m:r>
                      <m:rPr/>
                      <m:t>R</m:t>
                    </m:r>
                  </m:den>
                </m:f>
                <m:nary>
                  <m:naryPr>
                    <m:chr m:val="∑"/>
                    <m:limLoc m:val="undOvr"/>
                  </m:naryPr>
                  <m:sub>
                    <m:r>
                      <m:rPr/>
                      <m:t>r</m:t>
                    </m:r>
                    <m:r>
                      <m:rPr>
                        <m:sty m:val="p"/>
                      </m:rPr>
                      <m:t>=</m:t>
                    </m:r>
                    <m:r>
                      <m:rPr/>
                      <m:t>1</m:t>
                    </m:r>
                  </m:sub>
                  <m:sup>
                    <m:r>
                      <m:rPr/>
                      <m:t>R</m:t>
                    </m:r>
                  </m:sup>
                  <m:e>
                    <m:sSub>
                      <m:sSubPr/>
                      <m:e>
                        <m:r>
                          <m:rPr/>
                          <m:t>s</m:t>
                        </m:r>
                      </m:e>
                      <m:sub>
                        <m:r>
                          <m:rPr/>
                          <m:t>r</m:t>
                        </m:r>
                      </m:sub>
                    </m:sSub>
                  </m:e>
                </m:nary>
              </m:oMath>
            </m:oMathPara>
          </w:p>
        </w:tc>
        <w:tc>
          <w:tcPr>
            <w:tcW w:w="650" w:type="dxa"/>
            <w:tcMar>
              <w:top w:w="0" w:type="dxa"/>
              <w:left w:w="0" w:type="dxa"/>
              <w:bottom w:w="0" w:type="dxa"/>
              <w:right w:w="0" w:type="dxa"/>
            </w:tcMar>
            <w:vAlign w:val="center"/>
          </w:tcPr>
          <w:p w14:paraId="0C8D8C8E">
            <w:pPr>
              <w:spacing w:before="0" w:after="0"/>
              <w:jc w:val="right"/>
            </w:pPr>
            <w:bookmarkStart w:id="62" w:name="_RefEq4_39"/>
            <w:r>
              <w:t>(4-</w:t>
            </w:r>
            <w:r>
              <w:fldChar w:fldCharType="begin"/>
            </w:r>
            <w:r>
              <w:instrText xml:space="preserve"> SEQ Eq4 \* ARABIC </w:instrText>
            </w:r>
            <w:r>
              <w:fldChar w:fldCharType="separate"/>
            </w:r>
            <w:r>
              <w:t>29</w:t>
            </w:r>
            <w:r>
              <w:fldChar w:fldCharType="end"/>
            </w:r>
            <w:r>
              <w:t>)</w:t>
            </w:r>
            <w:bookmarkEnd w:id="62"/>
          </w:p>
        </w:tc>
      </w:tr>
      <w:tr w14:paraId="2F59497F">
        <w:trPr>
          <w:cantSplit/>
          <w:jc w:val="center"/>
        </w:trPr>
        <w:tc>
          <w:tcPr>
            <w:tcW w:w="650" w:type="dxa"/>
            <w:tcMar>
              <w:top w:w="0" w:type="dxa"/>
              <w:left w:w="0" w:type="dxa"/>
              <w:bottom w:w="0" w:type="dxa"/>
              <w:right w:w="0" w:type="dxa"/>
            </w:tcMar>
            <w:vAlign w:val="center"/>
          </w:tcPr>
          <w:p w14:paraId="5F117262">
            <w:pPr>
              <w:spacing w:before="0" w:after="0"/>
              <w:jc w:val="left"/>
            </w:pPr>
          </w:p>
        </w:tc>
        <w:tc>
          <w:tcPr>
            <w:tcW w:w="7006" w:type="dxa"/>
            <w:tcMar>
              <w:top w:w="0" w:type="dxa"/>
              <w:left w:w="0" w:type="dxa"/>
              <w:bottom w:w="0" w:type="dxa"/>
              <w:right w:w="0" w:type="dxa"/>
            </w:tcMar>
            <w:vAlign w:val="center"/>
          </w:tcPr>
          <w:p w14:paraId="538909C8">
            <w:pPr>
              <w:spacing w:before="0" w:after="0"/>
              <w:jc w:val="center"/>
            </w:pPr>
            <m:oMathPara>
              <m:oMath>
                <m:r>
                  <m:rPr/>
                  <m:t>σ</m:t>
                </m:r>
                <m:r>
                  <m:rPr>
                    <m:sty m:val="p"/>
                  </m:rPr>
                  <m:t>=</m:t>
                </m:r>
                <m:rad>
                  <m:radPr>
                    <m:degHide m:val="1"/>
                  </m:radPr>
                  <m:deg/>
                  <m:e>
                    <m:f>
                      <m:fPr/>
                      <m:num>
                        <m:r>
                          <m:rPr/>
                          <m:t>1</m:t>
                        </m:r>
                      </m:num>
                      <m:den>
                        <m:r>
                          <m:rPr/>
                          <m:t>R</m:t>
                        </m:r>
                        <m:r>
                          <m:rPr>
                            <m:sty m:val="p"/>
                          </m:rPr>
                          <m:t>−</m:t>
                        </m:r>
                        <m:r>
                          <m:rPr/>
                          <m:t>1</m:t>
                        </m:r>
                      </m:den>
                    </m:f>
                    <m:nary>
                      <m:naryPr>
                        <m:chr m:val="∑"/>
                        <m:limLoc m:val="undOvr"/>
                      </m:naryPr>
                      <m:sub>
                        <m:r>
                          <m:rPr/>
                          <m:t>r</m:t>
                        </m:r>
                        <m:r>
                          <m:rPr>
                            <m:sty m:val="p"/>
                          </m:rPr>
                          <m:t>=</m:t>
                        </m:r>
                        <m:r>
                          <m:rPr/>
                          <m:t>1</m:t>
                        </m:r>
                      </m:sub>
                      <m:sup>
                        <m:r>
                          <m:rPr/>
                          <m:t>R</m:t>
                        </m:r>
                      </m:sup>
                      <m:e>
                        <m:r>
                          <m:rPr>
                            <m:sty m:val="p"/>
                          </m:rPr>
                          <m:t>(</m:t>
                        </m:r>
                      </m:e>
                    </m:nary>
                    <m:sSub>
                      <m:sSubPr/>
                      <m:e>
                        <m:r>
                          <m:rPr/>
                          <m:t>s</m:t>
                        </m:r>
                      </m:e>
                      <m:sub>
                        <m:r>
                          <m:rPr/>
                          <m:t>r</m:t>
                        </m:r>
                      </m:sub>
                    </m:sSub>
                    <m:r>
                      <m:rPr>
                        <m:sty m:val="p"/>
                      </m:rPr>
                      <m:t>−</m:t>
                    </m:r>
                    <m:r>
                      <m:rPr/>
                      <m:t>μ</m:t>
                    </m:r>
                    <m:sSup>
                      <m:sSupPr/>
                      <m:e>
                        <m:r>
                          <m:rPr>
                            <m:sty m:val="p"/>
                          </m:rPr>
                          <m:t>)</m:t>
                        </m:r>
                      </m:e>
                      <m:sup>
                        <m:r>
                          <m:rPr/>
                          <m:t>2</m:t>
                        </m:r>
                      </m:sup>
                    </m:sSup>
                  </m:e>
                </m:rad>
              </m:oMath>
            </m:oMathPara>
          </w:p>
        </w:tc>
        <w:tc>
          <w:tcPr>
            <w:tcW w:w="650" w:type="dxa"/>
            <w:tcMar>
              <w:top w:w="0" w:type="dxa"/>
              <w:left w:w="0" w:type="dxa"/>
              <w:bottom w:w="0" w:type="dxa"/>
              <w:right w:w="0" w:type="dxa"/>
            </w:tcMar>
            <w:vAlign w:val="center"/>
          </w:tcPr>
          <w:p w14:paraId="5470CDE9">
            <w:pPr>
              <w:spacing w:before="0" w:after="0"/>
              <w:jc w:val="right"/>
            </w:pPr>
            <w:bookmarkStart w:id="63" w:name="_RefEq4_40"/>
            <w:r>
              <w:t>(4-</w:t>
            </w:r>
            <w:r>
              <w:fldChar w:fldCharType="begin"/>
            </w:r>
            <w:r>
              <w:instrText xml:space="preserve"> SEQ Eq4 \* ARABIC </w:instrText>
            </w:r>
            <w:r>
              <w:fldChar w:fldCharType="separate"/>
            </w:r>
            <w:r>
              <w:t>30</w:t>
            </w:r>
            <w:r>
              <w:fldChar w:fldCharType="end"/>
            </w:r>
            <w:r>
              <w:t>)</w:t>
            </w:r>
            <w:bookmarkEnd w:id="63"/>
          </w:p>
        </w:tc>
      </w:tr>
    </w:tbl>
    <w:p w14:paraId="6303CE0D">
      <w:pPr>
        <w:ind w:firstLine="420"/>
        <w:jc w:val="both"/>
      </w:pPr>
      <w:r>
        <w:t>结果分析使用完整训练曲线、测试集统计和资源记录。失败轨迹按工具选择、结构解析、参数字段、参数值及可验证的执行环节归类，再回查学生到访位置、散度目标和教师支持集。对于无法确认的错误成因，仅报告可观察到的关联。</w:t>
      </w:r>
    </w:p>
    <w:p w14:paraId="56ED6E07">
      <w:pPr>
        <w:pStyle w:val="3"/>
        <w:jc w:val="left"/>
      </w:pPr>
      <w:bookmarkStart w:id="64" w:name="_Toc442727076"/>
      <w:r>
        <w:rPr>
          <w:rFonts w:ascii="黑体" w:hAnsi="黑体" w:eastAsia="黑体" w:cs="黑体"/>
          <w:b/>
          <w:color w:val="000000"/>
          <w:sz w:val="24"/>
        </w:rPr>
        <w:t>4.6 可行性分析</w:t>
      </w:r>
      <w:bookmarkEnd w:id="64"/>
    </w:p>
    <w:p w14:paraId="40E26365">
      <w:pPr>
        <w:ind w:firstLine="420"/>
        <w:jc w:val="both"/>
      </w:pPr>
      <w:r>
        <w:t>小规模同家族模型和开源工具链为方案提供了实施基础。冻结教师前向评分，学生通过 LoRA 更新；PyTorch、Transformers、PEFT 和 vLLM[20]分别用于训练、参数适配与部署测量。统一测试系统先完成数据契约、轨迹格式与解析器，再接入回放引擎和闭环训练；每个接口使用固定小样本、人工可核算分布和标准答案检查。只有同前缀评分、日志完整性及位置标注通过后，才开展方法比较。若教师接口不能提供可靠的补入候选概率，则使用本地教师前向或收缩可比较范围，并报告额外成本。</w:t>
      </w:r>
    </w:p>
    <w:p w14:paraId="6CC957E8">
      <w:pPr>
        <w:pStyle w:val="2"/>
      </w:pPr>
      <w:bookmarkStart w:id="65" w:name="_Toc2030613124"/>
      <w:r>
        <w:rPr>
          <w:rFonts w:ascii="黑体" w:hAnsi="黑体" w:eastAsia="黑体" w:cs="黑体"/>
          <w:b/>
          <w:color w:val="000000"/>
          <w:sz w:val="28"/>
        </w:rPr>
        <w:t>5．进度安排，预期达到的目标</w:t>
      </w:r>
      <w:bookmarkEnd w:id="65"/>
    </w:p>
    <w:p w14:paraId="4D67942D">
      <w:pPr>
        <w:pStyle w:val="3"/>
      </w:pPr>
      <w:bookmarkStart w:id="66" w:name="_Toc704656944"/>
      <w:r>
        <w:rPr>
          <w:rFonts w:ascii="黑体" w:hAnsi="黑体" w:eastAsia="黑体" w:cs="黑体"/>
          <w:b/>
          <w:color w:val="000000"/>
          <w:sz w:val="24"/>
        </w:rPr>
        <w:t>5.1 进度安排</w:t>
      </w:r>
      <w:bookmarkEnd w:id="66"/>
    </w:p>
    <w:p w14:paraId="6BE2C5CE">
      <w:pPr>
        <w:spacing w:before="0" w:after="0" w:line="360" w:lineRule="auto"/>
        <w:ind w:firstLine="420"/>
        <w:jc w:val="both"/>
      </w:pPr>
      <w:r>
        <w:rPr>
          <w:rFonts w:ascii="Times New Roman" w:hAnsi="Times New Roman" w:eastAsia="宋体"/>
          <w:sz w:val="24"/>
        </w:rPr>
        <w:t xml:space="preserve">本课题自 2026 年 9 月开题申请起，至 2027 年 5 月结题申请与答辩结束，按实际培养环节组织实施。开题申请时间为 2026 年 9 月 14 日至 9 月 30 日，中期申请预计在 2027 年 3 月，结题申请与答辩预计在 2027 年 5 月。进度安排如图 </w:t>
      </w:r>
      <w:r>
        <w:rPr>
          <w:rFonts w:ascii="Times New Roman" w:hAnsi="Times New Roman" w:eastAsia="宋体"/>
          <w:sz w:val="24"/>
        </w:rPr>
        <w:fldChar w:fldCharType="begin"/>
      </w:r>
      <w:r>
        <w:rPr>
          <w:rFonts w:ascii="Times New Roman" w:hAnsi="Times New Roman" w:eastAsia="宋体"/>
          <w:sz w:val="24"/>
        </w:rPr>
        <w:instrText xml:space="preserve"> REF _RefFigure3 \h </w:instrText>
      </w:r>
      <w:r>
        <w:rPr>
          <w:rFonts w:ascii="Times New Roman" w:hAnsi="Times New Roman" w:eastAsia="宋体"/>
          <w:sz w:val="24"/>
        </w:rPr>
        <w:fldChar w:fldCharType="separate"/>
      </w:r>
      <w:r>
        <w:rPr>
          <w:rFonts w:ascii="Times New Roman" w:hAnsi="Times New Roman" w:eastAsia="宋体"/>
          <w:sz w:val="21"/>
        </w:rPr>
        <w:t>4</w:t>
      </w:r>
      <w:r>
        <w:rPr>
          <w:rFonts w:ascii="Times New Roman" w:hAnsi="Times New Roman" w:eastAsia="宋体"/>
          <w:sz w:val="24"/>
        </w:rPr>
        <w:fldChar w:fldCharType="end"/>
      </w:r>
      <w:r>
        <w:rPr>
          <w:rFonts w:ascii="Times New Roman" w:hAnsi="Times New Roman" w:eastAsia="宋体"/>
          <w:sz w:val="24"/>
        </w:rPr>
        <w:t xml:space="preserve"> 和表 </w:t>
      </w:r>
      <w:r>
        <w:rPr>
          <w:rFonts w:ascii="Times New Roman" w:hAnsi="Times New Roman" w:eastAsia="宋体"/>
          <w:sz w:val="24"/>
        </w:rPr>
        <w:fldChar w:fldCharType="begin"/>
      </w:r>
      <w:r>
        <w:rPr>
          <w:rFonts w:ascii="Times New Roman" w:hAnsi="Times New Roman" w:eastAsia="宋体"/>
          <w:sz w:val="24"/>
        </w:rPr>
        <w:instrText xml:space="preserve"> REF _RefTable5_1 \h </w:instrText>
      </w:r>
      <w:r>
        <w:rPr>
          <w:rFonts w:ascii="Times New Roman" w:hAnsi="Times New Roman" w:eastAsia="宋体"/>
          <w:sz w:val="24"/>
        </w:rPr>
        <w:fldChar w:fldCharType="separate"/>
      </w:r>
      <w:r>
        <w:rPr>
          <w:rFonts w:ascii="Times New Roman" w:hAnsi="Times New Roman" w:eastAsia="Songti SC"/>
          <w:sz w:val="21"/>
        </w:rPr>
        <w:t>5-1</w:t>
      </w:r>
      <w:r>
        <w:rPr>
          <w:rFonts w:ascii="Times New Roman" w:hAnsi="Times New Roman" w:eastAsia="宋体"/>
          <w:sz w:val="24"/>
        </w:rPr>
        <w:fldChar w:fldCharType="end"/>
      </w:r>
      <w:r>
        <w:rPr>
          <w:rFonts w:ascii="Times New Roman" w:hAnsi="Times New Roman" w:eastAsia="宋体"/>
          <w:sz w:val="24"/>
        </w:rPr>
        <w:t xml:space="preserve"> 所示。</w:t>
      </w:r>
    </w:p>
    <w:p w14:paraId="2B480502">
      <w:pPr>
        <w:keepNext/>
        <w:spacing w:before="80" w:after="80" w:line="240" w:lineRule="auto"/>
        <w:ind w:left="0" w:right="0" w:firstLine="0"/>
        <w:jc w:val="center"/>
      </w:pPr>
      <w:r>
        <w:rPr>
          <w:rFonts w:ascii="Times New Roman" w:hAnsi="Times New Roman" w:eastAsia="Songti SC"/>
          <w:sz w:val="21"/>
        </w:rPr>
        <w:t xml:space="preserve">表 </w:t>
      </w:r>
      <w:bookmarkStart w:id="67" w:name="_RefTable5_1"/>
      <w:r>
        <w:rPr>
          <w:rFonts w:ascii="Times New Roman" w:hAnsi="Times New Roman" w:eastAsia="Songti SC"/>
          <w:sz w:val="21"/>
        </w:rPr>
        <w:t>5-</w:t>
      </w:r>
      <w:r>
        <w:rPr>
          <w:rFonts w:ascii="Times New Roman" w:hAnsi="Times New Roman" w:eastAsia="Songti SC"/>
          <w:sz w:val="21"/>
        </w:rPr>
        <w:fldChar w:fldCharType="begin"/>
      </w:r>
      <w:r>
        <w:rPr>
          <w:rFonts w:ascii="Times New Roman" w:hAnsi="Times New Roman" w:eastAsia="Songti SC"/>
          <w:sz w:val="21"/>
        </w:rPr>
        <w:instrText xml:space="preserve"> SEQ TableCh5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67"/>
      <w:r>
        <w:rPr>
          <w:rFonts w:ascii="Times New Roman" w:hAnsi="Times New Roman" w:eastAsia="Songti SC"/>
          <w:sz w:val="21"/>
        </w:rPr>
        <w:t xml:space="preserve">  研究进度安排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938"/>
        <w:gridCol w:w="2759"/>
      </w:tblGrid>
      <w:tr w14:paraId="63DBB9E9">
        <w:trPr>
          <w:tblHeader/>
          <w:jc w:val="center"/>
          <w:cantSplit/>
        </w:trPr>
        <w:tc>
          <w:tcPr>
            <w:tcW w:w="4148" w:type="dxa"/>
            <w:vAlign w:val="center"/>
          </w:tcPr>
          <w:p w14:paraId="1D9D80BF">
            <w:pPr>
              <w:spacing w:before="0" w:after="0" w:line="240" w:lineRule="auto"/>
              <w:ind w:firstLine="0"/>
              <w:jc w:val="center"/>
            </w:pPr>
            <w:r>
              <w:rPr>
                <w:rFonts w:ascii="Times New Roman" w:hAnsi="Times New Roman" w:eastAsia="宋体"/>
                <w:b/>
                <w:sz w:val="17"/>
              </w:rPr>
              <w:t>阶段</w:t>
            </w:r>
          </w:p>
        </w:tc>
        <w:tc>
          <w:tcPr>
            <w:tcW w:w="4148" w:type="dxa"/>
            <w:vAlign w:val="center"/>
          </w:tcPr>
          <w:p w14:paraId="30BF555A">
            <w:pPr>
              <w:spacing w:before="0" w:after="0" w:line="240" w:lineRule="auto"/>
              <w:ind w:firstLine="0"/>
              <w:jc w:val="center"/>
            </w:pPr>
            <w:r>
              <w:rPr>
                <w:rFonts w:ascii="Times New Roman" w:hAnsi="Times New Roman" w:eastAsia="宋体"/>
                <w:b/>
                <w:sz w:val="17"/>
              </w:rPr>
              <w:t>计划内容</w:t>
            </w:r>
          </w:p>
        </w:tc>
        <w:tc>
          <w:tcPr>
            <w:tcW w:w="4148" w:type="dxa"/>
            <w:vAlign w:val="center"/>
          </w:tcPr>
          <w:p w14:paraId="127EB996">
            <w:pPr>
              <w:spacing w:before="0" w:after="0" w:line="240" w:lineRule="auto"/>
              <w:ind w:firstLine="0"/>
              <w:jc w:val="center"/>
            </w:pPr>
            <w:r>
              <w:rPr>
                <w:rFonts w:ascii="Times New Roman" w:hAnsi="Times New Roman" w:eastAsia="宋体"/>
                <w:b/>
                <w:sz w:val="17"/>
              </w:rPr>
              <w:t>预期材料</w:t>
            </w:r>
          </w:p>
        </w:tc>
      </w:tr>
      <w:tr w14:paraId="31A682BC">
        <w:trPr>
          <w:jc w:val="center"/>
          <w:cantSplit/>
        </w:trPr>
        <w:tc>
          <w:tcPr>
            <w:tcW w:w="2765" w:type="dxa"/>
            <w:vAlign w:val="center"/>
          </w:tcPr>
          <w:p w14:paraId="6C50AB11">
            <w:pPr>
              <w:spacing w:before="0" w:after="0" w:line="240" w:lineRule="auto"/>
              <w:ind w:firstLine="0"/>
              <w:jc w:val="center"/>
            </w:pPr>
            <w:r>
              <w:rPr>
                <w:rFonts w:ascii="Times New Roman" w:hAnsi="Times New Roman" w:eastAsia="宋体"/>
                <w:b w:val="0"/>
                <w:sz w:val="17"/>
              </w:rPr>
              <w:t>2026年9月14日—9月30日：开题申请与方案确认</w:t>
            </w:r>
          </w:p>
        </w:tc>
        <w:tc>
          <w:tcPr>
            <w:tcW w:w="2765" w:type="dxa"/>
            <w:vAlign w:val="center"/>
          </w:tcPr>
          <w:p w14:paraId="4BFEE2CC">
            <w:pPr>
              <w:spacing w:before="0" w:after="0" w:line="240" w:lineRule="auto"/>
              <w:ind w:firstLine="0"/>
              <w:jc w:val="center"/>
            </w:pPr>
            <w:r>
              <w:rPr>
                <w:rFonts w:ascii="Times New Roman" w:hAnsi="Times New Roman" w:eastAsia="宋体"/>
                <w:b w:val="0"/>
                <w:sz w:val="17"/>
              </w:rPr>
              <w:t>完成开题报告修改与提交；明确研究问题、模型组合、数据范围、实验变量、评价指标和复现要求。</w:t>
            </w:r>
          </w:p>
        </w:tc>
        <w:tc>
          <w:tcPr>
            <w:tcW w:w="2765" w:type="dxa"/>
            <w:vAlign w:val="center"/>
          </w:tcPr>
          <w:p w14:paraId="66F2A173">
            <w:pPr>
              <w:spacing w:before="0" w:after="0" w:line="240" w:lineRule="auto"/>
              <w:ind w:firstLine="0"/>
              <w:jc w:val="center"/>
            </w:pPr>
            <w:r>
              <w:rPr>
                <w:rFonts w:ascii="Times New Roman" w:hAnsi="Times New Roman" w:eastAsia="宋体"/>
                <w:b w:val="0"/>
                <w:sz w:val="17"/>
              </w:rPr>
              <w:t>开题报告、研究方案、文献与任务清单</w:t>
            </w:r>
          </w:p>
        </w:tc>
      </w:tr>
      <w:tr w14:paraId="61DC8D82">
        <w:trPr>
          <w:jc w:val="center"/>
          <w:cantSplit/>
        </w:trPr>
        <w:tc>
          <w:tcPr>
            <w:tcW w:w="2765" w:type="dxa"/>
            <w:vAlign w:val="center"/>
          </w:tcPr>
          <w:p w14:paraId="5572DCE0">
            <w:pPr>
              <w:spacing w:before="0" w:after="0" w:line="240" w:lineRule="auto"/>
              <w:ind w:firstLine="0"/>
              <w:jc w:val="center"/>
            </w:pPr>
            <w:r>
              <w:rPr>
                <w:rFonts w:ascii="Times New Roman" w:hAnsi="Times New Roman" w:eastAsia="宋体"/>
                <w:b w:val="0"/>
                <w:sz w:val="17"/>
              </w:rPr>
              <w:t>2026年10月—11月：资料、数据与兼容性准备</w:t>
            </w:r>
          </w:p>
        </w:tc>
        <w:tc>
          <w:tcPr>
            <w:tcW w:w="2765" w:type="dxa"/>
            <w:vAlign w:val="center"/>
          </w:tcPr>
          <w:p w14:paraId="47213C2D">
            <w:pPr>
              <w:spacing w:before="0" w:after="0" w:line="240" w:lineRule="auto"/>
              <w:ind w:firstLine="0"/>
              <w:jc w:val="center"/>
            </w:pPr>
            <w:r>
              <w:rPr>
                <w:rFonts w:ascii="Times New Roman" w:hAnsi="Times New Roman" w:eastAsia="宋体"/>
                <w:b w:val="0"/>
                <w:sz w:val="17"/>
              </w:rPr>
              <w:t>继续核对 OPD 与稀疏蒸馏文献；筛选单轮 Function Calling 数据，完成去重、划分、字段映射与位置标记规则；审计 tokenizer、消息模板、工具 schema、特殊 token 和模型版本。</w:t>
            </w:r>
          </w:p>
        </w:tc>
        <w:tc>
          <w:tcPr>
            <w:tcW w:w="2765" w:type="dxa"/>
            <w:vAlign w:val="center"/>
          </w:tcPr>
          <w:p w14:paraId="0E2E969C">
            <w:pPr>
              <w:spacing w:before="0" w:after="0" w:line="240" w:lineRule="auto"/>
              <w:ind w:firstLine="0"/>
              <w:jc w:val="center"/>
            </w:pPr>
            <w:r>
              <w:rPr>
                <w:rFonts w:ascii="Times New Roman" w:hAnsi="Times New Roman" w:eastAsia="宋体"/>
                <w:b w:val="0"/>
                <w:sz w:val="17"/>
              </w:rPr>
              <w:t>文献记录、数据清单、审计报告、统一数据格式</w:t>
            </w:r>
          </w:p>
        </w:tc>
      </w:tr>
      <w:tr w14:paraId="6B04A86C">
        <w:trPr>
          <w:jc w:val="center"/>
          <w:cantSplit/>
        </w:trPr>
        <w:tc>
          <w:tcPr>
            <w:tcW w:w="2765" w:type="dxa"/>
            <w:vAlign w:val="center"/>
          </w:tcPr>
          <w:p w14:paraId="3D3265E4">
            <w:pPr>
              <w:spacing w:before="0" w:after="0" w:line="240" w:lineRule="auto"/>
              <w:ind w:firstLine="0"/>
              <w:jc w:val="center"/>
            </w:pPr>
            <w:r>
              <w:rPr>
                <w:rFonts w:ascii="Times New Roman" w:hAnsi="Times New Roman" w:eastAsia="宋体"/>
                <w:b w:val="0"/>
                <w:sz w:val="17"/>
              </w:rPr>
              <w:t>2026年12月—2027年1月：训练与推理管线实现</w:t>
            </w:r>
          </w:p>
        </w:tc>
        <w:tc>
          <w:tcPr>
            <w:tcW w:w="2765" w:type="dxa"/>
            <w:vAlign w:val="center"/>
          </w:tcPr>
          <w:p>
            <w:pPr>
              <w:spacing w:line="240" w:lineRule="auto"/>
              <w:jc w:val="center"/>
            </w:pPr>
            <w:r>
              <w:rPr>
                <w:sz w:val="17"/>
              </w:rPr>
              <w:t>先实现轨迹数据契约、同前缀回放、结构化解析与分项资源记录，再接入决策状态—散度联合规则、稀疏支持集及闭环训练；完成数值、梯度与回放一致性测试。</w:t>
            </w:r>
          </w:p>
        </w:tc>
        <w:tc>
          <w:tcPr>
            <w:tcW w:w="2765" w:type="dxa"/>
            <w:vAlign w:val="center"/>
          </w:tcPr>
          <w:p>
            <w:pPr>
              <w:spacing w:line="240" w:lineRule="auto"/>
              <w:jc w:val="center"/>
            </w:pPr>
            <w:r>
              <w:rPr>
                <w:sz w:val="17"/>
              </w:rPr>
              <w:t>统一测试系统原型、两项方法原型、接口与回放测试</w:t>
            </w:r>
          </w:p>
        </w:tc>
      </w:tr>
      <w:tr w14:paraId="134EE532">
        <w:trPr>
          <w:jc w:val="center"/>
          <w:cantSplit/>
        </w:trPr>
        <w:tc>
          <w:tcPr>
            <w:tcW w:w="2765" w:type="dxa"/>
            <w:vAlign w:val="center"/>
          </w:tcPr>
          <w:p w14:paraId="631AEB8B">
            <w:pPr>
              <w:spacing w:before="0" w:after="0" w:line="240" w:lineRule="auto"/>
              <w:ind w:firstLine="0"/>
              <w:jc w:val="center"/>
            </w:pPr>
            <w:r>
              <w:rPr>
                <w:rFonts w:ascii="Times New Roman" w:hAnsi="Times New Roman" w:eastAsia="宋体"/>
                <w:b w:val="0"/>
                <w:sz w:val="17"/>
              </w:rPr>
              <w:t>2027年2月—3月：正式实验与中期申请</w:t>
            </w:r>
          </w:p>
        </w:tc>
        <w:tc>
          <w:tcPr>
            <w:tcW w:w="2765" w:type="dxa"/>
            <w:vAlign w:val="center"/>
          </w:tcPr>
          <w:p>
            <w:pPr>
              <w:spacing w:line="240" w:lineRule="auto"/>
              <w:jc w:val="center"/>
            </w:pPr>
            <w:r>
              <w:rPr>
                <w:sz w:val="17"/>
              </w:rPr>
              <w:t>在完整词表反馈下检验决策位置与散度权重的联合方法；诊断 Top-K 尾部质量和关键候选漏选，保存原始轨迹、梯度与资源记录，2027 年 3 月提交中期申请。</w:t>
            </w:r>
          </w:p>
        </w:tc>
        <w:tc>
          <w:tcPr>
            <w:tcW w:w="2765" w:type="dxa"/>
            <w:vAlign w:val="center"/>
          </w:tcPr>
          <w:p w14:paraId="3DAA4D48">
            <w:pPr>
              <w:spacing w:before="0" w:after="0" w:line="240" w:lineRule="auto"/>
              <w:ind w:firstLine="0"/>
              <w:jc w:val="center"/>
            </w:pPr>
            <w:r>
              <w:rPr>
                <w:rFonts w:ascii="Times New Roman" w:hAnsi="Times New Roman" w:eastAsia="宋体"/>
                <w:b w:val="0"/>
                <w:sz w:val="17"/>
              </w:rPr>
              <w:t>训练检查点、配置与日志、阶段性指标、中期材料</w:t>
            </w:r>
          </w:p>
        </w:tc>
      </w:tr>
      <w:tr w14:paraId="7D609C3A">
        <w:trPr>
          <w:jc w:val="center"/>
          <w:cantSplit/>
        </w:trPr>
        <w:tc>
          <w:tcPr>
            <w:tcW w:w="2765" w:type="dxa"/>
            <w:vAlign w:val="center"/>
          </w:tcPr>
          <w:p w14:paraId="2821F67D">
            <w:pPr>
              <w:spacing w:before="0" w:after="0" w:line="240" w:lineRule="auto"/>
              <w:ind w:firstLine="0"/>
              <w:jc w:val="center"/>
            </w:pPr>
            <w:r>
              <w:rPr>
                <w:rFonts w:ascii="Times New Roman" w:hAnsi="Times New Roman" w:eastAsia="宋体"/>
                <w:b w:val="0"/>
                <w:sz w:val="17"/>
              </w:rPr>
              <w:t>2027年3月—4月：补充实验、部署评测与统计分析</w:t>
            </w:r>
          </w:p>
        </w:tc>
        <w:tc>
          <w:tcPr>
            <w:tcW w:w="2765" w:type="dxa"/>
            <w:vAlign w:val="center"/>
          </w:tcPr>
          <w:p>
            <w:pPr>
              <w:spacing w:line="240" w:lineRule="auto"/>
              <w:jc w:val="center"/>
            </w:pPr>
            <w:r>
              <w:rPr>
                <w:sz w:val="17"/>
              </w:rPr>
              <w:t>完成决策感知稀疏反馈的同预算比较、两项方法的组合与消融，以及统一测试系统的双路径验收、多种子训练、部署评测和错误追踪。</w:t>
            </w:r>
          </w:p>
        </w:tc>
        <w:tc>
          <w:tcPr>
            <w:tcW w:w="2765" w:type="dxa"/>
            <w:vAlign w:val="center"/>
          </w:tcPr>
          <w:p>
            <w:pPr>
              <w:spacing w:line="240" w:lineRule="auto"/>
              <w:jc w:val="center"/>
            </w:pPr>
            <w:r>
              <w:rPr>
                <w:sz w:val="17"/>
              </w:rPr>
              <w:t>系统验收记录、两项方法结果、统计表、错误追踪与复现材料</w:t>
            </w:r>
          </w:p>
        </w:tc>
      </w:tr>
      <w:tr w14:paraId="00B1C773">
        <w:trPr>
          <w:jc w:val="center"/>
          <w:cantSplit/>
        </w:trPr>
        <w:tc>
          <w:tcPr>
            <w:tcW w:w="2765" w:type="dxa"/>
            <w:vAlign w:val="center"/>
          </w:tcPr>
          <w:p w14:paraId="26199C17">
            <w:pPr>
              <w:spacing w:before="0" w:after="0" w:line="240" w:lineRule="auto"/>
              <w:ind w:firstLine="0"/>
              <w:jc w:val="center"/>
            </w:pPr>
            <w:r>
              <w:rPr>
                <w:rFonts w:ascii="Times New Roman" w:hAnsi="Times New Roman" w:eastAsia="宋体"/>
                <w:b w:val="0"/>
                <w:sz w:val="17"/>
              </w:rPr>
              <w:t>2027年4月—5月：论文撰写、结题与答辩</w:t>
            </w:r>
          </w:p>
        </w:tc>
        <w:tc>
          <w:tcPr>
            <w:tcW w:w="2765" w:type="dxa"/>
            <w:vAlign w:val="center"/>
          </w:tcPr>
          <w:p w14:paraId="6C687A60">
            <w:pPr>
              <w:spacing w:before="0" w:after="0" w:line="240" w:lineRule="auto"/>
              <w:ind w:firstLine="0"/>
              <w:jc w:val="center"/>
            </w:pPr>
            <w:r>
              <w:rPr>
                <w:rFonts w:ascii="Times New Roman" w:hAnsi="Times New Roman" w:eastAsia="宋体"/>
                <w:b w:val="0"/>
                <w:sz w:val="17"/>
              </w:rPr>
              <w:t>完成结果分析、资源—性能权衡和失败案例讨论；整理复现材料，撰写并修改毕业论文；预计于 2027 年 5 月完成结题申请与答辩。</w:t>
            </w:r>
          </w:p>
        </w:tc>
        <w:tc>
          <w:tcPr>
            <w:tcW w:w="2765" w:type="dxa"/>
            <w:vAlign w:val="center"/>
          </w:tcPr>
          <w:p>
            <w:pPr>
              <w:spacing w:line="240" w:lineRule="auto"/>
              <w:jc w:val="center"/>
            </w:pPr>
            <w:r>
              <w:rPr>
                <w:sz w:val="17"/>
              </w:rPr>
              <w:t>论文定稿、三个研究问题的证据链、结题与答辩材料</w:t>
            </w:r>
          </w:p>
        </w:tc>
      </w:tr>
    </w:tbl>
    <w:p w14:paraId="5C44C5F3">
      <w:pPr>
        <w:spacing w:after="160"/>
        <w:ind w:firstLine="0"/>
        <w:jc w:val="center"/>
      </w:pPr>
      <w:r>
        <w:drawing>
          <wp:inline distT="0" distB="0" distL="114300" distR="114300">
            <wp:extent cx="5806440" cy="2879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06440" cy="2879994"/>
                    </a:xfrm>
                    <a:prstGeom prst="rect">
                      <a:avLst/>
                    </a:prstGeom>
                  </pic:spPr>
                </pic:pic>
              </a:graphicData>
            </a:graphic>
          </wp:inline>
        </w:drawing>
      </w:r>
    </w:p>
    <w:p w14:paraId="7EFD41D3">
      <w:pPr>
        <w:spacing w:before="0" w:after="120" w:line="240" w:lineRule="auto"/>
        <w:ind w:firstLine="0"/>
        <w:jc w:val="center"/>
      </w:pPr>
      <w:r>
        <w:rPr>
          <w:rFonts w:ascii="Times New Roman" w:hAnsi="Times New Roman" w:eastAsia="宋体"/>
          <w:sz w:val="21"/>
        </w:rPr>
        <w:t xml:space="preserve">图 </w:t>
      </w:r>
      <w:bookmarkStart w:id="68" w:name="_RefFigure3"/>
      <w:r>
        <w:rPr>
          <w:rFonts w:ascii="Times New Roman" w:hAnsi="Times New Roman" w:eastAsia="宋体"/>
          <w:sz w:val="21"/>
        </w:rPr>
        <w:fldChar w:fldCharType="begin"/>
      </w:r>
      <w:r>
        <w:rPr>
          <w:rFonts w:ascii="Times New Roman" w:hAnsi="Times New Roman" w:eastAsia="宋体"/>
          <w:sz w:val="21"/>
        </w:rPr>
        <w:instrText xml:space="preserve"> SEQ Figure \* ARABIC </w:instrText>
      </w:r>
      <w:r>
        <w:rPr>
          <w:rFonts w:ascii="Times New Roman" w:hAnsi="Times New Roman" w:eastAsia="宋体"/>
          <w:sz w:val="21"/>
        </w:rPr>
        <w:fldChar w:fldCharType="separate"/>
      </w:r>
      <w:r>
        <w:rPr>
          <w:rFonts w:ascii="Times New Roman" w:hAnsi="Times New Roman" w:eastAsia="宋体"/>
          <w:sz w:val="21"/>
        </w:rPr>
        <w:t>4</w:t>
      </w:r>
      <w:r>
        <w:rPr>
          <w:rFonts w:ascii="Times New Roman" w:hAnsi="Times New Roman" w:eastAsia="宋体"/>
          <w:sz w:val="21"/>
        </w:rPr>
        <w:fldChar w:fldCharType="end"/>
      </w:r>
      <w:bookmarkEnd w:id="68"/>
      <w:r>
        <w:rPr>
          <w:rFonts w:ascii="Times New Roman" w:hAnsi="Times New Roman" w:eastAsia="宋体"/>
          <w:sz w:val="21"/>
        </w:rPr>
        <w:t xml:space="preserve">  项目总体进度安排</w:t>
      </w:r>
    </w:p>
    <w:p w14:paraId="13935738">
      <w:pPr>
        <w:ind w:firstLine="420"/>
        <w:jc w:val="both"/>
      </w:pPr>
      <w:r>
        <w:t>研究周期覆盖 2026 年 9 月至 2027 年 5 月。2026 年内完成开题修改、数据与模型兼容性审计，建立轨迹格式、同前缀回放和解析器的系统原型。2027 年 2 月起依次开展学生状态、完整词表散度及稀疏反馈诊断，在 3 月中期申请前形成可复查的阶段性记录。3—4 月完成系统双路径一致性测试、两项方法的同预算比较、组合与多种子分析；4—5 月撰写包含统一测试系统独立章节的论文和结题材料。</w:t>
      </w:r>
    </w:p>
    <w:p w14:paraId="2E4BC355">
      <w:pPr>
        <w:pStyle w:val="3"/>
      </w:pPr>
      <w:bookmarkStart w:id="69" w:name="_Toc1944428250"/>
      <w:r>
        <w:rPr>
          <w:rFonts w:ascii="黑体" w:hAnsi="黑体" w:eastAsia="黑体" w:cs="黑体"/>
          <w:b/>
          <w:color w:val="000000"/>
          <w:sz w:val="24"/>
        </w:rPr>
        <w:t>5.2 预期达到的目标</w:t>
      </w:r>
      <w:bookmarkEnd w:id="69"/>
    </w:p>
    <w:p w14:paraId="5C45F9E1">
      <w:pPr>
        <w:pStyle w:val="17"/>
        <w:ind w:firstLine="420"/>
        <w:jc w:val="both"/>
      </w:pPr>
      <w:r>
        <w:t>1. 提出并实现决策状态与散度目标联合调节的方法，在固定有效训练 token 预算下同时选择重点位置和双向散度权重；比较单独位置选择、单独目标调节与联合规则的梯度、稳定性和工具调用表现。</w:t>
      </w:r>
    </w:p>
    <w:p w14:paraId="661280AE">
      <w:pPr>
        <w:pStyle w:val="17"/>
        <w:ind w:firstLine="420"/>
        <w:jc w:val="both"/>
      </w:pPr>
      <w:r>
        <w:t>2. 提出并实现决策感知的稀疏教师反馈方法，在固定联合规则下比较 Top-K、尾部类别、学生感知支持集与同预算候选补入，报告尾部质量、任务效果和额外教师评分成本。</w:t>
      </w:r>
    </w:p>
    <w:p w14:paraId="4D24F9B5">
      <w:pPr>
        <w:pStyle w:val="17"/>
        <w:ind w:firstLine="420"/>
        <w:jc w:val="both"/>
      </w:pPr>
      <w:r>
        <w:t>3. 实现并验证统一测试系统，形成可重放轨迹、同前缀配对回放、独立闭环训练、结构化调用评测、错误追踪和分项资源报表；检验回放一致性、规则隔离、评价正确性与系统开销。</w:t>
      </w:r>
    </w:p>
    <w:p w14:paraId="444409D5">
      <w:pPr>
        <w:pStyle w:val="17"/>
        <w:ind w:firstLine="420"/>
        <w:jc w:val="both"/>
      </w:pPr>
      <w:r>
        <w:t>4. 统一记录损失、梯度、熵、残余概率质量、反馈字节数、教师前向时间、训练显存和任务表现，分析效果与资源开销之间的关系。</w:t>
      </w:r>
    </w:p>
    <w:p w14:paraId="1F6068D2">
      <w:pPr>
        <w:pStyle w:val="17"/>
        <w:ind w:firstLine="420"/>
        <w:jc w:val="both"/>
      </w:pPr>
      <w:r>
        <w:t>5. 使用 vLLM 或等效可复现程序评估最终学生模型，说明适用范围并分析失败案例；所有性能结论以实际运行结果为依据。</w:t>
      </w:r>
    </w:p>
    <w:p w14:paraId="34BA0ABE">
      <w:pPr>
        <w:pStyle w:val="17"/>
        <w:ind w:firstLine="420"/>
        <w:jc w:val="both"/>
      </w:pPr>
      <w:r>
        <w:t>6. 整理两项蒸馏方法和统一测试系统的实现、配置与原始记录，完成项目文档、毕业论文和答辩材料。</w:t>
      </w:r>
    </w:p>
    <w:p w14:paraId="11B7E0CE">
      <w:pPr>
        <w:ind w:firstLine="420"/>
        <w:jc w:val="both"/>
      </w:pPr>
      <w:r>
        <w:t>预期成果为两项方法研究和一项系统研究。联合方法形成监督位置与散度权重的协同规则，稀疏方法形成决策候选与尾部质量的有限反馈表示；统一测试系统提供配对回放、闭环评测和错误追踪。论文按三个研究问题分别讨论方法机制、任务效果、系统可信度与资源开销，各项价值以实际运行结果为依据。</w:t>
      </w:r>
    </w:p>
    <w:p w14:paraId="629A1AD4">
      <w:pPr>
        <w:pStyle w:val="2"/>
      </w:pPr>
      <w:bookmarkStart w:id="70" w:name="_Toc1746941351"/>
      <w:r>
        <w:rPr>
          <w:rFonts w:ascii="黑体" w:hAnsi="黑体" w:eastAsia="黑体" w:cs="黑体"/>
          <w:b/>
          <w:color w:val="000000"/>
          <w:sz w:val="28"/>
        </w:rPr>
        <w:t>6．课题已具备和所需的条件、经费</w:t>
      </w:r>
      <w:bookmarkEnd w:id="70"/>
    </w:p>
    <w:p w14:paraId="15508BCB">
      <w:pPr>
        <w:pStyle w:val="3"/>
      </w:pPr>
      <w:bookmarkStart w:id="71" w:name="_Toc446864473"/>
      <w:r>
        <w:rPr>
          <w:rFonts w:ascii="黑体" w:hAnsi="黑体" w:eastAsia="黑体" w:cs="黑体"/>
          <w:b/>
          <w:color w:val="000000"/>
          <w:sz w:val="24"/>
        </w:rPr>
        <w:t>6.1 已具备条件</w:t>
      </w:r>
      <w:bookmarkEnd w:id="71"/>
    </w:p>
    <w:p w14:paraId="27E56054">
      <w:pPr>
        <w:ind w:firstLine="420"/>
        <w:jc w:val="both"/>
      </w:pPr>
      <w:r>
        <w:t>目前已明确在线策略蒸馏与单轮 Function Calling 的研究范围，完成相关文献和候选模型资料调研。Qwen3-0.6B 学生、Qwen3-4B 教师与 LoRA 更新是拟用组合；准确版本、tokenizer、消息模板和硬件条件将在实验前核定。PyTorch、Transformers、PEFT、Datasets 与 vLLM 等开源工具可支持数据处理、训练和部署评测。</w:t>
      </w:r>
    </w:p>
    <w:p w14:paraId="649F9E8B">
      <w:pPr>
        <w:pStyle w:val="3"/>
      </w:pPr>
      <w:bookmarkStart w:id="72" w:name="_Toc700884152"/>
      <w:r>
        <w:rPr>
          <w:rFonts w:ascii="黑体" w:hAnsi="黑体" w:eastAsia="黑体" w:cs="黑体"/>
          <w:b/>
          <w:color w:val="000000"/>
          <w:sz w:val="24"/>
        </w:rPr>
        <w:t>6.2 所需条件</w:t>
      </w:r>
      <w:bookmarkEnd w:id="72"/>
    </w:p>
    <w:p w14:paraId="246A73AD">
      <w:pPr>
        <w:ind w:firstLine="420"/>
        <w:jc w:val="both"/>
      </w:pPr>
      <w:r>
        <w:t>软件环境需要 Python、PyTorch、Transformers、PEFT、Datasets 和 vLLM。硬件需支持教师在学生前缀上评分、部分位置的完整词表诊断，以及学生 rollout 与 LoRA 更新。候选方法还需取得补入 token 的教师概率，并记录额外评分成本。序列长度、批量大小、梯度累积、混合精度和缓存策略将依据可用显存确定。</w:t>
      </w:r>
    </w:p>
    <w:p w14:paraId="56F2417D">
      <w:pPr>
        <w:pStyle w:val="3"/>
      </w:pPr>
      <w:bookmarkStart w:id="73" w:name="_Toc812138869"/>
      <w:r>
        <w:rPr>
          <w:rFonts w:ascii="黑体" w:hAnsi="黑体" w:eastAsia="黑体" w:cs="黑体"/>
          <w:b/>
          <w:color w:val="000000"/>
          <w:sz w:val="24"/>
        </w:rPr>
        <w:t>6.3 经费</w:t>
      </w:r>
      <w:bookmarkEnd w:id="73"/>
    </w:p>
    <w:p w14:paraId="31301070">
      <w:pPr>
        <w:spacing w:before="0" w:after="0" w:line="360" w:lineRule="auto"/>
        <w:ind w:firstLine="420"/>
        <w:jc w:val="both"/>
      </w:pPr>
      <w:r>
        <w:rPr>
          <w:rFonts w:ascii="Times New Roman" w:hAnsi="Times New Roman" w:eastAsia="宋体"/>
          <w:sz w:val="24"/>
        </w:rPr>
        <w:t>经费主要用于租赁 GPU 算力，支持 Qwen3-4B 教师在线评分、Qwen3-0.6B 学生 rollout、LoRA 训练，以及多组对照与必要的重复实验。预算按计划上限编制，实际支出将依据 GPU 实例类型、有效运行时长和存储用量据实结算。</w:t>
      </w:r>
    </w:p>
    <w:p w14:paraId="646AF9F9">
      <w:pPr>
        <w:keepNext/>
        <w:spacing w:before="80" w:after="80" w:line="240" w:lineRule="auto"/>
        <w:ind w:left="0" w:right="0" w:firstLine="0"/>
        <w:jc w:val="center"/>
      </w:pPr>
      <w:r>
        <w:rPr>
          <w:rFonts w:ascii="Times New Roman" w:hAnsi="Times New Roman" w:eastAsia="Songti SC"/>
          <w:sz w:val="21"/>
        </w:rPr>
        <w:t xml:space="preserve">表 </w:t>
      </w:r>
      <w:bookmarkStart w:id="74" w:name="_RefTable6_1"/>
      <w:r>
        <w:rPr>
          <w:rFonts w:ascii="Times New Roman" w:hAnsi="Times New Roman" w:eastAsia="Songti SC"/>
          <w:sz w:val="21"/>
        </w:rPr>
        <w:t>6-</w:t>
      </w:r>
      <w:r>
        <w:rPr>
          <w:rFonts w:ascii="Times New Roman" w:hAnsi="Times New Roman" w:eastAsia="Songti SC"/>
          <w:sz w:val="21"/>
        </w:rPr>
        <w:fldChar w:fldCharType="begin"/>
      </w:r>
      <w:r>
        <w:rPr>
          <w:rFonts w:ascii="Times New Roman" w:hAnsi="Times New Roman" w:eastAsia="Songti SC"/>
          <w:sz w:val="21"/>
        </w:rPr>
        <w:instrText xml:space="preserve"> SEQ TableCh6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74"/>
      <w:r>
        <w:rPr>
          <w:rFonts w:ascii="Times New Roman" w:hAnsi="Times New Roman" w:eastAsia="Songti SC"/>
          <w:sz w:val="21"/>
        </w:rPr>
        <w:t xml:space="preserve">  经费预算</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C2DD1FB">
        <w:trPr>
          <w:jc w:val="center"/>
        </w:trPr>
        <w:tc>
          <w:tcPr>
            <w:tcW w:w="2076" w:type="dxa"/>
            <w:vAlign w:val="center"/>
          </w:tcPr>
          <w:p w14:paraId="3C121689">
            <w:pPr>
              <w:spacing w:before="0" w:after="0" w:line="240" w:lineRule="auto"/>
              <w:ind w:firstLine="0"/>
              <w:jc w:val="center"/>
            </w:pPr>
            <w:r>
              <w:rPr>
                <w:rFonts w:ascii="Times New Roman" w:hAnsi="Times New Roman" w:eastAsia="宋体"/>
                <w:b/>
                <w:sz w:val="17"/>
              </w:rPr>
              <w:t>经费项目</w:t>
            </w:r>
          </w:p>
        </w:tc>
        <w:tc>
          <w:tcPr>
            <w:tcW w:w="2076" w:type="dxa"/>
            <w:vAlign w:val="center"/>
          </w:tcPr>
          <w:p w14:paraId="504374F8">
            <w:pPr>
              <w:spacing w:before="0" w:after="0" w:line="240" w:lineRule="auto"/>
              <w:ind w:firstLine="0"/>
              <w:jc w:val="center"/>
            </w:pPr>
            <w:r>
              <w:rPr>
                <w:rFonts w:ascii="Times New Roman" w:hAnsi="Times New Roman" w:eastAsia="宋体"/>
                <w:b/>
                <w:sz w:val="17"/>
              </w:rPr>
              <w:t>预算金额（元）</w:t>
            </w:r>
          </w:p>
        </w:tc>
        <w:tc>
          <w:tcPr>
            <w:tcW w:w="2076" w:type="dxa"/>
            <w:vAlign w:val="center"/>
          </w:tcPr>
          <w:p w14:paraId="7EA34E55">
            <w:pPr>
              <w:spacing w:before="0" w:after="0" w:line="240" w:lineRule="auto"/>
              <w:ind w:firstLine="0"/>
              <w:jc w:val="center"/>
            </w:pPr>
            <w:r>
              <w:rPr>
                <w:rFonts w:ascii="Times New Roman" w:hAnsi="Times New Roman" w:eastAsia="宋体"/>
                <w:b/>
                <w:sz w:val="17"/>
              </w:rPr>
              <w:t>主要用途</w:t>
            </w:r>
          </w:p>
        </w:tc>
        <w:tc>
          <w:tcPr>
            <w:tcW w:w="2076" w:type="dxa"/>
            <w:vAlign w:val="center"/>
          </w:tcPr>
          <w:p w14:paraId="51138F93">
            <w:pPr>
              <w:spacing w:before="0" w:after="0" w:line="240" w:lineRule="auto"/>
              <w:ind w:firstLine="0"/>
              <w:jc w:val="center"/>
            </w:pPr>
            <w:r>
              <w:rPr>
                <w:rFonts w:ascii="Times New Roman" w:hAnsi="Times New Roman" w:eastAsia="宋体"/>
                <w:b/>
                <w:sz w:val="17"/>
              </w:rPr>
              <w:t>控制方式</w:t>
            </w:r>
          </w:p>
        </w:tc>
      </w:tr>
      <w:tr w14:paraId="4EE61648">
        <w:trPr>
          <w:jc w:val="center"/>
        </w:trPr>
        <w:tc>
          <w:tcPr>
            <w:tcW w:w="2076" w:type="dxa"/>
            <w:vAlign w:val="center"/>
          </w:tcPr>
          <w:p w14:paraId="749F58B2">
            <w:pPr>
              <w:spacing w:before="0" w:after="0" w:line="240" w:lineRule="auto"/>
              <w:ind w:firstLine="0"/>
              <w:jc w:val="center"/>
            </w:pPr>
            <w:r>
              <w:rPr>
                <w:rFonts w:ascii="Times New Roman" w:hAnsi="Times New Roman" w:eastAsia="宋体"/>
                <w:b w:val="0"/>
                <w:sz w:val="17"/>
              </w:rPr>
              <w:t>GPU 算力租赁</w:t>
            </w:r>
          </w:p>
        </w:tc>
        <w:tc>
          <w:tcPr>
            <w:tcW w:w="2076" w:type="dxa"/>
            <w:vAlign w:val="center"/>
          </w:tcPr>
          <w:p w14:paraId="4FE87205">
            <w:pPr>
              <w:spacing w:before="0" w:after="0" w:line="240" w:lineRule="auto"/>
              <w:ind w:firstLine="0"/>
              <w:jc w:val="center"/>
              <w:rPr>
                <w:rFonts w:hint="default" w:eastAsia="宋体"/>
                <w:lang w:val="en-US" w:eastAsia="zh-CN"/>
              </w:rPr>
            </w:pPr>
            <w:r>
              <w:rPr>
                <w:rFonts w:hint="eastAsia"/>
                <w:b w:val="0"/>
                <w:sz w:val="17"/>
                <w:lang w:eastAsia="zh-CN"/>
              </w:rPr>
              <w:t>～</w:t>
            </w:r>
            <w:r>
              <w:rPr>
                <w:rFonts w:hint="eastAsia"/>
                <w:b w:val="0"/>
                <w:sz w:val="17"/>
                <w:lang w:val="en-US" w:eastAsia="zh-CN"/>
              </w:rPr>
              <w:t>1000</w:t>
            </w:r>
          </w:p>
        </w:tc>
        <w:tc>
          <w:tcPr>
            <w:tcW w:w="2076" w:type="dxa"/>
            <w:vAlign w:val="center"/>
          </w:tcPr>
          <w:p w14:paraId="5D512F11">
            <w:pPr>
              <w:spacing w:before="0" w:after="0" w:line="240" w:lineRule="auto"/>
              <w:ind w:firstLine="0"/>
              <w:jc w:val="center"/>
              <w:rPr>
                <w:rFonts w:hint="default" w:eastAsia="宋体"/>
                <w:lang w:val="en-US" w:eastAsia="zh-CN"/>
              </w:rPr>
            </w:pPr>
            <w:r>
              <w:rPr>
                <w:rFonts w:ascii="Times New Roman" w:hAnsi="Times New Roman" w:eastAsia="宋体"/>
                <w:b w:val="0"/>
                <w:sz w:val="17"/>
              </w:rPr>
              <w:t>教师评分、学生 rollout、LoRA 更新和三阶段对照；拟用 RTX 5090 32 GB。</w:t>
            </w:r>
          </w:p>
        </w:tc>
        <w:tc>
          <w:tcPr>
            <w:tcW w:w="2076" w:type="dxa"/>
            <w:vAlign w:val="center"/>
          </w:tcPr>
          <w:p w14:paraId="0925485A">
            <w:pPr>
              <w:spacing w:before="0" w:after="0" w:line="240" w:lineRule="auto"/>
              <w:ind w:firstLine="0"/>
              <w:jc w:val="center"/>
              <w:rPr>
                <w:rFonts w:hint="default" w:eastAsia="宋体"/>
                <w:lang w:val="en-US" w:eastAsia="zh-CN"/>
              </w:rPr>
            </w:pPr>
            <w:r>
              <w:rPr>
                <w:rFonts w:ascii="Times New Roman" w:hAnsi="Times New Roman" w:eastAsia="宋体"/>
                <w:b w:val="0"/>
                <w:sz w:val="17"/>
              </w:rPr>
              <w:t>按小时计费，预计费率为 8 元／小时</w:t>
            </w:r>
          </w:p>
        </w:tc>
      </w:tr>
      <w:tr w14:paraId="525F4864">
        <w:trPr>
          <w:jc w:val="center"/>
        </w:trPr>
        <w:tc>
          <w:tcPr>
            <w:tcW w:w="2076" w:type="dxa"/>
            <w:vAlign w:val="center"/>
          </w:tcPr>
          <w:p w14:paraId="302DE3CF">
            <w:pPr>
              <w:spacing w:before="0" w:after="0" w:line="240" w:lineRule="auto"/>
              <w:ind w:firstLine="0"/>
              <w:jc w:val="center"/>
            </w:pPr>
            <w:r>
              <w:rPr>
                <w:rFonts w:ascii="Times New Roman" w:hAnsi="Times New Roman" w:eastAsia="宋体"/>
                <w:b w:val="0"/>
                <w:sz w:val="17"/>
              </w:rPr>
              <w:t>合计</w:t>
            </w:r>
          </w:p>
        </w:tc>
        <w:tc>
          <w:tcPr>
            <w:tcW w:w="2076" w:type="dxa"/>
            <w:vAlign w:val="center"/>
          </w:tcPr>
          <w:p w14:paraId="4A52070C">
            <w:pPr>
              <w:spacing w:before="0" w:after="0" w:line="240" w:lineRule="auto"/>
              <w:ind w:firstLine="0"/>
              <w:jc w:val="center"/>
              <w:rPr>
                <w:rFonts w:hint="default" w:eastAsia="宋体"/>
                <w:lang w:val="en-US" w:eastAsia="zh-CN"/>
              </w:rPr>
            </w:pPr>
            <w:r>
              <w:rPr>
                <w:rFonts w:hint="eastAsia"/>
                <w:b w:val="0"/>
                <w:sz w:val="17"/>
                <w:lang w:val="en-US" w:eastAsia="zh-CN"/>
              </w:rPr>
              <w:t>～</w:t>
            </w:r>
            <w:r>
              <w:rPr>
                <w:rFonts w:hint="default"/>
                <w:b w:val="0"/>
                <w:sz w:val="17"/>
                <w:lang w:val="en-US" w:eastAsia="zh-CN"/>
              </w:rPr>
              <w:t>1000</w:t>
            </w:r>
          </w:p>
        </w:tc>
        <w:tc>
          <w:tcPr>
            <w:tcW w:w="2076" w:type="dxa"/>
            <w:vAlign w:val="center"/>
          </w:tcPr>
          <w:p w14:paraId="3475160D">
            <w:pPr>
              <w:spacing w:before="0" w:after="0" w:line="240" w:lineRule="auto"/>
              <w:ind w:firstLine="0"/>
              <w:jc w:val="center"/>
              <w:rPr>
                <w:rFonts w:hint="default" w:eastAsia="宋体"/>
                <w:lang w:val="en-US" w:eastAsia="zh-CN"/>
              </w:rPr>
            </w:pPr>
            <w:r>
              <w:rPr>
                <w:rFonts w:hint="default"/>
                <w:lang w:val="en-US" w:eastAsia="zh-CN"/>
              </w:rPr>
              <w:t>—</w:t>
            </w:r>
          </w:p>
        </w:tc>
        <w:tc>
          <w:tcPr>
            <w:tcW w:w="2076" w:type="dxa"/>
            <w:vAlign w:val="center"/>
          </w:tcPr>
          <w:p w14:paraId="4887EE35">
            <w:pPr>
              <w:spacing w:before="0" w:after="0" w:line="240" w:lineRule="auto"/>
              <w:ind w:firstLine="0"/>
              <w:jc w:val="center"/>
              <w:rPr>
                <w:rFonts w:hint="default" w:eastAsia="宋体"/>
                <w:lang w:val="en-US" w:eastAsia="zh-CN"/>
              </w:rPr>
            </w:pPr>
            <w:r>
              <w:rPr>
                <w:rFonts w:hint="default"/>
                <w:lang w:val="en-US" w:eastAsia="zh-CN"/>
              </w:rPr>
              <w:t>—</w:t>
            </w:r>
          </w:p>
        </w:tc>
      </w:tr>
    </w:tbl>
    <w:p w14:paraId="15A9EA17">
      <w:pPr>
        <w:pStyle w:val="2"/>
        <w:pageBreakBefore/>
      </w:pPr>
      <w:bookmarkStart w:id="75" w:name="_Toc211910951"/>
      <w:r>
        <w:rPr>
          <w:rFonts w:ascii="黑体" w:hAnsi="黑体" w:eastAsia="黑体" w:cs="黑体"/>
          <w:b/>
          <w:color w:val="000000"/>
          <w:sz w:val="28"/>
        </w:rPr>
        <w:t>7．研究过程中可能遇到的困难和问题，解决的措施</w:t>
      </w:r>
      <w:bookmarkEnd w:id="75"/>
    </w:p>
    <w:p w14:paraId="2A5C30F9">
      <w:pPr>
        <w:ind w:firstLine="420"/>
        <w:jc w:val="both"/>
      </w:pPr>
      <w:r>
        <w:t>主要风险涉及决策位置的可靠标注、位置条件化目标的稳定性、稀疏支持集的收益，以及统一测试系统的轨迹对齐和回放可信度。表 7-1 分别列出检查方式与处理措施。</w:t>
      </w:r>
    </w:p>
    <w:p w14:paraId="21DF0A10">
      <w:pPr>
        <w:keepNext/>
        <w:spacing w:before="80" w:after="80" w:line="240" w:lineRule="auto"/>
        <w:ind w:left="0" w:right="0" w:firstLine="0"/>
        <w:jc w:val="center"/>
      </w:pPr>
      <w:r>
        <w:rPr>
          <w:rFonts w:ascii="Times New Roman" w:hAnsi="Times New Roman" w:eastAsia="Songti SC"/>
          <w:sz w:val="21"/>
        </w:rPr>
        <w:t xml:space="preserve">表 </w:t>
      </w:r>
      <w:bookmarkStart w:id="76" w:name="_RefTable7_1"/>
      <w:r>
        <w:rPr>
          <w:rFonts w:ascii="Times New Roman" w:hAnsi="Times New Roman" w:eastAsia="Songti SC"/>
          <w:sz w:val="21"/>
        </w:rPr>
        <w:t>7-</w:t>
      </w:r>
      <w:r>
        <w:rPr>
          <w:rFonts w:ascii="Times New Roman" w:hAnsi="Times New Roman" w:eastAsia="Songti SC"/>
          <w:sz w:val="21"/>
        </w:rPr>
        <w:fldChar w:fldCharType="begin"/>
      </w:r>
      <w:r>
        <w:rPr>
          <w:rFonts w:ascii="Times New Roman" w:hAnsi="Times New Roman" w:eastAsia="Songti SC"/>
          <w:sz w:val="21"/>
        </w:rPr>
        <w:instrText xml:space="preserve"> SEQ TableCh7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76"/>
      <w:r>
        <w:rPr>
          <w:rFonts w:ascii="Times New Roman" w:hAnsi="Times New Roman" w:eastAsia="Songti SC"/>
          <w:sz w:val="21"/>
        </w:rPr>
        <w:t xml:space="preserve">  研究困难及解决措施</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5D113B3">
        <w:trPr>
          <w:cantSplit/>
          <w:tblHeader/>
        </w:trPr>
        <w:tc>
          <w:tcPr>
            <w:tcW w:w="4148" w:type="dxa"/>
          </w:tcPr>
          <w:p w14:paraId="4D407EE9">
            <w:pPr>
              <w:ind w:firstLine="0"/>
              <w:jc w:val="left"/>
            </w:pPr>
            <w:r>
              <w:rPr>
                <w:b/>
              </w:rPr>
              <w:t>可能遇到的困难和问题</w:t>
            </w:r>
          </w:p>
        </w:tc>
        <w:tc>
          <w:tcPr>
            <w:tcW w:w="4148" w:type="dxa"/>
          </w:tcPr>
          <w:p w14:paraId="1E1D7A71">
            <w:pPr>
              <w:ind w:firstLine="0"/>
              <w:jc w:val="left"/>
            </w:pPr>
            <w:r>
              <w:t>解决措施</w:t>
            </w:r>
          </w:p>
        </w:tc>
      </w:tr>
      <w:tr w14:paraId="1085C875">
        <w:trPr>
          <w:cantSplit/>
        </w:trPr>
        <w:tc>
          <w:tcPr>
            <w:tcW w:w="4148" w:type="dxa"/>
          </w:tcPr>
          <w:p w14:paraId="46825A20">
            <w:pPr>
              <w:ind w:firstLine="0"/>
              <w:jc w:val="left"/>
            </w:pPr>
            <w:r>
              <w:t>师生 tokenizer、模板或特殊 token 不兼容</w:t>
            </w:r>
          </w:p>
        </w:tc>
        <w:tc>
          <w:tcPr>
            <w:tcW w:w="4148" w:type="dxa"/>
          </w:tcPr>
          <w:p w14:paraId="1363BBD0">
            <w:pPr>
              <w:ind w:firstLine="0"/>
              <w:jc w:val="left"/>
            </w:pPr>
            <w:r>
              <w:t>训练前审计并记录版本，通过对齐测试统一蒸馏输入。</w:t>
            </w:r>
          </w:p>
        </w:tc>
      </w:tr>
      <w:tr w14:paraId="134BDAAD">
        <w:trPr>
          <w:cantSplit/>
        </w:trPr>
        <w:tc>
          <w:tcPr>
            <w:tcW w:w="4148" w:type="dxa"/>
          </w:tcPr>
          <w:p w14:paraId="269B361C">
            <w:pPr>
              <w:ind w:firstLine="0"/>
              <w:jc w:val="left"/>
            </w:pPr>
            <w:r>
              <w:t>决策状态标注或选择规则不稳定</w:t>
            </w:r>
          </w:p>
        </w:tc>
        <w:tc>
          <w:tcPr>
            <w:tcW w:w="4148" w:type="dxa"/>
          </w:tcPr>
          <w:p w14:paraId="60A7D942">
            <w:pPr>
              <w:ind w:firstLine="0"/>
              <w:jc w:val="left"/>
            </w:pPr>
            <w:r>
              <w:t>只用消息边界、schema 和可复查的分歧信号选位置；人工抽查标签，比较均匀与结构优先基线，不以任务真值决定训练位置。</w:t>
            </w:r>
          </w:p>
        </w:tc>
      </w:tr>
      <w:tr w14:paraId="66668A77">
        <w:trPr>
          <w:cantSplit/>
        </w:trPr>
        <w:tc>
          <w:tcPr>
            <w:tcW w:w="4148" w:type="dxa"/>
          </w:tcPr>
          <w:p w14:paraId="56DC85CD">
            <w:pPr>
              <w:ind w:firstLine="0"/>
              <w:jc w:val="left"/>
            </w:pPr>
            <w:r>
              <w:t>位置条件化散度权重过拟合或产生异常梯度</w:t>
            </w:r>
          </w:p>
        </w:tc>
        <w:tc>
          <w:tcPr>
            <w:tcW w:w="4148" w:type="dxa"/>
          </w:tcPr>
          <w:p w14:paraId="05CCDD09">
            <w:pPr>
              <w:ind w:firstLine="0"/>
              <w:jc w:val="left"/>
            </w:pPr>
            <w:r>
              <w:t>先核对完整词表损失与梯度，限制权重范围；仅用训练集诊断和验证集定规则，并与单一散度及全局混合比较。</w:t>
            </w:r>
          </w:p>
        </w:tc>
      </w:tr>
      <w:tr w14:paraId="675E933A">
        <w:trPr>
          <w:cantSplit/>
        </w:trPr>
        <w:tc>
          <w:tcPr>
            <w:tcW w:w="4148" w:type="dxa"/>
          </w:tcPr>
          <w:p w14:paraId="650F6C3E">
            <w:pPr>
              <w:ind w:firstLine="0"/>
              <w:jc w:val="left"/>
            </w:pPr>
            <w:r>
              <w:t>Top-K 尾部质量小，或遗漏决策 token 的频率低</w:t>
            </w:r>
          </w:p>
        </w:tc>
        <w:tc>
          <w:tcPr>
            <w:tcW w:w="4148" w:type="dxa"/>
          </w:tcPr>
          <w:p w14:paraId="3BB1B133">
            <w:pPr>
              <w:ind w:firstLine="0"/>
              <w:jc w:val="left"/>
            </w:pPr>
            <w:r>
              <w:t>分别测量尾部总量、漏选率和梯度偏差；若现象不显著，收缩方法主张，不以个别案例代替总体证据。</w:t>
            </w:r>
          </w:p>
        </w:tc>
      </w:tr>
      <w:tr w14:paraId="664DFE22">
        <w:trPr>
          <w:cantSplit/>
        </w:trPr>
        <w:tc>
          <w:tcPr>
            <w:tcW w:w="4148" w:type="dxa"/>
          </w:tcPr>
          <w:p w14:paraId="2D772E21">
            <w:pPr>
              <w:ind w:firstLine="0"/>
              <w:jc w:val="left"/>
            </w:pPr>
            <w:r>
              <w:t>候选补入带来额外教师评分，收益与成本不匹配</w:t>
            </w:r>
          </w:p>
        </w:tc>
        <w:tc>
          <w:tcPr>
            <w:tcW w:w="4148" w:type="dxa"/>
          </w:tcPr>
          <w:p w14:paraId="0595ED00">
            <w:pPr>
              <w:ind w:firstLine="0"/>
              <w:jc w:val="left"/>
            </w:pPr>
            <w:r>
              <w:t>在同 K、同反馈量及同训练预算下与固定 K、尾部类别方法比较，单独记录教师前向时间与反馈字节数。</w:t>
            </w:r>
          </w:p>
        </w:tc>
      </w:tr>
      <w:tr w14:paraId="6EC9B915">
        <w:tc>
          <w:tcPr>
            <w:tcW w:w="4148" w:type="dxa"/>
          </w:tcPr>
          <w:p>
            <w:r>
              <w:t>配对回放与闭环训练的轨迹、解析和成本口径不一致，导致比较失真</w:t>
            </w:r>
          </w:p>
        </w:tc>
        <w:tc>
          <w:tcPr>
            <w:tcW w:w="4148" w:type="dxa"/>
          </w:tcPr>
          <w:p>
            <w:r>
              <w:t>统一样本与轨迹标识、解析器版本和配置；用固定样本验证回放一致性与单变量隔离，闭环实验固定起点和预算；保存原始预测、失败样本、环境与代码版本，并单独计量系统开销。</w:t>
            </w:r>
          </w:p>
        </w:tc>
      </w:tr>
    </w:tbl>
    <w:p w14:paraId="7661A5B1">
      <w:pPr>
        <w:ind w:firstLine="420"/>
        <w:jc w:val="both"/>
      </w:pPr>
      <w:r>
        <w:t>实施时先建立统一测试系统的最小闭环：人工小样本、固定学生前缀、教师同前缀评分、调用解析和轨迹记录。通过回放一致性与规则隔离检查后，接入决策状态与散度目标的联合方法，再接入稀疏反馈方法。各阶段保存输入、位置掩码、权重、支持集、损失、梯度和失败调用；闭环实验共享学生起点、训练预算与评价规则，同时允许各方法产生自身轨迹。</w:t>
      </w:r>
    </w:p>
    <w:p w14:paraId="59D0F03A">
      <w:pPr>
        <w:ind w:firstLine="420"/>
        <w:jc w:val="both"/>
      </w:pPr>
      <w:r>
        <w:t>实验日志分别记录状态与数据、目标与梯度、稀疏反馈与资源、部署与评测中的问题。结果按格式解析、函数选择、参数生成，以及具备执行环境时的工具执行和端到端表现分层报告。散度效果接近时，继续分析其梯度和错误分布；候选支持集的收益若不足以抵消成本，则如实呈现诊断、消融与失败案例。</w:t>
      </w:r>
    </w:p>
    <w:p w14:paraId="1E1D72DA">
      <w:pPr>
        <w:ind w:firstLine="420"/>
        <w:jc w:val="both"/>
      </w:pPr>
      <w:r>
        <w:t>候选方法的风险集中在现象强度与成本收益。教师 Top-K 外的概率总量可能较小，因此需单独检查学生高估的函数入口等决策 token 是否漏选；两类指标分别统计。补入候选和按位置分配 K 还可能增加教师评分及反馈字节数。研究先在小样本上确定问题规模，再按相同 K、相同反馈量和相同训练预算比较固定 K、尾部类别与联合方案。若决策漏选缺乏稳定证据，或收益无法重复，将据实际错误收缩方法范围。</w:t>
      </w:r>
    </w:p>
    <w:p w14:paraId="0874BB6A">
      <w:pPr>
        <w:pStyle w:val="2"/>
      </w:pPr>
      <w:bookmarkStart w:id="77" w:name="_Toc1059466731"/>
      <w:r>
        <w:rPr>
          <w:rFonts w:ascii="黑体" w:hAnsi="黑体" w:eastAsia="黑体" w:cs="黑体"/>
          <w:b/>
          <w:color w:val="000000"/>
          <w:sz w:val="28"/>
        </w:rPr>
        <w:t>8．主要参考文献</w:t>
      </w:r>
      <w:bookmarkEnd w:id="77"/>
    </w:p>
    <w:p w14:paraId="1DB37AB9">
      <w:pPr>
        <w:pStyle w:val="17"/>
        <w:numPr>
          <w:ilvl w:val="0"/>
          <w:numId w:val="1"/>
        </w:numPr>
        <w:ind w:firstLine="420"/>
        <w:jc w:val="both"/>
      </w:pPr>
      <w:r>
        <w:t>Hinton G, Vinyals O, Dean J. Distilling the Knowledge in a Neural Network[EB/OL]. arXiv:1503.02531, 2015.</w:t>
      </w:r>
    </w:p>
    <w:p w14:paraId="1ADC76CC">
      <w:pPr>
        <w:pStyle w:val="17"/>
        <w:numPr>
          <w:ilvl w:val="0"/>
          <w:numId w:val="1"/>
        </w:numPr>
        <w:ind w:firstLine="420"/>
        <w:jc w:val="both"/>
      </w:pPr>
      <w:r>
        <w:t>Kim Y, Rush A M. Sequence-Level Knowledge Distillation[C]//Proceedings of the 2016 Conference on Empirical Methods in Natural Language Processing. ACL, 2016: 1317-1327. DOI:10.18653/v1/D16-1139.</w:t>
      </w:r>
    </w:p>
    <w:p w14:paraId="4F6C6FD9">
      <w:pPr>
        <w:pStyle w:val="17"/>
        <w:numPr>
          <w:ilvl w:val="0"/>
          <w:numId w:val="1"/>
        </w:numPr>
        <w:ind w:firstLine="420"/>
        <w:jc w:val="both"/>
      </w:pPr>
      <w:r>
        <w:t>Ross S, Gordon G J, Bagnell J A. A Reduction of Imitation Learning and Structured Prediction to No-Regret Online Learning[C]//Proceedings of the Fourteenth International Conference on Artificial Intelligence and Statistics. PMLR, 2011, 15: 627-635.</w:t>
      </w:r>
    </w:p>
    <w:p w14:paraId="419C77D5">
      <w:pPr>
        <w:pStyle w:val="17"/>
        <w:numPr>
          <w:ilvl w:val="0"/>
          <w:numId w:val="1"/>
        </w:numPr>
        <w:ind w:firstLine="420"/>
        <w:jc w:val="both"/>
      </w:pPr>
      <w:r>
        <w:t>Lin A, Wohlwend J, Chen H, et al. Autoregressive Knowledge Distillation through Imitation Learning[C]//Proceedings of the 2020 Conference on Empirical Methods in Natural Language Processing. ACL, 2020: 6121-6133. DOI:10.18653/v1/2020.emnlp-main.494.</w:t>
      </w:r>
    </w:p>
    <w:p w14:paraId="42B2BBD4">
      <w:pPr>
        <w:pStyle w:val="17"/>
        <w:numPr>
          <w:ilvl w:val="0"/>
          <w:numId w:val="1"/>
        </w:numPr>
        <w:ind w:firstLine="420"/>
        <w:jc w:val="both"/>
      </w:pPr>
      <w:r>
        <w:t>Huszár F. How (not) to Train your Generative Model: Scheduled Sampling, Likelihood, Adversary?[EB/OL]. arXiv:1511.05101, 2015.</w:t>
      </w:r>
    </w:p>
    <w:p w14:paraId="6C24ECAE">
      <w:pPr>
        <w:pStyle w:val="17"/>
        <w:numPr>
          <w:ilvl w:val="0"/>
          <w:numId w:val="1"/>
        </w:numPr>
        <w:ind w:firstLine="420"/>
        <w:jc w:val="both"/>
      </w:pPr>
      <w:r>
        <w:t>Wen Y, Li Z, Du W, et al. f-Divergence Minimization for Sequence-Level Knowledge Distillation[C]//Proceedings of the 61st Annual Meeting of the Association for Computational Linguistics. ACL, 2023: 10817-10834. DOI:10.18653/v1/2023.acl-long.605.</w:t>
      </w:r>
    </w:p>
    <w:p w14:paraId="1545F16B">
      <w:pPr>
        <w:pStyle w:val="17"/>
        <w:numPr>
          <w:ilvl w:val="0"/>
          <w:numId w:val="1"/>
        </w:numPr>
        <w:ind w:firstLine="420"/>
        <w:jc w:val="both"/>
      </w:pPr>
      <w:r>
        <w:t>Agarwal R, Vieillard N, Zhou Y, et al. On-Policy Distillation of Language Models: Learning from Self-Generated Mistakes[C]//International Conference on Learning Representations. 2024. arXiv:2306.13649.</w:t>
      </w:r>
    </w:p>
    <w:p w14:paraId="7DB42AF6">
      <w:pPr>
        <w:pStyle w:val="17"/>
        <w:numPr>
          <w:ilvl w:val="0"/>
          <w:numId w:val="1"/>
        </w:numPr>
        <w:ind w:firstLine="420"/>
        <w:jc w:val="both"/>
      </w:pPr>
      <w:r>
        <w:t>Gu Y, Dong L, Wei F, et al. MiniLLM: Knowledge Distillation of Large Language Models[C]//International Conference on Learning Representations. 2024. arXiv:2306.08543.</w:t>
      </w:r>
    </w:p>
    <w:p w14:paraId="719D2FB1">
      <w:pPr>
        <w:pStyle w:val="17"/>
        <w:numPr>
          <w:ilvl w:val="0"/>
          <w:numId w:val="1"/>
        </w:numPr>
        <w:ind w:firstLine="420"/>
        <w:jc w:val="both"/>
      </w:pPr>
      <w:r>
        <w:t>Ko J, Kim S, Chen T, et al. DistiLLM: Towards Streamlined Distillation for Large Language Models[C]//Proceedings of the 41st International Conference on Machine Learning. PMLR, 2024, 235: 24872-24895.</w:t>
      </w:r>
    </w:p>
    <w:p w14:paraId="1C80C04E">
      <w:pPr>
        <w:pStyle w:val="17"/>
        <w:numPr>
          <w:ilvl w:val="0"/>
          <w:numId w:val="1"/>
        </w:numPr>
        <w:ind w:firstLine="420"/>
        <w:jc w:val="both"/>
      </w:pPr>
      <w:r>
        <w:t>Koo J, Hwang Y, Kim Y, et al. SWITCH: Studying with Teacher for Knowledge Distillation of Large Language Models[C]//Findings of the Association for Computational Linguistics: NAACL 2025. ACL, 2025: 3733-3746. DOI:10.18653/v1/2025.findings-naacl.206.</w:t>
      </w:r>
    </w:p>
    <w:p w14:paraId="23921927">
      <w:pPr>
        <w:pStyle w:val="17"/>
        <w:numPr>
          <w:ilvl w:val="0"/>
          <w:numId w:val="1"/>
        </w:numPr>
        <w:ind w:firstLine="420"/>
        <w:jc w:val="both"/>
      </w:pPr>
      <w:r>
        <w:t>Zhang D, Yang Z, Janghorbani S, et al. Fast and Effective On-Policy Distillation from Reasoning Prefixes[C]//Findings of the Association for Computational Linguistics: ACL 2026. ACL, 2026: 25553-25569. DOI:10.18653/v1/2026.findings-acl.1276.</w:t>
      </w:r>
    </w:p>
    <w:p w14:paraId="32C3FCC3">
      <w:pPr>
        <w:pStyle w:val="17"/>
        <w:numPr>
          <w:ilvl w:val="0"/>
          <w:numId w:val="1"/>
        </w:numPr>
        <w:ind w:firstLine="420"/>
        <w:jc w:val="both"/>
      </w:pPr>
      <w:r>
        <w:t>Jang I, Yeom J, Yeo J, et al. Stable On-Policy Distillation through Adaptive Target Reformulation[C]//Findings of the Association for Computational Linguistics: ACL 2026. ACL, 2026: 42217-42227. DOI:10.18653/v1/2026.findings-acl.2094.</w:t>
      </w:r>
    </w:p>
    <w:p w14:paraId="4B227259">
      <w:pPr>
        <w:pStyle w:val="17"/>
        <w:numPr>
          <w:ilvl w:val="0"/>
          <w:numId w:val="1"/>
        </w:numPr>
        <w:ind w:firstLine="420"/>
        <w:jc w:val="both"/>
      </w:pPr>
      <w:r>
        <w:t>Kim G, Jang D, Yang E. PromptKD: Distilling Student-Friendly Knowledge for Generative Language Models via Prompt Tuning[C]//Findings of the Association for Computational Linguistics: EMNLP 2024. ACL, 2024: 6266-6282. DOI:10.18653/v1/2024.findings-emnlp.364.</w:t>
      </w:r>
    </w:p>
    <w:p w14:paraId="529E3E43">
      <w:pPr>
        <w:pStyle w:val="17"/>
        <w:numPr>
          <w:ilvl w:val="0"/>
          <w:numId w:val="1"/>
        </w:numPr>
        <w:ind w:firstLine="420"/>
        <w:jc w:val="both"/>
      </w:pPr>
      <w:r>
        <w:t>Zhu X, Li J, Liu Y, et al. A Survey on Model Compression for Large Language Models[J]. Transactions of the Association for Computational Linguistics, 2024, 12: 1556-1577. DOI:10.1162/tacl_a_00704.</w:t>
      </w:r>
    </w:p>
    <w:p w14:paraId="319C7304">
      <w:pPr>
        <w:pStyle w:val="17"/>
        <w:numPr>
          <w:ilvl w:val="0"/>
          <w:numId w:val="1"/>
        </w:numPr>
        <w:ind w:firstLine="420"/>
        <w:jc w:val="both"/>
      </w:pPr>
      <w:r>
        <w:t>Peng H, Lv X, Bai Y, et al. Pre-training Distillation for Large Language Models: A Design Space Exploration[C]//Proceedings of the 63rd Annual Meeting of the Association for Computational Linguistics. ACL, 2025: 3603-3618. DOI:10.18653/v1/2025.acl-long.181.</w:t>
      </w:r>
    </w:p>
    <w:p w14:paraId="6F2F83D3">
      <w:pPr>
        <w:pStyle w:val="17"/>
        <w:numPr>
          <w:ilvl w:val="0"/>
          <w:numId w:val="1"/>
        </w:numPr>
        <w:ind w:firstLine="420"/>
        <w:jc w:val="both"/>
      </w:pPr>
      <w:r>
        <w:t>Qwen Team. Qwen3 Technical Report[EB/OL]. arXiv:2505.09388, 2025. DOI:10.48550/arXiv.2505.09388.</w:t>
      </w:r>
    </w:p>
    <w:p w14:paraId="3D1CC9FC">
      <w:pPr>
        <w:pStyle w:val="17"/>
        <w:numPr>
          <w:ilvl w:val="0"/>
          <w:numId w:val="1"/>
        </w:numPr>
        <w:ind w:firstLine="420"/>
        <w:jc w:val="both"/>
      </w:pPr>
      <w:r>
        <w:t>Kullback S, Leibler R A. On Information and Sufficiency[J]. The Annals of Mathematical Statistics, 1951, 22(1): 79-86. DOI:10.1214/aoms/1177729694.</w:t>
      </w:r>
    </w:p>
    <w:p w14:paraId="2E214B5B">
      <w:pPr>
        <w:pStyle w:val="17"/>
        <w:numPr>
          <w:ilvl w:val="0"/>
          <w:numId w:val="1"/>
        </w:numPr>
        <w:ind w:firstLine="420"/>
        <w:jc w:val="both"/>
      </w:pPr>
      <w:r>
        <w:t>Lin J. Divergence Measures Based on the Shannon Entropy[J]. IEEE Transactions on Information Theory, 1991, 37(1): 145-151.</w:t>
      </w:r>
    </w:p>
    <w:p w14:paraId="6841C405">
      <w:pPr>
        <w:pStyle w:val="17"/>
        <w:numPr>
          <w:ilvl w:val="0"/>
          <w:numId w:val="1"/>
        </w:numPr>
        <w:ind w:firstLine="420"/>
        <w:jc w:val="both"/>
      </w:pPr>
      <w:r>
        <w:t>Hu E J, Shen Y, Wallis P, et al. LoRA: Low-Rank Adaptation of Large Language Models[C]//International Conference on Learning Representations. 2022. arXiv:2106.09685.</w:t>
      </w:r>
    </w:p>
    <w:p w14:paraId="366C4C73">
      <w:pPr>
        <w:pStyle w:val="17"/>
        <w:numPr>
          <w:ilvl w:val="0"/>
          <w:numId w:val="1"/>
        </w:numPr>
        <w:ind w:firstLine="420"/>
        <w:jc w:val="both"/>
      </w:pPr>
      <w:r>
        <w:t>Kwon W, Li Z, Zhuang S, et al. Efficient Memory Management for Large Language Model Serving with PagedAttention[C]//Proceedings of the 29th Symposium on Operating Systems Principles. ACM, 2023: 611-626. DOI:10.1145/3600006.3613165.</w:t>
      </w:r>
    </w:p>
    <w:p w14:paraId="3C944867">
      <w:pPr>
        <w:pStyle w:val="17"/>
        <w:numPr>
          <w:ilvl w:val="0"/>
          <w:numId w:val="1"/>
        </w:numPr>
        <w:ind w:firstLine="420"/>
        <w:jc w:val="both"/>
      </w:pPr>
      <w:r>
        <w:t>Yao S, Zhao J, Yu D, et al. ReAct: Synergizing Reasoning and Acting in Language Models[C]//International Conference on Learning Representations. 2023. arXiv:2210.03629.</w:t>
      </w:r>
    </w:p>
    <w:p w14:paraId="7EC0CC1B">
      <w:pPr>
        <w:pStyle w:val="17"/>
        <w:numPr>
          <w:ilvl w:val="0"/>
          <w:numId w:val="1"/>
        </w:numPr>
        <w:ind w:firstLine="420"/>
        <w:jc w:val="both"/>
      </w:pPr>
      <w:r>
        <w:t>Patil S G, Zhang T, Wang X, et al. Gorilla: Large Language Model Connected with Massive APIs[EB/OL]. arXiv:2305.15334, 2023.</w:t>
      </w:r>
    </w:p>
    <w:p w14:paraId="272697B3">
      <w:pPr>
        <w:pStyle w:val="17"/>
        <w:numPr>
          <w:ilvl w:val="0"/>
          <w:numId w:val="1"/>
        </w:numPr>
        <w:ind w:firstLine="420"/>
        <w:jc w:val="both"/>
      </w:pPr>
      <w:r>
        <w:t>Li M, Zhao Y, Yu B, et al. API-Bank: A Comprehensive Benchmark for Tool-Augmented LLMs[C]//Proceedings of the 2023 Conference on Empirical Methods in Natural Language Processing. ACL, 2023: 3102-3116. DOI:10.18653/v1/2023.emnlp-main.187.</w:t>
      </w:r>
    </w:p>
    <w:p w14:paraId="27EE8778">
      <w:pPr>
        <w:pStyle w:val="17"/>
        <w:numPr>
          <w:ilvl w:val="0"/>
          <w:numId w:val="1"/>
        </w:numPr>
        <w:ind w:firstLine="420"/>
        <w:jc w:val="both"/>
      </w:pPr>
      <w:r>
        <w:t>Qin Y, Liang S, Ye Y, et al. ToolLLM: Facilitating Large Language Models to Master 16000+ Real-world APIs[EB/OL]. arXiv:2307.16789, 2023.</w:t>
      </w:r>
    </w:p>
    <w:p w14:paraId="18515301">
      <w:pPr>
        <w:pStyle w:val="17"/>
        <w:numPr>
          <w:ilvl w:val="0"/>
          <w:numId w:val="1"/>
        </w:numPr>
        <w:ind w:firstLine="420"/>
        <w:jc w:val="both"/>
      </w:pPr>
      <w:r>
        <w:t>Liu Z, Hoang T, Zhang J, et al. APIGen: Automated Pipeline for Generating Verifiable and Diverse Function-Calling Datasets[C]//Advances in Neural Information Processing Systems. 2024. DOI:10.52202/079017-1725.</w:t>
      </w:r>
    </w:p>
    <w:p w14:paraId="79D77904">
      <w:pPr>
        <w:pStyle w:val="17"/>
        <w:numPr>
          <w:ilvl w:val="0"/>
          <w:numId w:val="1"/>
        </w:numPr>
        <w:ind w:firstLine="420"/>
        <w:jc w:val="both"/>
      </w:pPr>
      <w:r>
        <w:t>Liu W, Huang X, Zeng X, et al. ToolACE: Winning the Points of LLM Function Calling[C]//International Conference on Learning Representations. 2025. arXiv:2409.00920.</w:t>
      </w:r>
    </w:p>
    <w:p w14:paraId="77EEE5FF">
      <w:pPr>
        <w:pStyle w:val="17"/>
        <w:numPr>
          <w:ilvl w:val="0"/>
          <w:numId w:val="1"/>
        </w:numPr>
        <w:ind w:firstLine="420"/>
        <w:jc w:val="both"/>
      </w:pPr>
      <w:r>
        <w:t>Patil S G, Mao H, Yan F, et al. The Berkeley Function Calling Leaderboard (BFCL): From Tool Use to Agentic Evaluation of Large Language Models[C]//Proceedings of the 42nd International Conference on Machine Learning. PMLR, 2025, 267: 48371-48392.</w:t>
      </w:r>
    </w:p>
    <w:p w14:paraId="156614AF">
      <w:pPr>
        <w:pStyle w:val="17"/>
        <w:numPr>
          <w:ilvl w:val="0"/>
          <w:numId w:val="1"/>
        </w:numPr>
        <w:ind w:firstLine="420"/>
        <w:jc w:val="both"/>
      </w:pPr>
      <w:r>
        <w:t>吴春志, 赵玉龙, 刘鑫, 等. 大语言模型微调方法研究综述[J]. 中文信息学报, 2025, 39(2): 1-26.</w:t>
      </w:r>
    </w:p>
    <w:p w14:paraId="20C6A79D">
      <w:pPr>
        <w:pStyle w:val="17"/>
        <w:numPr>
          <w:ilvl w:val="0"/>
          <w:numId w:val="1"/>
        </w:numPr>
        <w:ind w:firstLine="420"/>
        <w:jc w:val="both"/>
      </w:pPr>
      <w:r>
        <w:t>舒善富, 刘超, 孙毓忠, 等. 基于自适应知识蒸馏的代码大模型轻量化[J]. 软件学报, 2026, 37(6): 2431-2454. DOI:10.13328/j.cnki.jos.007462.</w:t>
      </w:r>
    </w:p>
    <w:p w14:paraId="A30B0001">
      <w:pPr>
        <w:pStyle w:val="17"/>
        <w:numPr>
          <w:ilvl w:val="0"/>
          <w:numId w:val="1"/>
        </w:numPr>
        <w:ind w:firstLine="420"/>
        <w:jc w:val="both"/>
      </w:pPr>
      <w:r>
        <w:t>Anshumann, Zaidi M A, Kedia A, et al. Sparse Logit Sampling: Accelerating Knowledge Distillation in LLMs[C]//Proceedings of the 63rd Annual Meeting of the Association for Computational Linguistics (Volume 1: Long Papers). 2025: 18085-18108. DOI:10.18653/v1/2025.acl-long.885.</w:t>
      </w:r>
    </w:p>
    <w:p w14:paraId="A30B0002">
      <w:pPr>
        <w:pStyle w:val="17"/>
        <w:numPr>
          <w:ilvl w:val="0"/>
          <w:numId w:val="1"/>
        </w:numPr>
        <w:ind w:firstLine="420"/>
        <w:jc w:val="both"/>
      </w:pPr>
      <w:r>
        <w:t>Huang H, Wei H. Tail-Aware Top-k On-Policy Distillation[EB/OL]. arXiv:2608.14728, 2026.</w:t>
      </w:r>
    </w:p>
    <w:p w14:paraId="A30B0003">
      <w:pPr>
        <w:pStyle w:val="17"/>
        <w:numPr>
          <w:ilvl w:val="0"/>
          <w:numId w:val="1"/>
        </w:numPr>
        <w:ind w:firstLine="420"/>
        <w:jc w:val="both"/>
      </w:pPr>
      <w:r>
        <w:t>Meng L, Gan S, Li Y, et al. Unbiased Top-k Estimation for On-Policy Distillation[EB/OL]. arXiv:2609.34447, 2026.</w:t>
      </w:r>
    </w:p>
    <w:p w14:paraId="A30B0004">
      <w:pPr>
        <w:pStyle w:val="17"/>
        <w:numPr>
          <w:ilvl w:val="0"/>
          <w:numId w:val="1"/>
        </w:numPr>
        <w:ind w:firstLine="420"/>
        <w:jc w:val="both"/>
      </w:pPr>
      <w:r>
        <w:t>Shen J, Chen G, Mao C. When Top-K Misses the Decision: Tool-Call Drift in Multi-Teacher On-Policy Distillation[EB/OL]. arXiv:2607.07050, 2026.</w:t>
      </w:r>
    </w:p>
    <w:p w14:paraId="A30B0005">
      <w:pPr>
        <w:pStyle w:val="17"/>
        <w:numPr>
          <w:ilvl w:val="0"/>
          <w:numId w:val="1"/>
        </w:numPr>
        <w:ind w:firstLine="420"/>
        <w:jc w:val="both"/>
      </w:pPr>
      <w:r>
        <w:t>Yang P, Xing L, Dai X, et al. ResOPD: Tail Residualization for Sparse On-Policy Distillation[EB/OL]. arXiv:2610.04882, 2026.</w:t>
      </w:r>
    </w:p>
    <w:p w14:paraId="181CE8FC">
      <w:pPr>
        <w:pStyle w:val="17"/>
        <w:numPr>
          <w:ilvl w:val="0"/>
          <w:numId w:val="1"/>
        </w:numPr>
        <w:ind w:firstLine="420"/>
        <w:jc w:val="both"/>
      </w:pPr>
      <w:r>
        <w:t>Zhu W, Xie R, Wang R, et al. Hybrid Policy Distillation for LLMs[C]//Proceedings of the 43rd International Conference on Machine Learning. PMLR, 2026, 306: 167818-167837.</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TimesNewRomanPSMT">
    <w:panose1 w:val="02020503050405090304"/>
    <w:charset w:val="00"/>
    <w:family w:val="roman"/>
    <w:pitch w:val="default"/>
    <w:sig w:usb0="E0000AFF" w:usb1="0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Heiti SC">
    <w:panose1 w:val="02000000000000000000"/>
    <w:charset w:val="86"/>
    <w:family w:val="auto"/>
    <w:pitch w:val="default"/>
    <w:sig w:usb0="8000002F" w:usb1="0800004A" w:usb2="00000000" w:usb3="00000000" w:csb0="203E0000" w:csb1="00000000"/>
  </w:font>
  <w:font w:name="Songti SC">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C643C">
    <w:pPr>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 PAGE </w:instrText>
    </w:r>
    <w:r>
      <w:rPr>
        <w:rFonts w:ascii="Times New Roman" w:hAnsi="Times New Roman" w:eastAsia="Times New Roman"/>
        <w:b w:val="0"/>
        <w:sz w:val="21"/>
      </w:rPr>
      <w:fldChar w:fldCharType="separate"/>
    </w:r>
    <w:r>
      <w:rPr>
        <w:rFonts w:ascii="Times New Roman" w:hAnsi="Times New Roman" w:eastAsia="Times New Roman"/>
        <w:b w:val="0"/>
        <w:sz w:val="21"/>
      </w:rPr>
      <w:t>1</w:t>
    </w:r>
    <w:r>
      <w:rPr>
        <w:rFonts w:ascii="Times New Roman" w:hAnsi="Times New Roman" w:eastAsia="Times New Roman"/>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C4D94"/>
    <w:multiLevelType w:val="multilevel"/>
    <w:tmpl w:val="1D7C4D9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C4"/>
    <w:rsid w:val="0002402A"/>
    <w:rsid w:val="00117620"/>
    <w:rsid w:val="001E5415"/>
    <w:rsid w:val="002C591E"/>
    <w:rsid w:val="00341B2C"/>
    <w:rsid w:val="003664A6"/>
    <w:rsid w:val="003A2072"/>
    <w:rsid w:val="004F07E7"/>
    <w:rsid w:val="004F5CCA"/>
    <w:rsid w:val="00737F6A"/>
    <w:rsid w:val="007C1F51"/>
    <w:rsid w:val="00866FFA"/>
    <w:rsid w:val="00871284"/>
    <w:rsid w:val="009800B0"/>
    <w:rsid w:val="00986FB1"/>
    <w:rsid w:val="00A847C4"/>
    <w:rsid w:val="00C914EC"/>
    <w:rsid w:val="00CA7789"/>
    <w:rsid w:val="00E816A5"/>
    <w:rsid w:val="00EB066F"/>
    <w:rsid w:val="00F04C38"/>
    <w:rsid w:val="00FD19E3"/>
    <w:rsid w:val="00FF6926"/>
    <w:rsid w:val="18FA7239"/>
    <w:rsid w:val="1BFF95D6"/>
    <w:rsid w:val="277F1F49"/>
    <w:rsid w:val="2AFBDEC4"/>
    <w:rsid w:val="30F14EBC"/>
    <w:rsid w:val="3576D8EF"/>
    <w:rsid w:val="379AF903"/>
    <w:rsid w:val="37D6E10D"/>
    <w:rsid w:val="3A77A649"/>
    <w:rsid w:val="3DFA4833"/>
    <w:rsid w:val="43FE21F8"/>
    <w:rsid w:val="4D4E6686"/>
    <w:rsid w:val="4F47DDF6"/>
    <w:rsid w:val="4FD9A5F8"/>
    <w:rsid w:val="4FFF8CCD"/>
    <w:rsid w:val="5B7F2A6F"/>
    <w:rsid w:val="5BBFD06E"/>
    <w:rsid w:val="5BEE7428"/>
    <w:rsid w:val="5DFFEF69"/>
    <w:rsid w:val="5F3F4A54"/>
    <w:rsid w:val="5F7FB192"/>
    <w:rsid w:val="5FFB665B"/>
    <w:rsid w:val="63FFBD1F"/>
    <w:rsid w:val="655A2287"/>
    <w:rsid w:val="65F78774"/>
    <w:rsid w:val="673FE172"/>
    <w:rsid w:val="676F45A0"/>
    <w:rsid w:val="6AE7AADF"/>
    <w:rsid w:val="6BFF7062"/>
    <w:rsid w:val="6CBA34AD"/>
    <w:rsid w:val="6DF84CE9"/>
    <w:rsid w:val="6E7DA8AD"/>
    <w:rsid w:val="6E8FB321"/>
    <w:rsid w:val="6EFBC10C"/>
    <w:rsid w:val="6FFF75D6"/>
    <w:rsid w:val="71BE9EA7"/>
    <w:rsid w:val="767FF00F"/>
    <w:rsid w:val="76DF3DEB"/>
    <w:rsid w:val="775FAE0F"/>
    <w:rsid w:val="77AEF49C"/>
    <w:rsid w:val="77EE8E39"/>
    <w:rsid w:val="77FB661E"/>
    <w:rsid w:val="78BF61AC"/>
    <w:rsid w:val="7991A463"/>
    <w:rsid w:val="7AFF5A11"/>
    <w:rsid w:val="7B9E8126"/>
    <w:rsid w:val="7C2FAA71"/>
    <w:rsid w:val="7D7F20D4"/>
    <w:rsid w:val="7EE7C957"/>
    <w:rsid w:val="7F5FB383"/>
    <w:rsid w:val="7FAD5313"/>
    <w:rsid w:val="7FB32125"/>
    <w:rsid w:val="7FBE517B"/>
    <w:rsid w:val="7FD6C748"/>
    <w:rsid w:val="7FFFCF3E"/>
    <w:rsid w:val="94EE1148"/>
    <w:rsid w:val="9AE84B35"/>
    <w:rsid w:val="9FB74D0D"/>
    <w:rsid w:val="A6911C8D"/>
    <w:rsid w:val="B2BB4892"/>
    <w:rsid w:val="B5CF164B"/>
    <w:rsid w:val="B77E3856"/>
    <w:rsid w:val="B9EB55EE"/>
    <w:rsid w:val="BD7F5271"/>
    <w:rsid w:val="BDDE8346"/>
    <w:rsid w:val="BDF597FE"/>
    <w:rsid w:val="BFD64E60"/>
    <w:rsid w:val="BFEF321F"/>
    <w:rsid w:val="BFFA814C"/>
    <w:rsid w:val="C9BF4A34"/>
    <w:rsid w:val="CEFA19E4"/>
    <w:rsid w:val="D1F5787E"/>
    <w:rsid w:val="D31D7AD7"/>
    <w:rsid w:val="D35ABAD8"/>
    <w:rsid w:val="D77D16B1"/>
    <w:rsid w:val="D7F785DA"/>
    <w:rsid w:val="D7FE7F1F"/>
    <w:rsid w:val="D8C4F9D8"/>
    <w:rsid w:val="D9FA0EC0"/>
    <w:rsid w:val="DA1EC6EC"/>
    <w:rsid w:val="DA7EEAC6"/>
    <w:rsid w:val="DB7FEAF2"/>
    <w:rsid w:val="DDFFC49F"/>
    <w:rsid w:val="E77E4C6A"/>
    <w:rsid w:val="E7EF89C5"/>
    <w:rsid w:val="E9E7C479"/>
    <w:rsid w:val="EEFF0AD6"/>
    <w:rsid w:val="EFEEC315"/>
    <w:rsid w:val="EFF5F755"/>
    <w:rsid w:val="F3E35A1F"/>
    <w:rsid w:val="F67432E3"/>
    <w:rsid w:val="F6FAC322"/>
    <w:rsid w:val="F76F48F5"/>
    <w:rsid w:val="F77BC61A"/>
    <w:rsid w:val="F7977A33"/>
    <w:rsid w:val="F7E1E449"/>
    <w:rsid w:val="F9EF1204"/>
    <w:rsid w:val="F9FB7683"/>
    <w:rsid w:val="FBEF9E1A"/>
    <w:rsid w:val="FCB7DDE0"/>
    <w:rsid w:val="FCC7AC92"/>
    <w:rsid w:val="FDCE3F8B"/>
    <w:rsid w:val="FE75DB6D"/>
    <w:rsid w:val="FEBB3654"/>
    <w:rsid w:val="FEFE32C2"/>
    <w:rsid w:val="FF7CB763"/>
    <w:rsid w:val="FF7F5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rFonts w:ascii="黑体" w:hAnsi="黑体" w:eastAsia="黑体" w:cs="黑体"/>
      <w:bCs/>
      <w:color w:val="000000"/>
      <w:kern w:val="44"/>
      <w:sz w:val="28"/>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Cs/>
      <w:color w:val="000000"/>
      <w:sz w:val="24"/>
      <w:szCs w:val="32"/>
    </w:rPr>
  </w:style>
  <w:style w:type="paragraph" w:styleId="4">
    <w:name w:val="heading 3"/>
    <w:basedOn w:val="1"/>
    <w:next w:val="1"/>
    <w:link w:val="22"/>
    <w:unhideWhenUsed/>
    <w:qFormat/>
    <w:uiPriority w:val="9"/>
    <w:pPr>
      <w:keepNext/>
      <w:keepLines/>
      <w:spacing w:before="260" w:after="260" w:line="416" w:lineRule="auto"/>
      <w:outlineLvl w:val="2"/>
    </w:pPr>
    <w:rPr>
      <w:rFonts w:ascii="黑体" w:hAnsi="黑体" w:eastAsia="黑体" w:cs="黑体"/>
      <w:bCs/>
      <w:color w:val="000000"/>
      <w:sz w:val="24"/>
      <w:szCs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footer"/>
    <w:basedOn w:val="1"/>
    <w:link w:val="24"/>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2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uiPriority w:val="99"/>
    <w:pPr>
      <w:widowControl/>
      <w:spacing w:before="100" w:beforeAutospacing="1" w:after="100" w:afterAutospacing="1"/>
      <w:jc w:val="left"/>
    </w:pPr>
    <w:rPr>
      <w:rFonts w:ascii="宋体" w:hAnsi="宋体" w:cs="宋体"/>
      <w:kern w:val="0"/>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样式 (中文) 黑体 小二 居中"/>
    <w:basedOn w:val="1"/>
    <w:uiPriority w:val="0"/>
    <w:pPr>
      <w:snapToGrid w:val="0"/>
      <w:spacing w:before="400" w:after="200" w:line="300" w:lineRule="auto"/>
      <w:jc w:val="center"/>
    </w:pPr>
    <w:rPr>
      <w:rFonts w:eastAsia="黑体" w:cs="宋体"/>
      <w:sz w:val="36"/>
      <w:szCs w:val="20"/>
    </w:rPr>
  </w:style>
  <w:style w:type="paragraph" w:customStyle="1" w:styleId="14">
    <w:name w:val="节"/>
    <w:basedOn w:val="1"/>
    <w:uiPriority w:val="0"/>
    <w:pPr>
      <w:snapToGrid w:val="0"/>
      <w:spacing w:beforeLines="50" w:afterLines="50" w:line="300" w:lineRule="auto"/>
    </w:pPr>
    <w:rPr>
      <w:rFonts w:eastAsia="黑体"/>
      <w:sz w:val="30"/>
    </w:rPr>
  </w:style>
  <w:style w:type="paragraph" w:customStyle="1" w:styleId="15">
    <w:name w:val="条"/>
    <w:basedOn w:val="1"/>
    <w:uiPriority w:val="0"/>
    <w:pPr>
      <w:snapToGrid w:val="0"/>
      <w:spacing w:beforeLines="50" w:afterLines="50" w:line="300" w:lineRule="auto"/>
    </w:pPr>
    <w:rPr>
      <w:rFonts w:eastAsia="黑体"/>
      <w:sz w:val="28"/>
    </w:rPr>
  </w:style>
  <w:style w:type="paragraph" w:customStyle="1" w:styleId="16">
    <w:name w:val="款"/>
    <w:basedOn w:val="1"/>
    <w:uiPriority w:val="0"/>
    <w:pPr>
      <w:snapToGrid w:val="0"/>
      <w:spacing w:line="300" w:lineRule="auto"/>
    </w:pPr>
    <w:rPr>
      <w:rFonts w:eastAsia="黑体"/>
    </w:rPr>
  </w:style>
  <w:style w:type="paragraph" w:styleId="17">
    <w:name w:val="List Paragraph"/>
    <w:basedOn w:val="1"/>
    <w:qFormat/>
    <w:uiPriority w:val="34"/>
    <w:pPr>
      <w:ind w:firstLine="420" w:firstLineChars="200"/>
      <w:jc w:val="both"/>
    </w:pPr>
  </w:style>
  <w:style w:type="character" w:customStyle="1" w:styleId="18">
    <w:name w:val="fontstyle01"/>
    <w:basedOn w:val="12"/>
    <w:uiPriority w:val="0"/>
    <w:rPr>
      <w:rFonts w:hint="eastAsia" w:ascii="宋体" w:hAnsi="宋体" w:eastAsia="宋体"/>
      <w:color w:val="000000"/>
      <w:sz w:val="24"/>
      <w:szCs w:val="24"/>
    </w:rPr>
  </w:style>
  <w:style w:type="character" w:customStyle="1" w:styleId="19">
    <w:name w:val="fontstyle21"/>
    <w:basedOn w:val="12"/>
    <w:uiPriority w:val="0"/>
    <w:rPr>
      <w:rFonts w:hint="default" w:ascii="TimesNewRomanPSMT" w:hAnsi="TimesNewRomanPSMT"/>
      <w:color w:val="000000"/>
      <w:sz w:val="24"/>
      <w:szCs w:val="24"/>
    </w:rPr>
  </w:style>
  <w:style w:type="character" w:customStyle="1" w:styleId="20">
    <w:name w:val="标题 2 字符"/>
    <w:basedOn w:val="12"/>
    <w:link w:val="3"/>
    <w:uiPriority w:val="9"/>
    <w:rPr>
      <w:rFonts w:asciiTheme="majorHAnsi" w:hAnsiTheme="majorHAnsi" w:eastAsiaTheme="majorEastAsia" w:cstheme="majorBidi"/>
      <w:b/>
      <w:bCs/>
      <w:sz w:val="30"/>
      <w:szCs w:val="32"/>
    </w:rPr>
  </w:style>
  <w:style w:type="character" w:customStyle="1" w:styleId="21">
    <w:name w:val="标题 1 字符"/>
    <w:basedOn w:val="12"/>
    <w:link w:val="2"/>
    <w:uiPriority w:val="9"/>
    <w:rPr>
      <w:rFonts w:ascii="Times New Roman" w:hAnsi="Times New Roman" w:eastAsia="宋体" w:cs="Times New Roman"/>
      <w:b/>
      <w:bCs/>
      <w:kern w:val="44"/>
      <w:sz w:val="32"/>
      <w:szCs w:val="44"/>
    </w:rPr>
  </w:style>
  <w:style w:type="character" w:customStyle="1" w:styleId="22">
    <w:name w:val="标题 3 字符"/>
    <w:basedOn w:val="12"/>
    <w:link w:val="4"/>
    <w:uiPriority w:val="9"/>
    <w:rPr>
      <w:rFonts w:ascii="Times New Roman" w:hAnsi="Times New Roman" w:eastAsia="宋体" w:cs="Times New Roman"/>
      <w:b/>
      <w:bCs/>
      <w:sz w:val="28"/>
      <w:szCs w:val="32"/>
    </w:rPr>
  </w:style>
  <w:style w:type="character" w:customStyle="1" w:styleId="23">
    <w:name w:val="页眉 字符"/>
    <w:basedOn w:val="12"/>
    <w:link w:val="6"/>
    <w:uiPriority w:val="99"/>
    <w:rPr>
      <w:rFonts w:ascii="Times New Roman" w:hAnsi="Times New Roman" w:eastAsia="宋体" w:cs="Times New Roman"/>
      <w:sz w:val="18"/>
      <w:szCs w:val="18"/>
    </w:rPr>
  </w:style>
  <w:style w:type="character" w:customStyle="1" w:styleId="24">
    <w:name w:val="页脚 字符"/>
    <w:basedOn w:val="12"/>
    <w:link w:val="5"/>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14962</Words>
  <Characters>21926</Characters>
  <Lines>34</Lines>
  <Paragraphs>9</Paragraphs>
  <TotalTime>17</TotalTime>
  <ScaleCrop>false</ScaleCrop>
  <LinksUpToDate>false</LinksUpToDate>
  <CharactersWithSpaces>23540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2022-10-18T02:38:00Z</dcterms:created>
  <dc:creator>董 睿璞</dc:creator>
  <cp:lastModifiedBy>Dr.Oppenheimer</cp:lastModifiedBy>
  <dcterms:modified xsi:type="dcterms:W3CDTF">2026-10-08T16:23:41Z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0A57C0DBE9B026AC4C0EB16A35E8C83E_42</vt:lpwstr>
  </property>
</Properties>
</file>