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15</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19</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20</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研究思路与问题展开</w:t>
      </w:r>
      <w:r>
        <w:tab/>
      </w:r>
      <w:r>
        <w:fldChar w:fldCharType="begin"/>
      </w:r>
      <w:r>
        <w:instrText xml:space="preserve"> PAGEREF _Toc816010318 \h </w:instrText>
      </w:r>
      <w:r>
        <w:fldChar w:fldCharType="separate"/>
      </w:r>
      <w:r>
        <w:t>20</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三项方法级研究问题</w:t>
      </w:r>
      <w:r>
        <w:tab/>
      </w:r>
      <w:r>
        <w:fldChar w:fldCharType="begin"/>
      </w:r>
      <w:r>
        <w:instrText xml:space="preserve"> PAGEREF _Toc854844884 \h </w:instrText>
      </w:r>
      <w:r>
        <w:fldChar w:fldCharType="separate"/>
      </w:r>
      <w:r>
        <w:t>21</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Top-K 稀疏反馈的缺陷与拟改进方法</w:t>
      </w:r>
      <w:r>
        <w:tab/>
      </w:r>
      <w:r>
        <w:fldChar w:fldCharType="begin"/>
      </w:r>
      <w:r>
        <w:instrText xml:space="preserve"> PAGEREF _Toc712366958 \h </w:instrText>
      </w:r>
      <w:r>
        <w:fldChar w:fldCharType="separate"/>
      </w:r>
      <w:r>
        <w:t>22</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统一测试流程与验证路径</w:t>
      </w:r>
      <w:r>
        <w:tab/>
      </w:r>
      <w:r>
        <w:fldChar w:fldCharType="begin"/>
      </w:r>
      <w:r>
        <w:instrText xml:space="preserve"> PAGEREF _Toc530131081 \h </w:instrText>
      </w:r>
      <w:r>
        <w:fldChar w:fldCharType="separate"/>
      </w:r>
      <w:r>
        <w:t>23</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本章总结</w:t>
      </w:r>
      <w:r>
        <w:tab/>
      </w:r>
      <w:r>
        <w:fldChar w:fldCharType="begin"/>
      </w:r>
      <w:r>
        <w:instrText xml:space="preserve"> PAGEREF _Toc3426964 \h </w:instrText>
      </w:r>
      <w:r>
        <w:fldChar w:fldCharType="separate"/>
      </w:r>
      <w:r>
        <w:t>25</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26</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26</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28</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30</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散度目标分析与稀疏反馈定义</w:t>
      </w:r>
      <w:r>
        <w:tab/>
      </w:r>
      <w:r>
        <w:fldChar w:fldCharType="begin"/>
      </w:r>
      <w:r>
        <w:instrText xml:space="preserve"> PAGEREF _Toc307070742 \h </w:instrText>
      </w:r>
      <w:r>
        <w:fldChar w:fldCharType="separate"/>
      </w:r>
      <w:r>
        <w:t>33</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统一测试流程与评价指标</w:t>
      </w:r>
      <w:r>
        <w:tab/>
      </w:r>
      <w:r>
        <w:fldChar w:fldCharType="begin"/>
      </w:r>
      <w:r>
        <w:instrText xml:space="preserve"> PAGEREF _Toc534757053 \h </w:instrText>
      </w:r>
      <w:r>
        <w:fldChar w:fldCharType="separate"/>
      </w:r>
      <w:r>
        <w:t>38</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42</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43</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43</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45</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46</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46</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47</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47</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49</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52</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本课题研究大语言模型在工具调用任务中的在线策略蒸馏。研究从三个相互关联的环节展开：学生生成并实际访问的状态、师生分布的匹配目标，以及有限教师反馈所保留的 token 信息。学生状态决定教师在何处指导，散度目标决定学生如何更新，反馈粒度则影响目标信息的传递。本文分别分析这三个环节，并进一步研究 Top-K 反馈中尾部概率和关键决策候选的遗漏。</w:t>
      </w:r>
    </w:p>
    <w:p w14:paraId="4589AFE8">
      <w:pPr>
        <w:ind w:firstLine="420"/>
        <w:jc w:val="both"/>
      </w:pPr>
      <w:r>
        <w:t>计划采用 Qwen3-0.6B LoRA 学生和冻结的 Qwen3-4B 教师，从公开 Function Calling 数据中筛选单轮调用样本。研究先在学生生成的前缀上比较监督位置与完整词表散度，再固定主要目标，测量 Top-K 截断造成的信息损失。候选方法尝试在关键位置补入被教师 Top-K 漏掉的学生高概率决策 token，并通过同预算实验评价任务效果与计算成本。模型版本、数据划分和硬件条件将在实验前核定。</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大语言模型经预训练获得语言规律和知识表示，后训练则进一步塑造指令遵循、结构化输出和工具使用能力。知识蒸馏借助教师的软分布传递候选之间的相对偏好。Hinton 等人提出温度缩放与软目标的基本思想[1]，序列级蒸馏随后将教师生成的序列用于学生训练[2]。在自回归生成中，学生一旦沿自身预测继续生成，后续前缀便可能偏离训练数据；蒸馏效果因此还取决于教师反馈是否覆盖这些实际到访的状态。</w:t>
      </w:r>
    </w:p>
    <w:p w14:paraId="4CD1AD20">
      <w:pPr>
        <w:ind w:firstLine="420"/>
        <w:jc w:val="both"/>
      </w:pPr>
      <w:r>
        <w:t>Function Calling 要求模型依据用户请求和接口说明，生成符合 schema 的函数调用。Gorilla/APIBench 检验 API 文档理解、函数选择和参数正确性[22]；API-Bank 将工具检索、调用规划与执行结果纳入评测[23]。这类任务具有清楚的决策节点：模型既要选择是否调用工具及调用哪个函数，也要生成可解析、可执行的参数。因此，工具调用适合观察 token 级蒸馏信号如何影响完整任务。</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工具调用错误可按函数选择、结构合法性、参数键值和执行结果分层识别。例如，模型可能选对函数却遗漏必需参数，也可能输出合法 JSON，但参数取值不满足约束。多轮任务还涉及调用顺序和工具结果利用[23][27]。本文的主要训练实验先聚焦单轮调用；多轮及并行场景用于说明应用范围，并在具备相应数据和评测环境时另行分析。</w:t>
      </w:r>
    </w:p>
    <w:p w14:paraId="7AD88161">
      <w:pPr>
        <w:ind w:firstLine="420"/>
        <w:jc w:val="both"/>
      </w:pPr>
      <w:r>
        <w:t>数据准备时，将统计单轮、多工具候选、并行调用、多轮工具结果和无适用工具等样本类型。核心实验选取能够统一解析与评价的单轮调用，并按工具 schema、问题模板和数据来源隔离训练、验证与测试集。明确任务边界后，学生状态、散度目标和反馈粒度的影响才能在可比条件下分析。</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设计工具调用决策状态的监督选择方法，在学生自行生成的轨迹中识别函数选择、参数生成和结构约束位置，依据位置类型及师生分歧分配训练位置预算。</w:t>
      </w:r>
    </w:p>
    <w:p w14:paraId="6CEC8EBA">
      <w:pPr>
        <w:pStyle w:val="17"/>
        <w:ind w:firstLine="420"/>
        <w:jc w:val="both"/>
      </w:pPr>
      <w:r>
        <w:t>2. 设计按工具调用位置调节的双向散度目标，使教师认可候选的覆盖与学生错误高概率候选的抑制分别得到处理；在完整词表条件下检验其梯度和调用行为。</w:t>
      </w:r>
    </w:p>
    <w:p w14:paraId="1582C878">
      <w:pPr>
        <w:pStyle w:val="17"/>
        <w:ind w:firstLine="420"/>
        <w:jc w:val="both"/>
      </w:pPr>
      <w:r>
        <w:t>3. 设计决策感知的稀疏教师反馈方法，在有限候选预算下补入被教师 Top-K 漏掉的关键决策 token，并保留剩余概率总量；建立统一测试流程，验证三项方法的任务效果与成本。</w:t>
      </w:r>
    </w:p>
    <w:p w14:paraId="1280B22F">
      <w:pPr>
        <w:ind w:firstLine="420"/>
        <w:jc w:val="both"/>
      </w:pPr>
      <w:r>
        <w:t>上述目标形成由分析到改进的研究链条。学生状态实验确定教师监督的落点，散度实验解释概率匹配如何改变更新方向，稀疏反馈实验检验有限预算下保留了多少有效信号。Top-K 候选方案将与完整词表、固定 Top-K 和已有尾部类别方法比较；其价值最终由工具调用表现与成本记录共同判断。</w:t>
      </w:r>
    </w:p>
    <w:p w14:paraId="486FC300">
      <w:pPr>
        <w:pStyle w:val="2"/>
      </w:pPr>
      <w:bookmarkStart w:id="4" w:name="_Toc1412584205"/>
      <w:r>
        <w:rPr>
          <w:rFonts w:ascii="黑体" w:hAnsi="黑体" w:eastAsia="黑体" w:cs="黑体"/>
          <w:b/>
          <w:color w:val="000000"/>
          <w:sz w:val="28"/>
        </w:rPr>
        <w:t>2．国内外在该方向的研究现</w:t>
      </w:r>
      <w:bookmarkStart w:id="78" w:name="_GoBack"/>
      <w:bookmarkEnd w:id="78"/>
      <w:r>
        <w:rPr>
          <w:rFonts w:ascii="黑体" w:hAnsi="黑体" w:eastAsia="黑体" w:cs="黑体"/>
          <w:b/>
          <w:color w:val="000000"/>
          <w:sz w:val="28"/>
        </w:rPr>
        <w:t>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相关后训练方法可按监督来源区分。监督微调学习给定目标序列，知识蒸馏利用教师的软分布，偏好优化使用回答之间的偏好关系，强化学习依据任务或环境奖励更新策略。SFT 和序列级蒸馏容易组织结构化样本，但固定前缀与学生推理时的状态可能存在差距[1][2][5]。后文据此比较各类方法的状态来源与优化信号。</w:t>
      </w:r>
    </w:p>
    <w:p w14:paraId="79D4A854">
      <w:pPr>
        <w:ind w:firstLine="420"/>
        <w:jc w:val="both"/>
      </w:pPr>
      <w:r>
        <w:t>知识蒸馏的有效信息来自教师对多个候选的概率分配。在给定生成位置，软目标比 one-hot 标签提供更多相对偏好；进入自回归任务后，前缀来源、采样协议和序列长度也会影响这一偏好的作用。f-divergence 视角将若干分布匹配目标纳入同一框架，为分析序列级蒸馏提供了工具[6]。</w:t>
      </w:r>
    </w:p>
    <w:p w14:paraId="5630C873">
      <w:pPr>
        <w:ind w:firstLine="420"/>
        <w:jc w:val="both"/>
      </w:pPr>
      <w:r>
        <w:t>国内研究已将大模型后训练与轻量化方案作为具体对象。吴春志等比较了全参数、部分参数、新增参数和无参数微调的训练开销及适配方式[28]；舒善富等面向代码大模型，以自适应知识蒸馏协调正向与反向 KL 散度，讨论单一散度对不同概率区域的学习偏好[29]。这些工作为本课题选择 LoRA 学生和分析散度目标提供了参照。</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实际系统可以在 SFT 后继续进行 OPD，也可能同时引入教师反馈和任务奖励。本文选择 LoRA-OPD 路线，将学生到访状态、师生分布匹配目标和教师反馈粒度作为主要变量；RLHF 与 DPO 用于交代相关后训练背景。</w:t>
      </w:r>
    </w:p>
    <w:p w14:paraId="0CA6A73A">
      <w:pPr>
        <w:spacing w:before="0" w:after="0" w:line="360" w:lineRule="auto"/>
        <w:ind w:firstLine="420"/>
        <w:jc w:val="both"/>
      </w:pPr>
      <w:r>
        <w:rPr>
          <w:rFonts w:ascii="Times New Roman" w:hAnsi="Times New Roman" w:eastAsia="宋体"/>
          <w:sz w:val="24"/>
        </w:rPr>
        <w:t>经典知识蒸馏通过温度缩放呈现教师分布中类别之间的相对关系[1]。Kim 和 Rush 将蒸馏扩展到序列级，用教师生成结果替代或补充原始目标[2]。固定语料和教师轨迹为学生提供了稳定样本，但学生推理时产生的偏离前缀仍可能缺少直接监督。</w:t>
      </w:r>
    </w:p>
    <w:p w14:paraId="4D703704">
      <w:pPr>
        <w:spacing w:before="0" w:after="0" w:line="360" w:lineRule="auto"/>
        <w:ind w:firstLine="420"/>
        <w:jc w:val="both"/>
      </w:pPr>
      <w:r>
        <w:rPr>
          <w:rFonts w:ascii="Times New Roman" w:hAnsi="Times New Roman" w:eastAsia="宋体"/>
          <w:sz w:val="24"/>
        </w:rPr>
        <w:t>DAgger 研究模仿学习中的误差累积：学习器依据自身预测推进状态，早期错误会改变后续输入分布，使固定数据上的监督逐渐失配[3]。ImitKD 将交互式蒸馏用于神经机器翻译，在学生生成的状态上查询教师[4]。沿着这一思路，在线策略蒸馏让教师在学生实际访问的前缀上评分，从而使训练状态更接近推理过程。</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自回归模型在训练中常读取参考序列前缀，推理时则依赖自身生成结果。DAgger 在学习器到访状态上查询专家[3]，ImitKD 将这一做法用于自回归蒸馏[4]。OPD 继承了学生状态上的监督方式，并进一步利用教师的 token 分布或对数概率提供软反馈。</w:t>
      </w:r>
    </w:p>
    <w:p w14:paraId="6D834263">
      <w:pPr>
        <w:ind w:firstLine="420"/>
        <w:jc w:val="both"/>
      </w:pPr>
      <w:r>
        <w:t>GKD 使学生在自生成轨迹上接受教师指导，并比较生成方式与散度设置[7]。MiniLLM 从序列级目标讨论 Reverse KL 的模式选择倾向[8]；DistiLLM 则结合 skew KL 和样本复用，权衡效果与开销[9]。SWITCH 注意到学生生成序列中的噪声，通过选择性教师介入改善长序列蒸馏[10]。这些研究分别触及状态来源、匹配目标和教师反馈成本。</w:t>
      </w:r>
    </w:p>
    <w:p w14:paraId="6F1DB8D0">
      <w:pPr>
        <w:ind w:firstLine="420"/>
        <w:jc w:val="both"/>
      </w:pPr>
      <w:r>
        <w:t>近期 OPD 研究进一步关注效率、稳定性和监督适配。前缀蒸馏发现，较短的学生前缀在其设置下保留了主要训练信号，并降低计算量[11]；Veto 通过重构目标分布调节低置信度 token 的梯度及生成多样性[12]；PromptKD 从学生可学习性出发调整教师监督[13]。模型压缩综述与蒸馏设计空间研究也指出，目标函数、师生能力差距和计算预算需要共同考虑[14][15]。</w:t>
      </w:r>
    </w:p>
    <w:p w14:paraId="29B55A45">
      <w:pPr>
        <w:ind w:firstLine="420"/>
        <w:jc w:val="both"/>
      </w:pPr>
      <w:r>
        <w:t>比较 OPD 方法时，需要同时交代学生生成了哪些训练状态、教师分布通过什么目标产生梯度，以及每个状态保留了多少词表信息。GKD 的散度比较、MiniLLM 的序列目标和 DistiLLM 的反馈复用侧重点各异。本文分别记录状态来源、目标定义和反馈支持集，以便解释各环节对工具调用结果的影响。</w:t>
      </w:r>
    </w:p>
    <w:p w14:paraId="4737EE54">
      <w:pPr>
        <w:ind w:firstLine="420"/>
        <w:jc w:val="both"/>
      </w:pPr>
      <w:r>
        <w:t>师生兼容性也影响知识传递。推理模式、输出格式和工具调用习惯的差异，会改变教师在学生前缀上给出的概率分布；学生容量则限制其拟合能力。SWITCH、PromptKD 和稳定化 OPD 分别讨论学生轨迹噪声、学生友好监督与目标重构[10][12][13]。本文将在实验中记录格式错误与师生支持集重叠，检查这些因素是否干扰散度和稀疏反馈的比较。</w:t>
      </w:r>
    </w:p>
    <w:p w14:paraId="5333E2F1">
      <w:pPr>
        <w:spacing w:before="0" w:after="0" w:line="360" w:lineRule="auto"/>
        <w:ind w:firstLine="420"/>
        <w:jc w:val="both"/>
      </w:pPr>
      <w:r>
        <w:rPr>
          <w:rFonts w:ascii="Times New Roman" w:hAnsi="Times New Roman" w:eastAsia="宋体"/>
          <w:sz w:val="24"/>
        </w:rPr>
        <w:t>OPD 的关键变化是训练状态来自学生生成。GKD 在学生到访前缀上施加教师分布监督，并比较多种散度[7]；MiniLLM 的序列级 Reverse KL 更强调学生轨迹附近的教师高概率区域[8]；DistiLLM 通过 skew KL 和样本复用研究训练效果及反馈效率[9]。文献中的差异同时涉及状态、目标和信息获取方式，后续比较需要把这些变量分别固定或记录。</w:t>
      </w:r>
    </w:p>
    <w:p w14:paraId="2D5A62DC">
      <w:pPr>
        <w:spacing w:before="0" w:after="0" w:line="360" w:lineRule="auto"/>
        <w:ind w:firstLine="420"/>
        <w:jc w:val="both"/>
      </w:pPr>
      <w:r>
        <w:rPr>
          <w:rFonts w:ascii="Times New Roman" w:hAnsi="Times New Roman" w:eastAsia="宋体"/>
          <w:sz w:val="24"/>
        </w:rPr>
        <w:t>随着学生生成数据进入训练，研究进一步追问哪些到访位置值得监督。前缀蒸馏以较短轨迹降低采样成本[11]；稳定化 OPD 处理早期噪声反馈与异常梯度[12]；PromptKD 关注教师信号能否被学生有效吸收[13]。本文据此建立受控实验：共享模型、数据、预算和评测协议，分别考察状态位置、散度目标及反馈粒度。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以教师概率加权，鼓励学生覆盖教师认为合理的区域；Reverse KL 以学生概率加权，更关注当前学生容易生成的候选。mode-covering 与 mode-seeking 概括了两种倾向[7][8]，但模型容量、温度、采样协议和支持集都会影响实际梯度与生成行为。本文将从函数选择和参数生成等具体位置观察这些差异。</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研究选择 JSD 和 skew KL 作为广义散度代表，与 Forward KL、Reverse KL 一起在完整词表上比较。除最终调用准确率外，还分析函数入口、参数和结构 token 上的梯度、熵变化及错误分布。目标函数、混合参数、温度、有效位置和估计方式均随实验配置记录。</w:t>
      </w:r>
    </w:p>
    <w:p w14:paraId="13AF46E7">
      <w:pPr>
        <w:ind w:firstLine="420"/>
        <w:jc w:val="both"/>
      </w:pPr>
      <w:r>
        <w:t>散度偏好可能在 Function Calling 中表现为不同决策。面对同一请求，教师可能同时认可多个函数或参数表达；学生则可能过早集中到某个调用路径。本文比较各目标下的函数误选、过度调用、参数错误和格式错误，结合相同位置的概率与梯度，判断分布匹配目标如何影响完整调用。</w:t>
      </w:r>
    </w:p>
    <w:p w14:paraId="59F60855">
      <w:pPr>
        <w:ind w:firstLine="420"/>
        <w:jc w:val="both"/>
      </w:pPr>
      <w:r>
        <w:t>教师反馈的范围与估计方式同样改变训练目标。完整词表保留有效位置上的全部概率；Top-K 只返回选定支持集，需要明确截断后的归一化及支持集外质量处理；K1 sampled-token 用单次采样估计相应期望。比较时将一并记录信息覆盖范围、教师评分时间、学生生成量、反馈字节数和任务结果。</w:t>
      </w:r>
    </w:p>
    <w:p w14:paraId="58810188">
      <w:pPr>
        <w:spacing w:before="0" w:after="0" w:line="360" w:lineRule="auto"/>
        <w:ind w:firstLine="420"/>
        <w:jc w:val="both"/>
      </w:pPr>
      <w:r>
        <w:rPr>
          <w:rFonts w:ascii="Times New Roman" w:hAnsi="Times New Roman" w:eastAsia="宋体"/>
          <w:sz w:val="24"/>
        </w:rPr>
        <w:t>从目标的加权方式看，教师赋予某个 token 较高概率时，Forward KL 会惩罚学生在该 token 上过低的概率；Reverse KL 更强调学生当前高概率区域的匹配。前者可能保留多种合理候选，后者可能帮助容量有限的学生优先学习主要调用路径[8][9]。这些倾向还受温度、有效位置、序列长度与支持集处理影响，需要结合实际梯度和调用结果判断。</w:t>
      </w:r>
    </w:p>
    <w:p w14:paraId="63D91097">
      <w:pPr>
        <w:spacing w:before="0" w:after="0" w:line="360" w:lineRule="auto"/>
        <w:ind w:firstLine="420"/>
        <w:jc w:val="both"/>
      </w:pPr>
      <w:r>
        <w:rPr>
          <w:rFonts w:ascii="Times New Roman" w:hAnsi="Times New Roman" w:eastAsia="宋体"/>
          <w:sz w:val="24"/>
        </w:rPr>
        <w:t>广义散度与混合目标为调节覆盖和集中程度提供了不同实现。GKD 比较可配置散度[7]，DistiLLM 使用 skew KL[9]，HPD 将 Forward KL 与 Reverse KL 的优势结合[35]。这些工作为本课题提供目标基线；工具调用中的函数选择、参数生成和结构位置具有不同的错误形式，本文据此研究按位置调节的双向目标。Top-K 归一化、教师概率下界、混合精度和序列 mask 可能改变数值尺度，数学定义与实现协议须一并记录。</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OPD 需要教师在学生访问的大量位置返回反馈[7]。完整词表保存候选之间的细粒度关系，其存储和传输量随词表与序列长度增长；Top-K 减少显式候选，K1 sampled-token 进一步压缩为单点估计。前缀蒸馏和蒸馏设计空间研究显示，反馈预算是在线方法的重要工程条件[11][15]。</w:t>
      </w:r>
    </w:p>
    <w:p w14:paraId="4D26498B">
      <w:pPr>
        <w:ind w:firstLine="420"/>
        <w:jc w:val="both"/>
      </w:pPr>
      <w:r>
        <w:t>稀疏化同时改变了优化对象。Sparse Logit Sampling 指出，直接缓存教师 Top-K 会使分布估计产生偏差[30]。TA-OPD 发现，师生分布若都在教师 Top-K 内归一化，训练目标便失去支持集外总概率的约束；该工作加入尾部类别保留剩余质量[31]。TT-OPD 与 ResOPD 利用采样残差修正稀疏估计[32][34]。因此，尾部总量补偿已有明确的先行方案。</w:t>
      </w:r>
    </w:p>
    <w:p w14:paraId="7BE9DE7C">
      <w:pPr>
        <w:spacing w:before="0" w:after="0" w:line="360" w:lineRule="auto"/>
        <w:ind w:firstLine="420"/>
        <w:jc w:val="both"/>
      </w:pPr>
      <w:r>
        <w:rPr>
          <w:rFonts w:ascii="Times New Roman" w:hAnsi="Times New Roman" w:eastAsia="宋体"/>
          <w:sz w:val="24"/>
        </w:rPr>
        <w:t>总概率之外，还可能遗漏具体决策坐标。Shen 等在多教师工具调用蒸馏中观察到，教师 Top-K 即便覆盖几乎全部教师质量，也可能漏掉学生高估的工具调用入口 token；修正该 token 会改变后续调用行为[33]。教师质量覆盖率因此不足以说明决策梯度是否得到保留。尾部类别约束剩余概率之和，却无法逐一纠正尾部函数入口或结构 token。</w:t>
      </w:r>
    </w:p>
    <w:p w14:paraId="3028239A">
      <w:pPr>
        <w:spacing w:before="0" w:after="0" w:line="360" w:lineRule="auto"/>
        <w:ind w:firstLine="420"/>
        <w:jc w:val="both"/>
      </w:pPr>
      <w:r>
        <w:rPr>
          <w:rFonts w:ascii="Times New Roman" w:hAnsi="Times New Roman" w:eastAsia="宋体"/>
          <w:sz w:val="24"/>
        </w:rPr>
        <w:t>已有研究分别处理尾部总量、稀疏估计偏差和学生候选遗漏[31][32][33][34]。在单教师、单轮 Function Calling 中，还需要决定有限反馈应分配到哪些位置和候选。全局增大 K 会增加传输成本；只按教师累计质量选 K，也可能保留了许多普通 token，却错过学生高估的调用入口。本文据此研究位置风险、显式候选与反馈预算的联合选择。</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将模型推理与外部行动交替组织，为工具增强生成提供了基础形式[21]。Function Calling 数据随后覆盖 API 文档理解、函数检索、调用规划和执行验证：Gorilla/APIBench 侧重文档与调用正确性[22]，API-Bank 扩展到工具规划和检索[23]，ToolLLM/ToolBench 提供多工具任务[24]，APIGen 与 ToolACE 则重视调用数据的构造及质量检查[25][26]。这些数据的任务范围与标注方式各不相同，需要先明确本课题可统一使用的单轮样本。</w:t>
      </w:r>
    </w:p>
    <w:p w14:paraId="41ED9722">
      <w:pPr>
        <w:ind w:firstLine="420"/>
        <w:jc w:val="both"/>
      </w:pPr>
      <w:r>
        <w:t>训练样本拟从公开 Function Calling 数据中筛选。APIGen、ToolACE、API-Bank 和 ToolBench 的数据构造方式可作为来源选择与任务分类的参考。每个来源将记录数据快照、许可证、字段映射、过滤规则、去重过程，以及与独立测试集的重叠情况。</w:t>
      </w:r>
    </w:p>
    <w:p w14:paraId="651AE3DD">
      <w:pPr>
        <w:ind w:firstLine="420"/>
        <w:jc w:val="both"/>
      </w:pPr>
      <w:r>
        <w:t>公开样本进入训练流程前，需依次检查结构、语义和可执行性。结构检查核对 schema、函数名、参数类型及目标调用的解析结果；语义检查判断用户请求与目标函数、参数之间的关系；对具备本地工具环境的样本，执行检查进一步验证参数能否产生有效返回。APIGen 和 ToolACE 的多层验证方式为数据审计提供了参考[25][26]。</w:t>
      </w:r>
    </w:p>
    <w:p w14:paraId="034FA389">
      <w:pPr>
        <w:ind w:firstLine="420"/>
        <w:jc w:val="both"/>
      </w:pPr>
      <w:r>
        <w:t>训练集与测试集还须检查工具 schema、问题模板和目标调用的相似性。若两个集合共享 API 定义或高度相近的参数结构，模型可能依赖样本记忆，评价时应标注这一风险。数据审计报告将保存字段统计、异常类别、去重规则及版本指纹，使划分方式可以复查。</w:t>
      </w:r>
    </w:p>
    <w:p w14:paraId="6145C566">
      <w:pPr>
        <w:ind w:firstLine="420"/>
        <w:jc w:val="both"/>
      </w:pPr>
      <w:r>
        <w:t>BFCL 覆盖结构化调用、并行与串行调用以及拒答场景[27]。本课题结合公开基准和可用的模拟函数，分别评价格式合法率、函数选择准确率与参数正确率；执行成功率和端到端成功率仅用于具有可靠执行环境的样本。</w:t>
      </w:r>
    </w:p>
    <w:p w14:paraId="0C0F1F38">
      <w:pPr>
        <w:spacing w:before="0" w:after="0" w:line="360" w:lineRule="auto"/>
        <w:ind w:firstLine="420"/>
        <w:jc w:val="both"/>
      </w:pPr>
      <w:r>
        <w:rPr>
          <w:rFonts w:ascii="Times New Roman" w:hAnsi="Times New Roman" w:eastAsia="宋体"/>
          <w:sz w:val="24"/>
        </w:rPr>
        <w:t>Function Calling 数据从接口描述与人工样例，发展到大规模构造、执行校验和难例设计。Gorilla 强调 API 检索与调用生成[22]；API-Bank 和 ToolLLM/ToolBench 引入多工具与多轮交互[23][24]；APIGen、ToolACE 则扩展可验证的数据生成流程和工具类型[25][26]。不同来源在 schema 形式、参数约束、消息模板和可执行性上存在差异。字段映射与一致性审计因此是后续蒸馏比较的前提。</w:t>
      </w:r>
    </w:p>
    <w:p w14:paraId="44C1FF56">
      <w:pPr>
        <w:spacing w:before="0" w:after="0" w:line="360" w:lineRule="auto"/>
        <w:ind w:firstLine="420"/>
        <w:jc w:val="both"/>
      </w:pPr>
      <w:r>
        <w:rPr>
          <w:rFonts w:ascii="Times New Roman" w:hAnsi="Times New Roman" w:eastAsia="宋体"/>
          <w:sz w:val="24"/>
        </w:rPr>
        <w:t>BFCL 为函数选择、参数生成和多轮调用提供了统一测试框架[27]。总体准确率之外，还需区分函数误选、必需参数遗漏、JSON 解析失败及无需调用时的过度调用。本文在统一解码协议下分层报告结构合法性、函数和参数正确率；具备执行条件时再加入执行与端到端结果，并结合训练效率、推理吞吐及显存解释方法差异。</w:t>
      </w:r>
    </w:p>
    <w:p w14:paraId="58E976CF">
      <w:pPr>
        <w:spacing w:before="0" w:after="0" w:line="360" w:lineRule="auto"/>
        <w:ind w:firstLine="420"/>
        <w:jc w:val="both"/>
      </w:pPr>
      <w:r>
        <w:rPr>
          <w:rFonts w:ascii="Times New Roman" w:hAnsi="Times New Roman" w:eastAsia="宋体"/>
          <w:sz w:val="24"/>
        </w:rPr>
        <w:t>Function Calling 为三个研究环节提供了分层观察点。函数入口及函数名决定调用路径，参数键、结构符号和参数值影响解析与执行。公开数据和 BFCL 等基准支持分别统计这些错误[25][26][27]。本文把学生状态上的错误分布、完整词表散度的行为差异，以及稀疏反馈的尾部质量与决策候选遗漏，对应到函数误选、过度调用、格式错误和可验证的任务结果。</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 OPD 方法在学生自生成前缀上获取教师反馈，缓解训练与推理时的状态分布差异[7]。但对单轮工具调用而言，学生轨迹中函数选择、参数生成和结构位置承担不同决策作用，等量使用所有有效 token 可能稀释关键位置的监督。散度研究表明 Forward KL、Reverse KL 及混合目标具有不同的分布偏好[7][8][9][35]；已有混合方法尚需在工具调用的不同状态上确定目标权重及其训练作用。本文据此分别研究决策状态的监督选择和位置条件化的散度目标。</w:t>
      </w:r>
    </w:p>
    <w:p w14:paraId="0A9C58A2">
      <w:pPr>
        <w:ind w:firstLine="420"/>
        <w:jc w:val="both"/>
      </w:pPr>
      <w:r>
        <w:t>第三个方法问题来自教师反馈的稀疏化。Top-K 支持集外的总概率可以用尾部类别保存[31]，但学生高估的工具调用决策 token 仍可能被遗漏[33]；采样残差修正提供了另一种估计途径[32][34]。本课题拟把前两项方法确定的训练位置和散度目标作为基础，设计决策感知的支持集与有限预算分配机制。三项工作分别决定“在哪些位置学、用什么目标学、教师给出哪些概率”，由同一测试流程验证。</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研究思路与问题展开</w:t>
      </w:r>
      <w:bookmarkEnd w:id="17"/>
    </w:p>
    <w:p w14:paraId="71C6F5B5">
      <w:pPr>
        <w:ind w:firstLine="420"/>
        <w:jc w:val="both"/>
      </w:pPr>
      <w:r>
        <w:t>本文围绕单轮 Function Calling 提出三个相互衔接的方法问题。首先，学生自生成轨迹中哪些位置值得优先接受教师监督，需要形成可执行的状态选择规则。其次，同一散度目标在函数选择、参数生成和结构位置上的作用可能不同，需要形成按位置调节的优化目标。最后，教师只能返回有限候选概率时，需要设计兼顾关键决策 token 与尾部总质量的反馈表示。三个方法依次确定监督位置、更新方向和反馈内容，统一测试流程提供共同的实现与验证条件。</w:t>
      </w:r>
    </w:p>
    <w:p w14:paraId="1EEDD05E">
      <w:pPr>
        <w:pStyle w:val="3"/>
      </w:pPr>
      <w:bookmarkStart w:id="18" w:name="_Toc854844884"/>
      <w:r>
        <w:rPr>
          <w:rFonts w:ascii="黑体" w:hAnsi="黑体" w:eastAsia="黑体" w:cs="黑体"/>
          <w:b/>
          <w:color w:val="000000"/>
          <w:sz w:val="24"/>
        </w:rPr>
        <w:t>3.2 三项方法级研究问题</w:t>
      </w:r>
      <w:bookmarkEnd w:id="18"/>
    </w:p>
    <w:p w14:paraId="306F781D">
      <w:pPr>
        <w:ind w:firstLine="420"/>
        <w:jc w:val="both"/>
      </w:pPr>
      <w:r>
        <w:t>第一项研究设计决策状态感知的监督选择方法。常规 OPD 在学生轨迹的有效位置取得教师反馈[7]，却未直接规定有限更新预算优先投向哪些工具调用决策。本文先用消息边界、工具 schema 和解析规则标出函数入口、函数名、参数键、参数值与结构位置，再用该位置上的师生分歧与类型信息形成优先级，在固定有效训练 token 数下选择监督位置。优先级仅使用训练时可获得的信息；目标函数和反馈粒度暂时固定，以检验位置选择本身对函数、参数和格式错误的影响。</w:t>
      </w:r>
    </w:p>
    <w:p w14:paraId="7FDDC4C9">
      <w:pPr>
        <w:ind w:firstLine="420"/>
        <w:jc w:val="both"/>
      </w:pPr>
      <w:r>
        <w:t>第二项研究设计位置条件化的双向散度目标。Forward KL 强调教师认可候选的覆盖，Reverse KL 更重视学生当前高概率区域[7][8]；混合两者已有研究基础[35]。本文在完整词表上分别测量教师偏好候选的学生欠覆盖量，以及学生高概率候选相对教师的过估量，据两类信号调节双向散度的权重，并允许函数选择、参数生成和结构位置采用不同的规则阈值。权重规则由训练集诊断并用验证集选择，测试集不参与确定；固定第一项方法的监督位置，与单一散度、全局固定混合及代表性广义散度比较。</w:t>
      </w:r>
    </w:p>
    <w:p w14:paraId="7FDDC4CA">
      <w:pPr>
        <w:ind w:firstLine="420"/>
        <w:jc w:val="both"/>
      </w:pPr>
      <w:r>
        <w:t>第三项研究设计有限反馈下的决策感知支持集。教师 Top-K 可能遗漏尾部总质量，也可能漏掉学生高估的函数入口或参数候选[31][33]。本文在教师 Top-K 中补入合法的学生高概率决策 token，对其单独评分，并把其余概率并为尾部类别；不同位置的显式候选名额由前两项研究确定的决策类别和诊断风险分配。该方法改变教师反馈的表示与预算配置，固定监督位置和主要散度目标后，与常规 Top-K、已有尾部类别及同预算选择方法比较。</w:t>
      </w:r>
    </w:p>
    <w:p w14:paraId="1514E400">
      <w:pPr>
        <w:pStyle w:val="3"/>
      </w:pPr>
      <w:bookmarkStart w:id="19" w:name="_Toc712366958"/>
      <w:r>
        <w:rPr>
          <w:rFonts w:ascii="黑体" w:hAnsi="黑体" w:eastAsia="黑体" w:cs="黑体"/>
          <w:b/>
          <w:color w:val="000000"/>
          <w:sz w:val="24"/>
        </w:rPr>
        <w:t>3.3 Top-K 稀疏反馈的缺陷与拟改进方法</w:t>
      </w:r>
      <w:bookmarkEnd w:id="19"/>
    </w:p>
    <w:p w14:paraId="6EF7E413">
      <w:pPr>
        <w:ind w:firstLine="420"/>
        <w:jc w:val="both"/>
      </w:pPr>
      <w:r>
        <w:t>已有尾部类别方法保留支持集外的概率总量，却难以指出尾部中哪一个 token 影响工具调用；增大教师 Top-K 会提高反馈量，学生高估的关键候选仍可能遗漏[31][33]。本文拟在单轮调用中建立决策感知支持集：先依据 schema 与消息边界识别函数入口、函数名、参数键和结构位置，再从学生高概率的合法决策候选中找出教师 Top-K 漏掉的 token，补入支持集并取得相应教师概率。</w:t>
      </w:r>
    </w:p>
    <w:p w14:paraId="7FDDC4CB">
      <w:pPr>
        <w:ind w:firstLine="420"/>
        <w:jc w:val="both"/>
      </w:pPr>
      <w:r>
        <w:t>显式候选与一个尾部类别共同形成粗粒度目标。尾部类别沿用已有工作，保存支持集外的师生概率总量[31]；补入的决策 token 接受单独约束，使目标能够区分总体质量偏差与具体调用候选的高估。实验分别移除两项处理，并与已有学生感知支持集方法比较[33]。实现前需确认教师能否返回补入 token 的概率，训练记录则分别统计反馈字节数、额外查询量与教师计算时间。</w:t>
      </w:r>
    </w:p>
    <w:p w14:paraId="7FDDC4CC">
      <w:pPr>
        <w:ind w:firstLine="420"/>
        <w:jc w:val="both"/>
      </w:pPr>
      <w:r>
        <w:t>固定反馈预算下，还需确定各位置获得多少候选名额。本文利用训练集诊断子集的尾部质量差、关键 token 漏选率及完整词表梯度误差估计位置风险，在函数入口等位置保留更多显式候选，在风险较低的位置缩小支持集。位置权重、K 上限和阈值由训练集及验证集确定。关键候选补入、尾部总量保留与位置预算分配分别设置对照；联合方案的收益和适用范围由实验决定。</w:t>
      </w:r>
    </w:p>
    <w:p w14:paraId="7F13BEDA">
      <w:pPr>
        <w:pStyle w:val="3"/>
      </w:pPr>
      <w:bookmarkStart w:id="20" w:name="_Toc530131081"/>
      <w:r>
        <w:rPr>
          <w:rFonts w:ascii="黑体" w:hAnsi="黑体" w:eastAsia="黑体" w:cs="黑体"/>
          <w:b/>
          <w:color w:val="000000"/>
          <w:sz w:val="24"/>
        </w:rPr>
        <w:t>3.4 统一测试流程与验证路径</w:t>
      </w:r>
      <w:bookmarkEnd w:id="20"/>
    </w:p>
    <w:p w14:paraId="7DA378CA">
      <w:pPr>
        <w:ind w:firstLine="420"/>
        <w:jc w:val="both"/>
      </w:pPr>
      <w:r>
        <w:t>三个方法分别进行数值检查、受控训练和任务验证。状态方法比较相同更新预算下的均匀位置选择、仅按结构类型选择和决策状态优先选择；散度方法在相同轨迹与完整词表反馈下比较单一目标、全局混合和位置条件化混合；反馈方法固定前两项的设置，测量不同支持集的尾部质量、决策候选覆盖、梯度误差及教师评分成本。每项方法均以结构化调用结果和多随机种子重复实验检验，组件消融只用于解释机制。</w:t>
      </w:r>
    </w:p>
    <w:p>
      <w:pPr>
        <w:ind w:firstLine="420"/>
        <w:jc w:val="both"/>
      </w:pPr>
      <w:r>
        <w:t>为使三项研究能够共用证据，本文拟实现统一测试流程。数据接入层保存样本、工具 schema、划分版本和状态标签；轨迹层保存学生前缀、位置掩码及教师在同一前缀上的概率反馈；实验层通过可替换接口接入散度目标与全词表、Top-K、K1 及候选支持集；评测层用固定解析规则汇总函数、参数、结构和可执行任务结果。每条记录关联样本标识、配置、随机种子、模型版本和代码版本，支持相同轨迹上的目标回放与失败追踪。</w:t>
      </w:r>
    </w:p>
    <w:p w14:paraId="7FDDC4CD">
      <w:pPr>
        <w:ind w:firstLine="420"/>
        <w:jc w:val="both"/>
      </w:pPr>
      <w:r>
        <w:t>三项方法共享学生起点、冻结教师、数据划分、生成协议和评价规则。状态实验匹配有效训练 token 数与更新步数；散度实验固定状态选择与完整词表反馈；稀疏实验固定状态选择和主要散度，并匹配平均显式候选数。统一流程保存每项方法的输入、规则、参数和原始预测，能够在同一轨迹上回放目标计算，再用独立训练检验端到端效果。若短程实验显示某项机制缺乏信号，将收缩该方法的适用范围。</w:t>
      </w:r>
    </w:p>
    <w:p w14:paraId="7FDDC4CE">
      <w:pPr>
        <w:ind w:firstLine="420"/>
        <w:jc w:val="both"/>
      </w:pPr>
      <w:r>
        <w:t>预期形成三项方法及其证据链：决策状态感知的监督选择、位置条件化的双向散度目标、决策感知的稀疏教师反馈。每项分别提交可执行规则、数值与梯度检查、同预算训练结果及分层工具调用分析。统一测试程序保存轨迹、配置、代码版本、失败样本和资源开销；候选方法的收益与适用边界由实测结果决定。</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图 1 展示学生状态、散度目标和反馈粒度的递进关系。本文在三个环节分别提出状态选择、位置条件化目标和决策感知支持集，前一方法为后一方法提供位置或目标约束。已有混合散度、尾部类别、采样修正及学生感知支持集工作[35][31][32][33][34]是重要对照；三项候选方法在单轮工具调用中的效果均待实验验证。</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在线策略蒸馏的三项研究方法及其关系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图 2 展示总体技术路线。学生生成单轮工具调用轨迹后，先根据结构位置与师生分歧选择重点监督状态；在选中状态上，按位置类别组合双向散度，确定学生更新方向；最后在有限教师反馈预算下，构造含决策候选和尾部类别的稀疏支持集。统一测试流程记录轨迹、概率、损失、调用结果和成本，使三项方法可以逐项验证并开展组合实验。</w:t>
      </w:r>
    </w:p>
    <w:p w14:paraId="7804E4EE">
      <w:pPr>
        <w:ind w:firstLine="420"/>
        <w:jc w:val="both"/>
      </w:pPr>
      <w:r>
        <w:t>下面统一记号。输入从数据分布中抽取，学生策略生成响应，冻结教师在相同学生前缀上给出条件分布。监督掩码先标记合法位置，再由状态选择方法在固定训练预算下确定实际参与更新的位置；师生使用一致的 tokenizer、模板与位置对齐规则。</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令上标 g 表示教师反馈方案，包括完整词表、常规 Top-K 及候选支持集。式（4-2）的监督掩码由状态方法给出，单位置散度算子可按位置类别选取双向目标；反馈方案决定算子可见的概率表示。每次更新将离散生成轨迹视为已采样数据，梯度沿学生分布和 LoRA 参数传播。</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式（4-2）为三项方法提供统一目标。先固定散度与完整词表反馈，研究状态选择；再固定监督位置，在完整词表上研究位置条件化的双向散度；最后固定位置和目标，研究稀疏支持集。单一 Forward KL、Reverse KL、JSD、skew KL、全局固定混合及已有尾部类别方法分别作为对照[7][8][9][12][35][31]。总体优化问题为：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方法研究依次完成状态选择、位置条件化目标和稀疏反馈设计；三项方法分别接受受控训练验证，再测试组合使用的效果。每项均保留规则参数、训练配置和原始指标，避免把方法贡献归于单次消融或总分变化。</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计划选用 Qwen3-0.6B 学生和 Qwen3-4B 教师。相同模型家族便于统一 tokenizer、特殊 token、消息模板和函数调用格式；教师冻结，学生仅更新低秩适配参数。具体版本与模板将在兼容性审计后确定。线性层采用以下 LoRA 参数化：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式（4-4）中，两个可训练矩阵的中间维度为低秩维度，远小于原线性层的输入和输出维度。LoRA 降低学生更新参数量，使各组散度和反馈实验能够共享同一初始化与优化器协议[19]。Qwen3 模型家族及模板约定以其技术报告为参考[16]。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式（4-5）中的用户请求与工具 schema 构成单轮实验的主要输入；有可靠对话历史或工具返回的样本单独标记，在扩展分析中使用。训练、验证和测试集独立划分，满足下列互斥关系：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数据按来源、接口模板和目标调用进行联合去重，并检查相似问题与工具定义跨集合出现的情况。API-Bank、ToolLLM/ToolBench、APIGen 和 ToolACE 为字段统一、样本筛选与质量审计提供了参考[23][24][25][26]。</w:t>
      </w:r>
    </w:p>
    <w:p w14:paraId="1EA2CC71">
      <w:pPr>
        <w:ind w:firstLine="420"/>
        <w:jc w:val="both"/>
      </w:pPr>
      <w:r>
        <w:t>数据审计分为结构、语义和执行三个层次。结构检查覆盖 JSON 解析与 schema 约束，语义检查核对用户意图和目标调用；具备本地工具或模拟环境的样本再接受执行验证。单轮主实验使用结构可解析、目标调用可核对的样本，执行成功率只在经过验证的子集上报告。自动规则难以判断的样本保留原因，并通过人工抽查确定处理方式。</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学生 rollout 使用预先固定的温度、长度上限和停止规则。当前位置的 logits 经温度缩放后给出采样分布，整条生成序列的概率由各位置条件概率相乘得到：</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教师沿学生已生成的前缀评分，师生 logits 在同一 token 位置对齐，再由各自设定的温度得到条件分布。位置标注依据函数选择、参数键、参数值和结构标记的解析规则完成；无法可靠归类的 token 单列。状态选择方法在有效位置中，依据结构类别及师生分歧设置优先级并选取固定数量的位置；任务真值仅用于训练后分析，不参与优先级计算。</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消息边界、工具调用区域和序列截断先定义候选监督位置。状态选择方法在候选集合内保留固定预算的位置，并将其掩码设为 1，其余位置为 0；损失仍按实际选中位置数归一化：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列出各环节需固定和记录的变量。所有对照组使用相同输入、生成协议、数据划分和候选位置定义。状态方法只改变实际参与更新的位置；散度方法固定位置并提供完整词表反馈；稀疏方法进一步固定目标。教师反馈记录 Top-K 累计概率、尾部质量、决策 token 覆盖情况和实际 K；状态选择记录位置类别、优先级与实际掩码，使每项方法都能追溯到具体变量。图 3 展示训练与评测流程。</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散度目标分析与稀疏反馈定义</w:t>
      </w:r>
      <w:bookmarkEnd w:id="41"/>
    </w:p>
    <w:p w14:paraId="01830904">
      <w:pPr>
        <w:ind w:firstLine="420"/>
        <w:jc w:val="both"/>
      </w:pPr>
      <w:r>
        <w:t>在完整词表上，Forward KL 按教师概率加权。当学生低估教师认可的 token 时，该目标会产生相应惩罚；单位置定义为：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按学生概率加权，更关注学生当前容易生成的区域，其单位置定义为：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skew KL 使用教师分布与学生分布的混合项，本文采用的教师侧形式为：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完整词表的 Forward KL、Reverse KL、JSD 和 skew KL 构成目标参照[7][8][9][12]。位置条件化方法先计算教师高概率候选的学生欠覆盖量，以及学生最高概率候选相对教师的过估量；两量均取非负值。两量之和非零时，以欠覆盖量占比作为 Forward KL 权重，余下权重分给 Reverse KL；两量都为零时使用预设中性权重。函数选择、参数生成和结构位置可设置不同的阈值与权重边界，取值范围由验证集确定。权重计算不参与梯度传播，单位置损失由式（4-12）和式（4-13）加权组成；全局固定混合与单一散度是直接对照[35]。稀疏实验沿用确定后的规则及相同位置，避免同时更换目标与支持集。</w:t>
      </w:r>
    </w:p>
    <w:p w14:paraId="32BF1A8F">
      <w:pPr>
        <w:ind w:firstLine="420"/>
        <w:jc w:val="both"/>
      </w:pPr>
      <w:r>
        <w:t>表 4-2 按三个方法组织受控比较。状态方法固定完整词表目标，检验监督位置规则；散度方法固定位置，检验位置条件化权重；反馈方法固定位置和目标，检验有限支持集。教师、学生起点、数据划分、生成协议与评价规则保持一致，各组统一有效训练 token 数及更新步数；方法组合另设实验，避免混淆单项贡献。</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cantSplit/>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研究作用</w:t>
            </w:r>
          </w:p>
        </w:tc>
      </w:tr>
      <w:tr w14:paraId="568DC1CB">
        <w:trPr>
          <w:cantSplit/>
          <w:jc w:val="center"/>
        </w:trPr>
        <w:tc>
          <w:tcPr>
            <w:tcW w:w="1150" w:type="dxa"/>
            <w:vAlign w:val="center"/>
          </w:tcPr>
          <w:p w14:paraId="24BA4DC4">
            <w:pPr>
              <w:spacing w:before="0" w:after="0" w:line="240" w:lineRule="auto"/>
              <w:ind w:firstLine="0"/>
              <w:jc w:val="left"/>
            </w:pPr>
            <w:r>
              <w:rPr>
                <w:rFonts w:ascii="Times New Roman" w:hAnsi="Times New Roman" w:eastAsia="宋体"/>
                <w:b w:val="0"/>
                <w:sz w:val="19"/>
              </w:rPr>
              <w:t>状态选择方法</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同模型、同目标、同训练 token 预算</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均匀位置、结构优先、状态感知选择</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位置覆盖、调用错误、成本</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验证监督位置规则</w:t>
            </w:r>
          </w:p>
        </w:tc>
      </w:tr>
      <w:tr w14:paraId="17480239">
        <w:trPr>
          <w:cantSplit/>
          <w:jc w:val="center"/>
        </w:trPr>
        <w:tc>
          <w:tcPr>
            <w:tcW w:w="1150" w:type="dxa"/>
            <w:vAlign w:val="center"/>
          </w:tcPr>
          <w:p w14:paraId="4DBCBCCE">
            <w:pPr>
              <w:spacing w:before="0" w:after="0" w:line="240" w:lineRule="auto"/>
              <w:ind w:firstLine="0"/>
              <w:jc w:val="left"/>
            </w:pPr>
            <w:r>
              <w:rPr>
                <w:rFonts w:ascii="Times New Roman" w:hAnsi="Times New Roman" w:eastAsia="宋体"/>
                <w:b w:val="0"/>
                <w:sz w:val="19"/>
              </w:rPr>
              <w:t>条件化散度方法</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同轨迹、完整词表反馈</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FKL、RKL、全局混合、位置条件化混合</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梯度、熵、调用结果</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验证目标设计</w:t>
            </w:r>
          </w:p>
        </w:tc>
      </w:tr>
      <w:tr w14:paraId="5DED9877">
        <w:trPr>
          <w:cantSplit/>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稀疏反馈方法</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同位置、同目标、同反馈预算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Top-K、尾部类别、决策支持集</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尾部质量、调用结果、教师成本</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验证反馈表示</w:t>
            </w:r>
          </w:p>
        </w:tc>
      </w:tr>
      <w:tr w14:paraId="7FDDC4CF">
        <w:trPr>
          <w:cantSplit/>
          <w:jc w:val="center"/>
        </w:trPr>
        <w:tc>
          <w:tcPr>
            <w:tcW w:w="1150" w:type="dxa"/>
            <w:vAlign w:val="center"/>
          </w:tcPr>
          <w:p w14:paraId="63F80CA8">
            <w:pPr>
              <w:spacing w:before="0" w:after="0" w:line="240" w:lineRule="auto"/>
              <w:ind w:firstLine="0"/>
              <w:jc w:val="left"/>
            </w:pPr>
            <w:r>
              <w:rPr>
                <w:rFonts w:ascii="Times New Roman" w:hAnsi="Times New Roman" w:eastAsia="宋体"/>
                <w:b w:val="0"/>
                <w:sz w:val="19"/>
              </w:rPr>
              <w:t>方法组合与消融</w:t>
            </w:r>
          </w:p>
        </w:tc>
        <w:tc>
          <w:tcPr>
            <w:tcW w:w="2350" w:type="dxa"/>
            <w:vAlign w:val="center"/>
          </w:tcPr>
          <w:p w14:paraId="3CBD8491">
            <w:pPr>
              <w:spacing w:before="0" w:after="0" w:line="240" w:lineRule="auto"/>
              <w:ind w:firstLine="0"/>
              <w:jc w:val="left"/>
            </w:pPr>
            <w:r>
              <w:rPr>
                <w:rFonts w:ascii="Times New Roman" w:hAnsi="Times New Roman" w:eastAsia="宋体"/>
                <w:b w:val="0"/>
                <w:sz w:val="19"/>
              </w:rPr>
              <w:t>同起点、同训练协议</w:t>
            </w:r>
          </w:p>
        </w:tc>
        <w:tc>
          <w:tcPr>
            <w:tcW w:w="1450" w:type="dxa"/>
            <w:vAlign w:val="center"/>
          </w:tcPr>
          <w:p w14:paraId="189C4C7B">
            <w:pPr>
              <w:spacing w:before="0" w:after="0" w:line="240" w:lineRule="auto"/>
              <w:ind w:firstLine="0"/>
              <w:jc w:val="left"/>
            </w:pPr>
            <w:r>
              <w:rPr>
                <w:rFonts w:ascii="Times New Roman" w:hAnsi="Times New Roman" w:eastAsia="宋体"/>
                <w:b w:val="0"/>
                <w:sz w:val="19"/>
              </w:rPr>
              <w:t>单项方法、组合、移除组件</w:t>
            </w:r>
          </w:p>
        </w:tc>
        <w:tc>
          <w:tcPr>
            <w:tcW w:w="1900" w:type="dxa"/>
            <w:vAlign w:val="center"/>
          </w:tcPr>
          <w:p w14:paraId="0A199A6B">
            <w:pPr>
              <w:spacing w:before="0" w:after="0" w:line="240" w:lineRule="auto"/>
              <w:ind w:firstLine="0"/>
              <w:jc w:val="left"/>
            </w:pPr>
            <w:r>
              <w:rPr>
                <w:rFonts w:ascii="Times New Roman" w:hAnsi="Times New Roman" w:eastAsia="宋体"/>
                <w:b w:val="0"/>
                <w:sz w:val="19"/>
              </w:rPr>
              <w:t>任务、时间、显存、波动</w:t>
            </w:r>
          </w:p>
        </w:tc>
        <w:tc>
          <w:tcPr>
            <w:tcW w:w="1456" w:type="dxa"/>
            <w:vAlign w:val="center"/>
          </w:tcPr>
          <w:p w14:paraId="0FA7DA3F">
            <w:pPr>
              <w:spacing w:before="0" w:after="0" w:line="240" w:lineRule="auto"/>
              <w:ind w:firstLine="0"/>
              <w:jc w:val="left"/>
            </w:pPr>
            <w:r>
              <w:rPr>
                <w:rFonts w:ascii="Times New Roman" w:hAnsi="Times New Roman" w:eastAsia="宋体"/>
                <w:b w:val="0"/>
                <w:sz w:val="19"/>
              </w:rPr>
              <w:t>解释交互与适用边界</w:t>
            </w:r>
          </w:p>
        </w:tc>
      </w:tr>
    </w:tbl>
    <w:p w14:paraId="26F667FD">
      <w:pPr>
        <w:ind w:firstLine="420"/>
        <w:jc w:val="both"/>
      </w:pPr>
      <w:r>
        <w:t>状态方法的消融分别移除结构类型和师生分歧信息；散度方法比较单一方向、全局混合和位置条件化权重；反馈方法分别检验决策候选补入、尾部类别与预算分配。完整词表提供反馈上界参照，K1 sampled-token 作为低反馈量边界参照。消融解释方法为何有效，研究主体仍是各方法的规则设计与独立验证。</w:t>
      </w:r>
    </w:p>
    <w:p w14:paraId="7D429E15">
      <w:pPr>
        <w:ind w:firstLine="420"/>
        <w:jc w:val="both"/>
      </w:pPr>
      <w:r>
        <w:t>完整词表散度提供信息最充分的参照。常规 Top-K 由教师分布选出显式支持集，随后分别计算教师与学生在该集合内的概率质量：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常规截断基线将师生概率分别限制在教师支持集内归一化，见式（4-18）。TA-OPD 在该集合外设置尾部类别[31]，是本课题的直接方法基线。候选方案在此基础上增加学生高概率的合法决策 token；补入坐标与尾部总量分别接受监督，并通过消融分析各自的作用。</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15691AA2">
      <w:pPr>
        <w:ind w:firstLine="420"/>
        <w:jc w:val="both"/>
      </w:pPr>
      <w:r>
        <w:t xml:space="preserve">由 schema 确定且未进入教师 Top-K 的合法决策 token 组成候选集合 </w:t>
      </w:r>
      <m:oMath>
        <m:sSubSup>
          <m:sSubSupPr/>
          <m:e>
            <m:r>
              <m:rPr/>
              <m:t>V</m:t>
            </m:r>
          </m:e>
          <m:sub>
            <m:r>
              <m:rPr/>
              <m:t>t</m:t>
            </m:r>
          </m:sub>
          <m:sup>
            <m:r>
              <m:rPr>
                <m:sty m:val="p"/>
              </m:rPr>
              <m:t>dec</m:t>
            </m:r>
          </m:sup>
        </m:sSubSup>
      </m:oMath>
      <w:r>
        <w:t>。式（4-17）中的 K 随位置调整；从候选集合选出学生高概率 token，与教师支持集取并集：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27B2EA4">
        <w:trPr>
          <w:cantSplit/>
          <w:jc w:val="center"/>
        </w:trPr>
        <w:tc>
          <w:tcPr>
            <w:tcW w:w="650" w:type="dxa"/>
            <w:tcMar>
              <w:top w:w="0" w:type="dxa"/>
              <w:left w:w="0" w:type="dxa"/>
              <w:bottom w:w="0" w:type="dxa"/>
              <w:right w:w="0" w:type="dxa"/>
            </w:tcMar>
            <w:vAlign w:val="center"/>
          </w:tcPr>
          <w:p w14:paraId="E825052D">
            <w:pPr>
              <w:spacing w:before="0" w:after="0"/>
              <w:jc w:val="left"/>
            </w:pPr>
          </w:p>
        </w:tc>
        <w:tc>
          <w:tcPr>
            <w:tcW w:w="7006" w:type="dxa"/>
            <w:tcMar>
              <w:top w:w="0" w:type="dxa"/>
              <w:left w:w="0" w:type="dxa"/>
              <w:bottom w:w="0" w:type="dxa"/>
              <w:right w:w="0" w:type="dxa"/>
            </w:tcMar>
            <w:vAlign w:val="center"/>
          </w:tcPr>
          <w:p w14:paraId="529C5DE6">
            <w:pPr>
              <w:spacing w:before="0" w:after="0"/>
              <w:jc w:val="center"/>
              <w:rPr>
                <w:rFonts w:hint="default"/>
                <w:lang w:val="en-US"/>
              </w:rPr>
            </w:pPr>
            <m:oMathPara>
              <m:oMath>
                <m:sSub>
                  <m:sSubPr/>
                  <m:e>
                    <m:r>
                      <m:rPr/>
                      <m:t>C</m:t>
                    </m:r>
                  </m:e>
                  <m:sub>
                    <m:r>
                      <m:rPr/>
                      <m:t>t</m:t>
                    </m:r>
                  </m:sub>
                </m:sSub>
                <m:r>
                  <m:rPr>
                    <m:sty m:val="p"/>
                  </m:rPr>
                  <m:t>=</m:t>
                </m:r>
                <m:sSub>
                  <m:sSubPr/>
                  <m:e>
                    <m:r>
                      <m:rPr>
                        <m:sty m:val="p"/>
                      </m:rPr>
                      <m:t>Top</m:t>
                    </m:r>
                  </m:e>
                  <m:sub>
                    <m:sSub>
                      <m:sSubPr/>
                      <m:e>
                        <m:r>
                          <m:rPr/>
                          <m:t>b</m:t>
                        </m:r>
                      </m:e>
                      <m:sub>
                        <m:r>
                          <m:rPr/>
                          <m:t>t</m:t>
                        </m:r>
                      </m:sub>
                    </m:sSub>
                  </m:sub>
                </m:sSub>
                <m:r>
                  <m:rPr>
                    <m:sty m:val="p"/>
                  </m:rPr>
                  <m:t>(</m:t>
                </m:r>
                <m:sSub>
                  <m:sSubPr/>
                  <m:e>
                    <m:r>
                      <m:rPr/>
                      <m:t>p</m:t>
                    </m:r>
                  </m:e>
                  <m:sub>
                    <m:r>
                      <m:rPr/>
                      <m:t>S</m:t>
                    </m:r>
                    <m:r>
                      <m:rPr>
                        <m:sty m:val="p"/>
                      </m:rPr>
                      <m:t>,</m:t>
                    </m:r>
                    <m:r>
                      <m:rPr/>
                      <m:t>t</m:t>
                    </m:r>
                  </m:sub>
                </m:sSub>
                <m:r>
                  <m:rPr>
                    <m:sty m:val="p"/>
                  </m:rPr>
                  <m:t>;</m:t>
                </m:r>
                <m:sSubSup>
                  <m:sSubSupPr/>
                  <m:e>
                    <m:r>
                      <m:rPr/>
                      <m:t>V</m:t>
                    </m:r>
                  </m:e>
                  <m:sub>
                    <m:r>
                      <m:rPr/>
                      <m:t>t</m:t>
                    </m:r>
                  </m:sub>
                  <m:sup>
                    <m:r>
                      <m:rPr>
                        <m:sty m:val="p"/>
                      </m:rPr>
                      <m:t>dec</m:t>
                    </m:r>
                  </m:sup>
                </m:sSubSup>
                <m:r>
                  <m:rPr>
                    <m:sty m:val="p"/>
                  </m:rPr>
                  <m:t>),</m:t>
                </m:r>
                <m:r>
                  <m:rPr/>
                  <m:t>  </m:t>
                </m:r>
                <m:sSub>
                  <m:sSubPr/>
                  <m:e>
                    <m:r>
                      <m:rPr/>
                      <m:t>A</m:t>
                    </m:r>
                  </m:e>
                  <m:sub>
                    <m:r>
                      <m:rPr/>
                      <m:t>t</m:t>
                    </m:r>
                  </m:sub>
                </m:sSub>
                <m:r>
                  <m:rPr>
                    <m:sty m:val="p"/>
                  </m:rPr>
                  <m:t>=</m:t>
                </m:r>
                <m:sSub>
                  <m:sSubPr/>
                  <m:e>
                    <m:r>
                      <m:rPr/>
                      <m:t>S</m:t>
                    </m:r>
                  </m:e>
                  <m:sub>
                    <m:sSub>
                      <m:sSubPr/>
                      <m:e>
                        <m:r>
                          <m:rPr/>
                          <m:t>K</m:t>
                        </m:r>
                      </m:e>
                      <m:sub>
                        <m:r>
                          <m:rPr/>
                          <m:t>t</m:t>
                        </m:r>
                      </m:sub>
                    </m:sSub>
                    <m:r>
                      <m:rPr>
                        <m:sty m:val="p"/>
                      </m:rPr>
                      <m:t>,</m:t>
                    </m:r>
                    <m:r>
                      <m:rPr/>
                      <m:t>t</m:t>
                    </m:r>
                  </m:sub>
                </m:sSub>
                <m:r>
                  <m:rPr>
                    <m:sty m:val="p"/>
                  </m:rPr>
                  <m:t>∪</m:t>
                </m:r>
                <m:sSub>
                  <m:sSubPr/>
                  <m:e>
                    <m:r>
                      <m:rPr/>
                      <m:t>C</m:t>
                    </m:r>
                  </m:e>
                  <m:sub>
                    <m:r>
                      <m:rPr/>
                      <m:t>t</m:t>
                    </m:r>
                  </m:sub>
                </m:sSub>
                <m:r>
                  <m:rPr>
                    <m:sty m:val="p"/>
                  </m:rPr>
                  <m:t>.</m:t>
                </m:r>
              </m:oMath>
            </m:oMathPara>
          </w:p>
        </w:tc>
        <w:tc>
          <w:tcPr>
            <w:tcW w:w="650" w:type="dxa"/>
            <w:tcMar>
              <w:top w:w="0" w:type="dxa"/>
              <w:left w:w="0" w:type="dxa"/>
              <w:bottom w:w="0" w:type="dxa"/>
              <w:right w:w="0" w:type="dxa"/>
            </w:tcMar>
            <w:vAlign w:val="center"/>
          </w:tcPr>
          <w:p w14:paraId="56DD5B5E">
            <w:pPr>
              <w:spacing w:before="0" w:after="0"/>
              <w:jc w:val="right"/>
            </w:pPr>
            <w:bookmarkStart w:id="50" w:name="_RefEq4_41"/>
            <w:r>
              <w:t>(4-</w:t>
            </w:r>
            <w:r>
              <w:fldChar w:fldCharType="begin"/>
            </w:r>
            <w:r>
              <w:instrText xml:space="preserve"> SEQ Eq4 \* ARABIC </w:instrText>
            </w:r>
            <w:r>
              <w:fldChar w:fldCharType="separate"/>
            </w:r>
            <w:r>
              <w:t>19</w:t>
            </w:r>
            <w:r>
              <w:fldChar w:fldCharType="end"/>
            </w:r>
            <w:r>
              <w:t>)</w:t>
            </w:r>
            <w:bookmarkEnd w:id="50"/>
          </w:p>
        </w:tc>
      </w:tr>
    </w:tbl>
    <w:p w14:paraId="68F1FDC4">
      <w:pPr>
        <w:ind w:firstLine="420"/>
        <w:jc w:val="both"/>
      </w:pPr>
      <w:r>
        <w:t>式（4-19）的 Top 算子按学生概率选择候选，额外名额依据位置风险分配；名额为零或候选集合为空时，补入集合为空。教师对补入 token 的概率须通过可靠接口或本地前向计算取得。稀疏实验沿用已确定的监督位置及散度权重；如权重所需的欠覆盖量无法由当前反馈恢复，应在粗粒度支持集上重新定义可计算的代理量，并与完整词表权重分开报告。对扩展后的同一支持集，师生各保留显式 token 的原始概率，并将其余概率并入尾部类别：</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153211C">
        <w:trPr>
          <w:cantSplit/>
          <w:jc w:val="center"/>
        </w:trPr>
        <w:tc>
          <w:tcPr>
            <w:tcW w:w="650" w:type="dxa"/>
            <w:tcMar>
              <w:top w:w="0" w:type="dxa"/>
              <w:left w:w="0" w:type="dxa"/>
              <w:bottom w:w="0" w:type="dxa"/>
              <w:right w:w="0" w:type="dxa"/>
            </w:tcMar>
            <w:vAlign w:val="center"/>
          </w:tcPr>
          <w:p w14:paraId="9A7DEEC6">
            <w:pPr>
              <w:spacing w:before="0" w:after="0"/>
              <w:jc w:val="left"/>
            </w:pPr>
          </w:p>
        </w:tc>
        <w:tc>
          <w:tcPr>
            <w:tcW w:w="7006" w:type="dxa"/>
            <w:tcMar>
              <w:top w:w="0" w:type="dxa"/>
              <w:left w:w="0" w:type="dxa"/>
              <w:bottom w:w="0" w:type="dxa"/>
              <w:right w:w="0" w:type="dxa"/>
            </w:tcMar>
            <w:vAlign w:val="center"/>
          </w:tcPr>
          <w:p w14:paraId="D4AA01AD">
            <w:pPr>
              <w:spacing w:before="0" w:after="0"/>
              <w:jc w:val="center"/>
              <w:rPr>
                <w:rFonts w:hint="default"/>
                <w:lang w:val="en-US"/>
              </w:rPr>
            </w:pPr>
            <m:oMathPara>
              <m:oMath>
                <m:sSubSup>
                  <m:sSubSupPr/>
                  <m:e>
                    <m:r>
                      <m:rPr/>
                      <m:t>p</m:t>
                    </m:r>
                  </m:e>
                  <m:sub>
                    <m:r>
                      <m:rPr/>
                      <m:t>j</m:t>
                    </m:r>
                    <m:r>
                      <m:rPr>
                        <m:sty m:val="p"/>
                      </m:rPr>
                      <m:t>,</m:t>
                    </m:r>
                    <m:r>
                      <m:rPr/>
                      <m:t>t</m:t>
                    </m:r>
                  </m:sub>
                  <m:sup>
                    <m:sSub>
                      <m:sSubPr/>
                      <m:e>
                        <m:r>
                          <m:rPr/>
                          <m:t>A</m:t>
                        </m:r>
                      </m:e>
                      <m:sub>
                        <m:r>
                          <m:rPr/>
                          <m:t>t</m:t>
                        </m:r>
                      </m:sub>
                    </m:sSub>
                  </m:sup>
                </m:sSubSup>
                <m:r>
                  <m:rPr>
                    <m:sty m:val="p"/>
                  </m:rPr>
                  <m:t>=</m:t>
                </m:r>
                <m:d>
                  <m:dPr>
                    <m:sepChr m:val=""/>
                  </m:dPr>
                  <m:e>
                    <m:r>
                      <m:rPr>
                        <m:sty m:val="p"/>
                      </m:rPr>
                      <m:t>{</m:t>
                    </m:r>
                    <m:sSub>
                      <m:sSubPr/>
                      <m:e>
                        <m:r>
                          <m:rPr/>
                          <m:t>p</m:t>
                        </m:r>
                      </m:e>
                      <m:sub>
                        <m:r>
                          <m:rPr/>
                          <m:t>j</m:t>
                        </m:r>
                        <m:r>
                          <m:rPr>
                            <m:sty m:val="p"/>
                          </m:rPr>
                          <m:t>,</m:t>
                        </m:r>
                        <m:r>
                          <m:rPr/>
                          <m:t>t</m:t>
                        </m:r>
                      </m:sub>
                    </m:sSub>
                    <m:r>
                      <m:rPr>
                        <m:sty m:val="p"/>
                      </m:rPr>
                      <m:t>(</m:t>
                    </m:r>
                    <m:r>
                      <m:rPr/>
                      <m:t>v</m:t>
                    </m:r>
                    <m:r>
                      <m:rPr>
                        <m:sty m:val="p"/>
                      </m:rPr>
                      <m:t>)</m:t>
                    </m:r>
                    <m:sSub>
                      <m:sSubPr/>
                      <m:e>
                        <m:r>
                          <m:rPr>
                            <m:sty m:val="p"/>
                          </m:rPr>
                          <m:t>}</m:t>
                        </m:r>
                      </m:e>
                      <m:sub>
                        <m:r>
                          <m:rPr/>
                          <m:t>v</m:t>
                        </m:r>
                        <m:r>
                          <m:rPr>
                            <m:sty m:val="p"/>
                          </m:rPr>
                          <m:t>∈</m:t>
                        </m:r>
                        <m:sSub>
                          <m:sSubPr/>
                          <m:e>
                            <m:r>
                              <m:rPr/>
                              <m:t>A</m:t>
                            </m:r>
                          </m:e>
                          <m:sub>
                            <m:r>
                              <m:rPr/>
                              <m:t>t</m:t>
                            </m:r>
                          </m:sub>
                        </m:sSub>
                      </m:sub>
                    </m:sSub>
                    <m:r>
                      <m:rPr>
                        <m:sty m:val="p"/>
                      </m:rPr>
                      <m:t>,</m:t>
                    </m:r>
                    <m:r>
                      <m:rPr/>
                      <m:t> 1</m:t>
                    </m:r>
                    <m:r>
                      <m:rPr>
                        <m:sty m:val="p"/>
                      </m:rPr>
                      <m:t>−</m:t>
                    </m:r>
                    <m:nary>
                      <m:naryPr>
                        <m:chr m:val="∑"/>
                        <m:limLoc m:val="undOvr"/>
                        <m:supHide m:val="1"/>
                      </m:naryPr>
                      <m:sub>
                        <m:r>
                          <m:rPr/>
                          <m:t>v</m:t>
                        </m:r>
                        <m:r>
                          <m:rPr>
                            <m:sty m:val="p"/>
                          </m:rPr>
                          <m:t>∈</m:t>
                        </m:r>
                        <m:sSub>
                          <m:sSubPr/>
                          <m:e>
                            <m:r>
                              <m:rPr/>
                              <m:t>A</m:t>
                            </m:r>
                          </m:e>
                          <m:sub>
                            <m:r>
                              <m:rPr/>
                              <m:t>t</m:t>
                            </m:r>
                          </m:sub>
                        </m:sSub>
                      </m:sub>
                      <m:sup>
                        <m:r>
                          <m:rPr/>
                          <m:t>​</m:t>
                        </m:r>
                      </m:sup>
                      <m:e>
                        <m:sSub>
                          <m:sSubPr/>
                          <m:e>
                            <m:r>
                              <m:rPr/>
                              <m:t>p</m:t>
                            </m:r>
                          </m:e>
                          <m:sub>
                            <m:r>
                              <m:rPr/>
                              <m:t>j</m:t>
                            </m:r>
                            <m:r>
                              <m:rPr>
                                <m:sty m:val="p"/>
                              </m:rPr>
                              <m:t>,</m:t>
                            </m:r>
                            <m:r>
                              <m:rPr/>
                              <m:t>t</m:t>
                            </m:r>
                          </m:sub>
                        </m:sSub>
                      </m:e>
                    </m:nary>
                    <m:r>
                      <m:rPr>
                        <m:sty m:val="p"/>
                      </m:rPr>
                      <m:t>(</m:t>
                    </m:r>
                    <m:r>
                      <m:rPr/>
                      <m:t>v</m:t>
                    </m:r>
                    <m:r>
                      <m:rPr>
                        <m:sty m:val="p"/>
                      </m:rPr>
                      <m:t>)</m:t>
                    </m:r>
                  </m:e>
                </m:d>
                <m:r>
                  <m:rPr>
                    <m:sty m:val="p"/>
                  </m:rPr>
                  <m:t>,</m:t>
                </m:r>
                <m:r>
                  <m:rPr/>
                  <m:t>  j</m:t>
                </m:r>
                <m:r>
                  <m:rPr>
                    <m:sty m:val="p"/>
                  </m:rPr>
                  <m:t>∈{</m:t>
                </m:r>
                <m:r>
                  <m:rPr/>
                  <m:t>T</m:t>
                </m:r>
                <m:r>
                  <m:rPr>
                    <m:sty m:val="p"/>
                  </m:rPr>
                  <m:t>,</m:t>
                </m:r>
                <m:r>
                  <m:rPr/>
                  <m:t>S</m:t>
                </m:r>
                <m:r>
                  <m:rPr>
                    <m:sty m:val="p"/>
                  </m:rPr>
                  <m:t>}.</m:t>
                </m:r>
              </m:oMath>
            </m:oMathPara>
          </w:p>
        </w:tc>
        <w:tc>
          <w:tcPr>
            <w:tcW w:w="650" w:type="dxa"/>
            <w:tcMar>
              <w:top w:w="0" w:type="dxa"/>
              <w:left w:w="0" w:type="dxa"/>
              <w:bottom w:w="0" w:type="dxa"/>
              <w:right w:w="0" w:type="dxa"/>
            </w:tcMar>
            <w:vAlign w:val="center"/>
          </w:tcPr>
          <w:p w14:paraId="F8E9EACE">
            <w:pPr>
              <w:spacing w:before="0" w:after="0"/>
              <w:jc w:val="right"/>
            </w:pPr>
            <w:bookmarkStart w:id="51" w:name="_RefEq4_42"/>
            <w:r>
              <w:t>(4-</w:t>
            </w:r>
            <w:r>
              <w:fldChar w:fldCharType="begin"/>
            </w:r>
            <w:r>
              <w:instrText xml:space="preserve"> SEQ Eq4 \* ARABIC </w:instrText>
            </w:r>
            <w:r>
              <w:fldChar w:fldCharType="separate"/>
            </w:r>
            <w:r>
              <w:t>20</w:t>
            </w:r>
            <w:r>
              <w:fldChar w:fldCharType="end"/>
            </w:r>
            <w:r>
              <w:t>)</w:t>
            </w:r>
            <w:bookmarkEnd w:id="51"/>
          </w:p>
        </w:tc>
      </w:tr>
    </w:tbl>
    <w:p w14:paraId="CE78763B">
      <w:pPr>
        <w:ind w:firstLine="420"/>
        <w:jc w:val="both"/>
      </w:pPr>
      <w:r>
        <w:t>式（4-20）中的显式 token 按统一词表顺序排列，使师生粗粒度分布逐项对应；尾部类别仅表示剩余总量。将这两个分布代入式（4-2），即可在主要散度下训练学生。各组匹配平均显式候选数，补入 token 的教师评分另行计时；仅使用教师 Top-K 时，式（4-20）退化为已有的尾部类别基线[31]。</w:t>
      </w:r>
    </w:p>
    <w:p w14:paraId="718B00F7">
      <w:pPr>
        <w:ind w:firstLine="420"/>
        <w:jc w:val="both"/>
      </w:pPr>
      <w:r>
        <w:t>K1 sampled-token 使用从提议分布抽取的单个 token 估计词表求和，作为极低反馈量基线。下式给出 Forward KL 和 Reverse KL 对应的单样本重要性估计：</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2" w:name="_RefEq4_29"/>
            <w:r>
              <w:t>(4-</w:t>
            </w:r>
            <w:r>
              <w:fldChar w:fldCharType="begin"/>
            </w:r>
            <w:r>
              <w:instrText xml:space="preserve"> SEQ Eq4 \* ARABIC </w:instrText>
            </w:r>
            <w:r>
              <w:fldChar w:fldCharType="separate"/>
            </w:r>
            <w:r>
              <w:t>21</w:t>
            </w:r>
            <w:r>
              <w:fldChar w:fldCharType="end"/>
            </w:r>
            <w:r>
              <w:t>)</w:t>
            </w:r>
            <w:bookmarkEnd w:id="52"/>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K1 的提议分布及随机种子均需记录，提议分布应覆盖被估计目标的支持集。位置风险在训练集诊断子集估计，质量阈值、候选名额和 K 上限由验证集确定，测试集只用于最终评价。额外教师概率查询、反馈字节数与教师前向时间分别计量。所有目标采用一致的数值稳定处理、有效位置归一化和有限值检查。</w:t>
      </w:r>
    </w:p>
    <w:p w14:paraId="264AD57D">
      <w:pPr>
        <w:pStyle w:val="3"/>
        <w:jc w:val="left"/>
      </w:pPr>
      <w:bookmarkStart w:id="53" w:name="_Toc534757053"/>
      <w:r>
        <w:rPr>
          <w:rFonts w:ascii="黑体" w:hAnsi="黑体" w:eastAsia="黑体" w:cs="黑体"/>
          <w:b/>
          <w:color w:val="000000"/>
          <w:sz w:val="24"/>
        </w:rPr>
        <w:t>4.5 统一测试流程与评价指标</w:t>
      </w:r>
      <w:bookmarkEnd w:id="53"/>
    </w:p>
    <w:p w14:paraId="1E75A657">
      <w:pPr>
        <w:ind w:firstLine="420"/>
        <w:jc w:val="both"/>
      </w:pPr>
      <w:r>
        <w:t>统一测试流程由数据审计、学生轨迹采集、教师反馈、目标计算、训练更新和工具调用评测组成。三项方法分别接入位置选择、散度目标和反馈表示接口，共享样本与轨迹标识。每次实验固定模型版本、tokenizer、消息模板、工具 schema、解码设置及评价规则，并保存配置、随机种子、代码版本、环境、原始预测、训练曲线和资源记录。</w:t>
      </w:r>
    </w:p>
    <w:p>
      <w:pPr>
        <w:ind w:firstLine="420"/>
        <w:jc w:val="both"/>
      </w:pPr>
      <w:r>
        <w:t>验证分为三个层次。数值层使用人工可核算的小分布核对归一化、尾部质量、支持集对齐、损失与梯度，并检查 NaN／Inf；流程层以少量单轮样本回放相同学生前缀，核对不同目标仅改变指定变量，复查位置标注与反馈开销；任务层在隔离的测试集上比较函数选择、参数、格式和具备执行条件时的端到端结果。三层输出保留失败样本和原始日志，若观察到收益，可追查它对应的状态、概率变化及额外成本。</w:t>
      </w:r>
    </w:p>
    <w:p>
      <w:pPr>
        <w:ind w:firstLine="420"/>
        <w:jc w:val="both"/>
      </w:pPr>
      <w:r>
        <w:t>评价指标对应三个研究问题：状态覆盖与错误分布、完整词表散度的梯度和调用行为，以及稀疏支持集的尾部质量、决策 token 漏选与反馈成本。方法的实际价值还需由任务正确性、训练稳定性和资源消耗共同判断，指标汇总见表 4-3。</w:t>
      </w:r>
    </w:p>
    <w:p w14:paraId="245845D3">
      <w:pPr>
        <w:ind w:firstLine="420"/>
        <w:jc w:val="both"/>
      </w:pP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4"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4"/>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5" w:name="_RefEq4_32"/>
            <w:r>
              <w:t>(4-</w:t>
            </w:r>
            <w:r>
              <w:fldChar w:fldCharType="begin"/>
            </w:r>
            <w:r>
              <w:instrText xml:space="preserve"> SEQ Eq4 \* ARABIC </w:instrText>
            </w:r>
            <w:r>
              <w:fldChar w:fldCharType="separate"/>
            </w:r>
            <w:r>
              <w:t>22</w:t>
            </w:r>
            <w:r>
              <w:fldChar w:fldCharType="end"/>
            </w:r>
            <w:r>
              <w:t>)</w:t>
            </w:r>
            <w:bookmarkEnd w:id="55"/>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6" w:name="_RefEq4_33"/>
            <w:r>
              <w:t>(4-</w:t>
            </w:r>
            <w:r>
              <w:fldChar w:fldCharType="begin"/>
            </w:r>
            <w:r>
              <w:instrText xml:space="preserve"> SEQ Eq4 \* ARABIC </w:instrText>
            </w:r>
            <w:r>
              <w:fldChar w:fldCharType="separate"/>
            </w:r>
            <w:r>
              <w:t>23</w:t>
            </w:r>
            <w:r>
              <w:fldChar w:fldCharType="end"/>
            </w:r>
            <w:r>
              <w:t>)</w:t>
            </w:r>
            <w:bookmarkEnd w:id="56"/>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7" w:name="_RefEq4_34"/>
            <w:r>
              <w:t>(4-</w:t>
            </w:r>
            <w:r>
              <w:fldChar w:fldCharType="begin"/>
            </w:r>
            <w:r>
              <w:instrText xml:space="preserve"> SEQ Eq4 \* ARABIC </w:instrText>
            </w:r>
            <w:r>
              <w:fldChar w:fldCharType="separate"/>
            </w:r>
            <w:r>
              <w:t>24</w:t>
            </w:r>
            <w:r>
              <w:fldChar w:fldCharType="end"/>
            </w:r>
            <w:r>
              <w:t>)</w:t>
            </w:r>
            <w:bookmarkEnd w:id="57"/>
          </w:p>
        </w:tc>
      </w:tr>
    </w:tbl>
    <w:p w14:paraId="04F1D07C">
      <w:pPr>
        <w:ind w:firstLine="420"/>
        <w:jc w:val="both"/>
      </w:pPr>
      <w:r>
        <w:t>式（4-24）中的“≡”按 schema 允许的类型转换、无序字段和等价表示判定。结果分别报告 JSON 可解析率、schema 合法率、函数选择及参数正确率。具备可执行工具和经过核验的环境时，另报告执行成功率与端到端任务成功率；其余样本采用结构化调用匹配，并说明评价边界。BFCL 的任务划分和判定规则提供评测参考[27]。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8" w:name="_RefEq4_35"/>
            <w:r>
              <w:t>(4-</w:t>
            </w:r>
            <w:r>
              <w:fldChar w:fldCharType="begin"/>
            </w:r>
            <w:r>
              <w:instrText xml:space="preserve"> SEQ Eq4 \* ARABIC </w:instrText>
            </w:r>
            <w:r>
              <w:fldChar w:fldCharType="separate"/>
            </w:r>
            <w:r>
              <w:t>25</w:t>
            </w:r>
            <w:r>
              <w:fldChar w:fldCharType="end"/>
            </w:r>
            <w:r>
              <w:t>)</w:t>
            </w:r>
            <w:bookmarkEnd w:id="58"/>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9" w:name="_RefEq4_36"/>
            <w:r>
              <w:t>(4-</w:t>
            </w:r>
            <w:r>
              <w:fldChar w:fldCharType="begin"/>
            </w:r>
            <w:r>
              <w:instrText xml:space="preserve"> SEQ Eq4 \* ARABIC </w:instrText>
            </w:r>
            <w:r>
              <w:fldChar w:fldCharType="separate"/>
            </w:r>
            <w:r>
              <w:t>26</w:t>
            </w:r>
            <w:r>
              <w:fldChar w:fldCharType="end"/>
            </w:r>
            <w:r>
              <w:t>)</w:t>
            </w:r>
            <w:bookmarkEnd w:id="59"/>
          </w:p>
        </w:tc>
      </w:tr>
    </w:tbl>
    <w:p w14:paraId="3E2F0339">
      <w:pPr>
        <w:ind w:firstLine="420"/>
        <w:jc w:val="both"/>
      </w:pPr>
      <w:r>
        <w:t>熵与支持集重叠反映师生分布的变化。状态实验按函数、参数和结构位置统计有效 token 与错误；散度实验比较对应位置的梯度范数、方向和熵；稀疏实验记录师生支持集外的概率质量、决策 token 漏选率及相对完整词表目标的梯度差异。异常损失、格式错误和函数误选与上述诊断一同分析。</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60" w:name="_RefEq4_37"/>
            <w:r>
              <w:t>(4-</w:t>
            </w:r>
            <w:r>
              <w:fldChar w:fldCharType="begin"/>
            </w:r>
            <w:r>
              <w:instrText xml:space="preserve"> SEQ Eq4 \* ARABIC </w:instrText>
            </w:r>
            <w:r>
              <w:fldChar w:fldCharType="separate"/>
            </w:r>
            <w:r>
              <w:t>27</w:t>
            </w:r>
            <w:r>
              <w:fldChar w:fldCharType="end"/>
            </w:r>
            <w:r>
              <w:t>)</w:t>
            </w:r>
            <w:bookmarkEnd w:id="60"/>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61" w:name="_RefEq4_38"/>
            <w:r>
              <w:t>(4-</w:t>
            </w:r>
            <w:r>
              <w:fldChar w:fldCharType="begin"/>
            </w:r>
            <w:r>
              <w:instrText xml:space="preserve"> SEQ Eq4 \* ARABIC </w:instrText>
            </w:r>
            <w:r>
              <w:fldChar w:fldCharType="separate"/>
            </w:r>
            <w:r>
              <w:t>28</w:t>
            </w:r>
            <w:r>
              <w:fldChar w:fldCharType="end"/>
            </w:r>
            <w:r>
              <w:t>)</w:t>
            </w:r>
            <w:bookmarkEnd w:id="61"/>
          </w:p>
        </w:tc>
      </w:tr>
    </w:tbl>
    <w:p w14:paraId="2DE6B7B8">
      <w:pPr>
        <w:ind w:firstLine="420"/>
        <w:jc w:val="both"/>
      </w:pPr>
      <w:r>
        <w:t>资源分析同时报告教师处理 token 数、前向墙钟时间、峰值显存、训练时间和推理吞吐，并统计教师反馈字节数及 K 的分布。吞吐按生成 token 数与墙钟时间计算。稀疏反馈有望减少传输或存储，但教师计算是否同步下降，需要分别计时验证。</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2" w:name="_RefEq4_39"/>
            <w:r>
              <w:t>(4-</w:t>
            </w:r>
            <w:r>
              <w:fldChar w:fldCharType="begin"/>
            </w:r>
            <w:r>
              <w:instrText xml:space="preserve"> SEQ Eq4 \* ARABIC </w:instrText>
            </w:r>
            <w:r>
              <w:fldChar w:fldCharType="separate"/>
            </w:r>
            <w:r>
              <w:t>29</w:t>
            </w:r>
            <w:r>
              <w:fldChar w:fldCharType="end"/>
            </w:r>
            <w:r>
              <w:t>)</w:t>
            </w:r>
            <w:bookmarkEnd w:id="62"/>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3" w:name="_RefEq4_40"/>
            <w:r>
              <w:t>(4-</w:t>
            </w:r>
            <w:r>
              <w:fldChar w:fldCharType="begin"/>
            </w:r>
            <w:r>
              <w:instrText xml:space="preserve"> SEQ Eq4 \* ARABIC </w:instrText>
            </w:r>
            <w:r>
              <w:fldChar w:fldCharType="separate"/>
            </w:r>
            <w:r>
              <w:t>30</w:t>
            </w:r>
            <w:r>
              <w:fldChar w:fldCharType="end"/>
            </w:r>
            <w:r>
              <w:t>)</w:t>
            </w:r>
            <w:bookmarkEnd w:id="63"/>
          </w:p>
        </w:tc>
      </w:tr>
    </w:tbl>
    <w:p w14:paraId="6303CE0D">
      <w:pPr>
        <w:ind w:firstLine="420"/>
        <w:jc w:val="both"/>
      </w:pPr>
      <w:r>
        <w:t>结果分析使用完整训练曲线、测试集统计和资源记录。失败轨迹按工具选择、结构解析、参数字段、参数值及可验证的执行环节归类，再回查学生到访位置、散度目标和教师支持集。对于无法确认的错误成因，仅报告可观察到的关联。</w:t>
      </w:r>
    </w:p>
    <w:p w14:paraId="56ED6E07">
      <w:pPr>
        <w:pStyle w:val="3"/>
        <w:jc w:val="left"/>
      </w:pPr>
      <w:bookmarkStart w:id="64" w:name="_Toc442727076"/>
      <w:r>
        <w:rPr>
          <w:rFonts w:ascii="黑体" w:hAnsi="黑体" w:eastAsia="黑体" w:cs="黑体"/>
          <w:b/>
          <w:color w:val="000000"/>
          <w:sz w:val="24"/>
        </w:rPr>
        <w:t>4.6 可行性分析</w:t>
      </w:r>
      <w:bookmarkEnd w:id="64"/>
    </w:p>
    <w:p w14:paraId="40E26365">
      <w:pPr>
        <w:ind w:firstLine="420"/>
        <w:jc w:val="both"/>
      </w:pPr>
      <w:r>
        <w:t>小规模同家族模型和开源工具链为方案提供了实施基础。冻结教师前向评分，学生通过 LoRA 更新；PyTorch、Transformers、PEFT 和 vLLM[20]分别用于训练、参数适配与部署测量。统一流程先按数据与轨迹、目标与反馈、训练与评测三个接口分阶段实现，各接口使用固定的小样本和期望结果进行检查。正式实验前，核对 tokenizer、模板、状态分类、完整词表散度的数值与梯度，再检查 Top-K 尾部质量、概率归一化和补入候选的教师概率。若接口不能稳定提供所需概率，将使用本地教师前向计算或缩小方法范围，相关成本如实记录。</w:t>
      </w:r>
    </w:p>
    <w:p w14:paraId="6CC957E8">
      <w:pPr>
        <w:pStyle w:val="2"/>
      </w:pPr>
      <w:bookmarkStart w:id="65" w:name="_Toc2030613124"/>
      <w:r>
        <w:rPr>
          <w:rFonts w:ascii="黑体" w:hAnsi="黑体" w:eastAsia="黑体" w:cs="黑体"/>
          <w:b/>
          <w:color w:val="000000"/>
          <w:sz w:val="28"/>
        </w:rPr>
        <w:t>5．进度安排，预期达到的目标</w:t>
      </w:r>
      <w:bookmarkEnd w:id="65"/>
    </w:p>
    <w:p w14:paraId="4D67942D">
      <w:pPr>
        <w:pStyle w:val="3"/>
      </w:pPr>
      <w:bookmarkStart w:id="66" w:name="_Toc704656944"/>
      <w:r>
        <w:rPr>
          <w:rFonts w:ascii="黑体" w:hAnsi="黑体" w:eastAsia="黑体" w:cs="黑体"/>
          <w:b/>
          <w:color w:val="000000"/>
          <w:sz w:val="24"/>
        </w:rPr>
        <w:t>5.1 进度安排</w:t>
      </w:r>
      <w:bookmarkEnd w:id="66"/>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7"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7"/>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继续核对 OPD 与稀疏蒸馏文献；筛选单轮 Function Calling 数据，完成去重、划分、字段映射与位置标记规则；审计 tokenizer、消息模板、工具 schema、特殊 token 和模型版本。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pPr>
              <w:spacing w:before="0" w:after="0" w:line="240" w:lineRule="auto"/>
              <w:ind w:firstLine="0"/>
              <w:jc w:val="center"/>
            </w:pPr>
            <w:r>
              <w:rPr>
                <w:rFonts w:ascii="Times New Roman" w:hAnsi="Times New Roman" w:eastAsia="宋体"/>
                <w:b w:val="0"/>
                <w:sz w:val="17"/>
              </w:rPr>
              <w:t>实现统一轨迹、教师反馈、位置选择、双向散度、稀疏支持集和分层评测接口；完成数值与梯度测试、同前缀回放及小规模试运行。</w:t>
            </w:r>
          </w:p>
        </w:tc>
        <w:tc>
          <w:tcPr>
            <w:tcW w:w="2765" w:type="dxa"/>
            <w:vAlign w:val="center"/>
          </w:tcPr>
          <w:p>
            <w:pPr>
              <w:spacing w:before="0" w:after="0" w:line="240" w:lineRule="auto"/>
              <w:ind w:firstLine="0"/>
              <w:jc w:val="center"/>
            </w:pPr>
            <w:r>
              <w:rPr>
                <w:rFonts w:ascii="Times New Roman" w:hAnsi="Times New Roman" w:eastAsia="宋体"/>
                <w:b w:val="0"/>
                <w:sz w:val="17"/>
              </w:rPr>
              <w:t>可运行代码、三项方法原型、接口测试与固定配置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pPr>
              <w:spacing w:before="0" w:after="0" w:line="240" w:lineRule="auto"/>
              <w:ind w:firstLine="0"/>
              <w:jc w:val="center"/>
            </w:pPr>
            <w:r>
              <w:rPr>
                <w:rFonts w:ascii="Times New Roman" w:hAnsi="Times New Roman" w:eastAsia="宋体"/>
                <w:b w:val="0"/>
                <w:sz w:val="17"/>
              </w:rPr>
              <w:t>在统一数据与预算下依次验证状态选择方法、位置条件化散度目标和 Top-K 尾部及决策漏选现象；保存原始预测、梯度和资源记录，2027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pPr>
              <w:spacing w:before="0" w:after="0" w:line="240" w:lineRule="auto"/>
              <w:ind w:firstLine="0"/>
              <w:jc w:val="center"/>
            </w:pPr>
            <w:r>
              <w:rPr>
                <w:rFonts w:ascii="Times New Roman" w:hAnsi="Times New Roman" w:eastAsia="宋体"/>
                <w:b w:val="0"/>
                <w:sz w:val="17"/>
              </w:rPr>
              <w:t>完成决策感知稀疏反馈方法的同预算比较，补充三项方法的组合、消融、多种子重复、部署评测与失败案例分析。</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论文定稿、三项研究的证据链、复现说明、结题材料与答辩材料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8"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8"/>
      <w:r>
        <w:rPr>
          <w:rFonts w:ascii="Times New Roman" w:hAnsi="Times New Roman" w:eastAsia="宋体"/>
          <w:sz w:val="21"/>
        </w:rPr>
        <w:t xml:space="preserve">  项目总体进度安排</w:t>
      </w:r>
    </w:p>
    <w:p w14:paraId="13935738">
      <w:pPr>
        <w:ind w:firstLine="420"/>
        <w:jc w:val="both"/>
      </w:pPr>
      <w:r>
        <w:t>研究周期覆盖 2026 年 9 月至 2027 年 5 月。2026 年内完成开题修改、数据与模型兼容性审计及训练管线；2027 年 2 月起依次开展学生状态分层、完整词表散度分析和稀疏反馈诊断，在 3 月中期申请前形成可复查的阶段性记录。之后完成候选方法的同预算比较、消融、部署评测与统计分析，4—5 月集中撰写论文和结题材料。</w:t>
      </w:r>
    </w:p>
    <w:p w14:paraId="2E4BC355">
      <w:pPr>
        <w:pStyle w:val="3"/>
      </w:pPr>
      <w:bookmarkStart w:id="69" w:name="_Toc1944428250"/>
      <w:r>
        <w:rPr>
          <w:rFonts w:ascii="黑体" w:hAnsi="黑体" w:eastAsia="黑体" w:cs="黑体"/>
          <w:b/>
          <w:color w:val="000000"/>
          <w:sz w:val="24"/>
        </w:rPr>
        <w:t>5.2 预期达到的目标</w:t>
      </w:r>
      <w:bookmarkEnd w:id="69"/>
    </w:p>
    <w:p w14:paraId="5C45F9E1">
      <w:pPr>
        <w:pStyle w:val="17"/>
        <w:ind w:firstLine="420"/>
        <w:jc w:val="both"/>
      </w:pPr>
      <w:r>
        <w:t>1. 提出并实现决策状态感知的监督选择方法，在相同有效训练 token 预算下比较位置覆盖、函数选择、参数与格式错误。</w:t>
      </w:r>
    </w:p>
    <w:p w14:paraId="661280AE">
      <w:pPr>
        <w:pStyle w:val="17"/>
        <w:ind w:firstLine="420"/>
        <w:jc w:val="both"/>
      </w:pPr>
      <w:r>
        <w:t>2. 提出并实现位置条件化的双向散度目标，在相同学生轨迹和完整词表反馈下比较单一散度、全局混合与按位置调节的目标，分析梯度、熵及调用行为。</w:t>
      </w:r>
    </w:p>
    <w:p w14:paraId="4D24F9B5">
      <w:pPr>
        <w:pStyle w:val="17"/>
        <w:ind w:firstLine="420"/>
        <w:jc w:val="both"/>
      </w:pPr>
      <w:r>
        <w:t>3. 提出并实现决策感知的稀疏教师反馈方法，在固定位置与目标下比较 Top-K、尾部类别和同预算支持集选择，报告任务效果、目标偏差与教师评分成本。</w:t>
      </w:r>
    </w:p>
    <w:p w14:paraId="444409D5">
      <w:pPr>
        <w:pStyle w:val="17"/>
        <w:ind w:firstLine="420"/>
        <w:jc w:val="both"/>
      </w:pPr>
      <w:r>
        <w:t>4. 同时记录损失、梯度、熵、残余概率质量、反馈字节数、教师前向时间、训练显存和任务表现，分析效果与资源开销之间的关系。</w:t>
      </w:r>
    </w:p>
    <w:p w14:paraId="1F6068D2">
      <w:pPr>
        <w:pStyle w:val="17"/>
        <w:ind w:firstLine="420"/>
        <w:jc w:val="both"/>
      </w:pPr>
      <w:r>
        <w:t>5. 使用 vLLM 或等效的可复现程序评估最终学生模型，说明适用范围并分析失败案例；所有性能结论以实际运行结果为依据。</w:t>
      </w:r>
    </w:p>
    <w:p w14:paraId="34BA0ABE">
      <w:pPr>
        <w:pStyle w:val="17"/>
        <w:ind w:firstLine="420"/>
        <w:jc w:val="both"/>
      </w:pPr>
      <w:r>
        <w:t>6. 交付统一测试程序、配置与原始结果记录，支持三项研究的同轨迹回放、同预算比较和分层错误追踪；完成项目文档、毕业论文和答辩材料。</w:t>
      </w:r>
    </w:p>
    <w:p w14:paraId="11B7E0CE">
      <w:pPr>
        <w:ind w:firstLine="420"/>
        <w:jc w:val="both"/>
      </w:pPr>
      <w:r>
        <w:t>预期成果为三项各有明确规则、实现和验证结果的方法研究，以及支撑同轨迹回放、目标切换、资源计量和结构化调用评测的统一测试流程。论文分别呈现状态选择、位置条件化目标和稀疏反馈方法的基线、消融、成本与失败案例；各项方法的价值以实际运行结果为依据。</w:t>
      </w:r>
    </w:p>
    <w:p w14:paraId="629A1AD4">
      <w:pPr>
        <w:pStyle w:val="2"/>
      </w:pPr>
      <w:bookmarkStart w:id="70" w:name="_Toc1746941351"/>
      <w:r>
        <w:rPr>
          <w:rFonts w:ascii="黑体" w:hAnsi="黑体" w:eastAsia="黑体" w:cs="黑体"/>
          <w:b/>
          <w:color w:val="000000"/>
          <w:sz w:val="28"/>
        </w:rPr>
        <w:t>6．课题已具备和所需的条件、经费</w:t>
      </w:r>
      <w:bookmarkEnd w:id="70"/>
    </w:p>
    <w:p w14:paraId="15508BCB">
      <w:pPr>
        <w:pStyle w:val="3"/>
      </w:pPr>
      <w:bookmarkStart w:id="71" w:name="_Toc446864473"/>
      <w:r>
        <w:rPr>
          <w:rFonts w:ascii="黑体" w:hAnsi="黑体" w:eastAsia="黑体" w:cs="黑体"/>
          <w:b/>
          <w:color w:val="000000"/>
          <w:sz w:val="24"/>
        </w:rPr>
        <w:t>6.1 已具备条件</w:t>
      </w:r>
      <w:bookmarkEnd w:id="71"/>
    </w:p>
    <w:p w14:paraId="27E56054">
      <w:pPr>
        <w:ind w:firstLine="420"/>
        <w:jc w:val="both"/>
      </w:pPr>
      <w:r>
        <w:t>目前已明确在线策略蒸馏与单轮 Function Calling 的研究范围，完成相关文献和候选模型资料调研。Qwen3-0.6B 学生、Qwen3-4B 教师与 LoRA 更新是拟用组合；准确版本、tokenizer、消息模板和硬件条件将在实验前核定。PyTorch、Transformers、PEFT、Datasets 与 vLLM 等开源工具可支持数据处理、训练和部署评测。</w:t>
      </w:r>
    </w:p>
    <w:p w14:paraId="649F9E8B">
      <w:pPr>
        <w:pStyle w:val="3"/>
      </w:pPr>
      <w:bookmarkStart w:id="72" w:name="_Toc700884152"/>
      <w:r>
        <w:rPr>
          <w:rFonts w:ascii="黑体" w:hAnsi="黑体" w:eastAsia="黑体" w:cs="黑体"/>
          <w:b/>
          <w:color w:val="000000"/>
          <w:sz w:val="24"/>
        </w:rPr>
        <w:t>6.2 所需条件</w:t>
      </w:r>
      <w:bookmarkEnd w:id="72"/>
    </w:p>
    <w:p w14:paraId="246A73AD">
      <w:pPr>
        <w:ind w:firstLine="420"/>
        <w:jc w:val="both"/>
      </w:pPr>
      <w:r>
        <w:t>软件环境需要 Python、PyTorch、Transformers、PEFT、Datasets 和 vLLM。硬件需支持教师在学生前缀上评分、部分位置的完整词表诊断，以及学生 rollout 与 LoRA 更新。候选方法还需取得补入 token 的教师概率，并记录额外评分成本。序列长度、批量大小、梯度累积、混合精度和缓存策略将依据可用显存确定。</w:t>
      </w:r>
    </w:p>
    <w:p w14:paraId="56F2417D">
      <w:pPr>
        <w:pStyle w:val="3"/>
      </w:pPr>
      <w:bookmarkStart w:id="73" w:name="_Toc812138869"/>
      <w:r>
        <w:rPr>
          <w:rFonts w:ascii="黑体" w:hAnsi="黑体" w:eastAsia="黑体" w:cs="黑体"/>
          <w:b/>
          <w:color w:val="000000"/>
          <w:sz w:val="24"/>
        </w:rPr>
        <w:t>6.3 经费</w:t>
      </w:r>
      <w:bookmarkEnd w:id="73"/>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4"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教师评分、学生 rollout、LoRA 更新和三阶段对照；拟用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5" w:name="_Toc211910951"/>
      <w:r>
        <w:rPr>
          <w:rFonts w:ascii="黑体" w:hAnsi="黑体" w:eastAsia="黑体" w:cs="黑体"/>
          <w:b/>
          <w:color w:val="000000"/>
          <w:sz w:val="28"/>
        </w:rPr>
        <w:t>7．研究过程中可能遇到的困难和问题，解决的措施</w:t>
      </w:r>
      <w:bookmarkEnd w:id="75"/>
    </w:p>
    <w:p w14:paraId="2A5C30F9">
      <w:pPr>
        <w:ind w:firstLine="420"/>
        <w:jc w:val="both"/>
      </w:pPr>
      <w:r>
        <w:t>主要风险涉及决策位置的可靠标注与选择、位置条件化散度权重的稳定性、稀疏支持集的收益，以及教师评分和执行评测条件。表 7-1 分别列出检查方式与处理措施。</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6"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cantSplit/>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rPr>
          <w:cantSplit/>
        </w:trPr>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rPr>
          <w:cantSplit/>
        </w:trPr>
        <w:tc>
          <w:tcPr>
            <w:tcW w:w="4148" w:type="dxa"/>
          </w:tcPr>
          <w:p w14:paraId="269B361C">
            <w:pPr>
              <w:ind w:firstLine="0"/>
              <w:jc w:val="left"/>
            </w:pPr>
            <w:r>
              <w:t>决策状态标注或选择规则不稳定</w:t>
            </w:r>
          </w:p>
        </w:tc>
        <w:tc>
          <w:tcPr>
            <w:tcW w:w="4148" w:type="dxa"/>
          </w:tcPr>
          <w:p w14:paraId="60A7D942">
            <w:pPr>
              <w:ind w:firstLine="0"/>
              <w:jc w:val="left"/>
            </w:pPr>
            <w:r>
              <w:t>只用消息边界、schema 和可复查的分歧信号选位置；人工抽查标签，比较均匀与结构优先基线，不以任务真值决定训练位置。</w:t>
            </w:r>
          </w:p>
        </w:tc>
      </w:tr>
      <w:tr w14:paraId="66668A77">
        <w:trPr>
          <w:cantSplit/>
        </w:trPr>
        <w:tc>
          <w:tcPr>
            <w:tcW w:w="4148" w:type="dxa"/>
          </w:tcPr>
          <w:p w14:paraId="56DC85CD">
            <w:pPr>
              <w:ind w:firstLine="0"/>
              <w:jc w:val="left"/>
            </w:pPr>
            <w:r>
              <w:t>位置条件化散度权重过拟合或产生异常梯度</w:t>
            </w:r>
          </w:p>
        </w:tc>
        <w:tc>
          <w:tcPr>
            <w:tcW w:w="4148" w:type="dxa"/>
          </w:tcPr>
          <w:p w14:paraId="05CCDD09">
            <w:pPr>
              <w:ind w:firstLine="0"/>
              <w:jc w:val="left"/>
            </w:pPr>
            <w:r>
              <w:t>先核对完整词表损失与梯度，限制权重范围；仅用训练集诊断和验证集定规则，并与单一散度及全局混合比较。</w:t>
            </w:r>
          </w:p>
        </w:tc>
      </w:tr>
      <w:tr w14:paraId="675E933A">
        <w:trPr>
          <w:cantSplit/>
        </w:trPr>
        <w:tc>
          <w:tcPr>
            <w:tcW w:w="4148" w:type="dxa"/>
          </w:tcPr>
          <w:p w14:paraId="650F6C3E">
            <w:pPr>
              <w:ind w:firstLine="0"/>
              <w:jc w:val="left"/>
            </w:pPr>
            <w:r>
              <w:t>Top-K 尾部质量小，或遗漏决策 token 的频率低</w:t>
            </w:r>
          </w:p>
        </w:tc>
        <w:tc>
          <w:tcPr>
            <w:tcW w:w="4148" w:type="dxa"/>
          </w:tcPr>
          <w:p w14:paraId="3BB1B133">
            <w:pPr>
              <w:ind w:firstLine="0"/>
              <w:jc w:val="left"/>
            </w:pPr>
            <w:r>
              <w:t>分别测量尾部总量、漏选率和梯度偏差；若现象不显著，收缩方法主张，不以个别案例代替总体证据。</w:t>
            </w:r>
          </w:p>
        </w:tc>
      </w:tr>
      <w:tr w14:paraId="664DFE22">
        <w:trPr>
          <w:cantSplit/>
        </w:trPr>
        <w:tc>
          <w:tcPr>
            <w:tcW w:w="4148" w:type="dxa"/>
          </w:tcPr>
          <w:p w14:paraId="2D772E21">
            <w:pPr>
              <w:ind w:firstLine="0"/>
              <w:jc w:val="left"/>
            </w:pPr>
            <w:r>
              <w:t>候选补入带来额外教师评分，收益与成本不匹配</w:t>
            </w:r>
          </w:p>
        </w:tc>
        <w:tc>
          <w:tcPr>
            <w:tcW w:w="4148" w:type="dxa"/>
          </w:tcPr>
          <w:p w14:paraId="0595ED00">
            <w:pPr>
              <w:ind w:firstLine="0"/>
              <w:jc w:val="left"/>
            </w:pPr>
            <w:r>
              <w:t>在同 K、同反馈量及同训练预算下与固定 K、尾部类别方法比较，单独记录教师前向时间与反馈字节数。</w:t>
            </w:r>
          </w:p>
        </w:tc>
      </w:tr>
      <w:tr>
        <w:tc>
          <w:tcPr>
            <w:tcW w:type="dxa" w:w="4148"/>
          </w:tcPr>
          <w:p>
            <w:pPr>
              <w:ind w:firstLine="0"/>
              <w:jc w:val="left"/>
            </w:pPr>
            <w:r>
              <w:t>不同实验的轨迹、解析规则或结果记录不一致，难以归因和复现</w:t>
            </w:r>
          </w:p>
        </w:tc>
        <w:tc>
          <w:tcPr>
            <w:tcW w:type="dxa" w:w="4148"/>
          </w:tcPr>
          <w:p>
            <w:pPr>
              <w:ind w:firstLine="0"/>
              <w:jc w:val="left"/>
            </w:pPr>
            <w:r>
              <w:t>统一样本与轨迹标识、解析器版本和配置；先用固定样本回放核对模块输出，再开展训练比较；保存原始预测、失败样本、环境与代码版本。</w:t>
            </w:r>
          </w:p>
        </w:tc>
      </w:tr>
    </w:tbl>
    <w:p w14:paraId="7661A5B1">
      <w:pPr>
        <w:ind w:firstLine="420"/>
        <w:jc w:val="both"/>
      </w:pPr>
      <w:r>
        <w:t>实施顺序对应三个方法。先用少量单轮样本检查状态类别、调用解析与分歧计算，再在同预算下验证状态选择；随后固定轨迹和完整词表反馈，检查双向散度组合的数值、梯度与权重边界；最后固定位置与目标，测量 Top-K 外质量、关键决策 token 漏选及额外教师评分。各阶段保存输入、掩码、支持集、损失、梯度和失败调用，正式比较共享学生起点、预算、评价规则与记录格式。</w:t>
      </w:r>
    </w:p>
    <w:p w14:paraId="59D0F03A">
      <w:pPr>
        <w:ind w:firstLine="420"/>
        <w:jc w:val="both"/>
      </w:pPr>
      <w:r>
        <w:t>实验日志分别记录状态与数据、目标与梯度、稀疏反馈与资源、部署与评测中的问题。结果按格式解析、函数选择、参数生成，以及具备执行环境时的工具执行和端到端表现分层报告。散度效果接近时，继续分析其梯度和错误分布；候选支持集的收益若不足以抵消成本，则如实呈现诊断、消融与失败案例。</w:t>
      </w:r>
    </w:p>
    <w:p w14:paraId="1E1D72DA">
      <w:pPr>
        <w:ind w:firstLine="420"/>
        <w:jc w:val="both"/>
      </w:pPr>
      <w:r>
        <w:t>候选方法的风险集中在现象强度与成本收益。教师 Top-K 外的概率总量可能较小，因此需单独检查学生高估的函数入口等决策 token 是否漏选；两类指标分别统计。补入候选和按位置分配 K 还可能增加教师评分及反馈字节数。研究先在小样本上确定问题规模，再按相同 K、相同反馈量和相同训练预算比较固定 K、尾部类别与联合方案。若决策漏选缺乏稳定证据，或收益无法重复，将据实际错误收缩方法范围。</w:t>
      </w:r>
    </w:p>
    <w:p w14:paraId="0874BB6A">
      <w:pPr>
        <w:pStyle w:val="2"/>
      </w:pPr>
      <w:bookmarkStart w:id="77" w:name="_Toc1059466731"/>
      <w:r>
        <w:rPr>
          <w:rFonts w:ascii="黑体" w:hAnsi="黑体" w:eastAsia="黑体" w:cs="黑体"/>
          <w:b/>
          <w:color w:val="000000"/>
          <w:sz w:val="28"/>
        </w:rPr>
        <w:t>8．主要参考文献</w:t>
      </w:r>
      <w:bookmarkEnd w:id="77"/>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Huang H, Wei H. Tail-Aware Top-k On-Policy Distillation[EB/OL]. arXiv:2608.14728, 2026.</w:t>
      </w:r>
    </w:p>
    <w:p w14:paraId="A30B0003">
      <w:pPr>
        <w:pStyle w:val="17"/>
        <w:numPr>
          <w:ilvl w:val="0"/>
          <w:numId w:val="1"/>
        </w:numPr>
        <w:ind w:firstLine="420"/>
        <w:jc w:val="both"/>
      </w:pPr>
      <w:r>
        <w:t>Meng L, Gan S, Li Y, et al. Unbiased Top-k Estimation for On-Policy Distillation[EB/OL]. arXiv:2609.34447, 2026.</w:t>
      </w:r>
    </w:p>
    <w:p w14:paraId="A30B0004">
      <w:pPr>
        <w:pStyle w:val="17"/>
        <w:numPr>
          <w:ilvl w:val="0"/>
          <w:numId w:val="1"/>
        </w:numPr>
        <w:ind w:firstLine="420"/>
        <w:jc w:val="both"/>
      </w:pPr>
      <w:r>
        <w:t>Shen J, Chen G, Mao C. When Top-K Misses the Decision: Tool-Call Drift in Multi-Teacher On-Policy Distillation[EB/OL]. arXiv:2607.07050, 2026.</w:t>
      </w:r>
    </w:p>
    <w:p w14:paraId="A30B0005">
      <w:pPr>
        <w:pStyle w:val="17"/>
        <w:numPr>
          <w:ilvl w:val="0"/>
          <w:numId w:val="1"/>
        </w:numPr>
        <w:ind w:firstLine="420"/>
        <w:jc w:val="both"/>
      </w:pPr>
      <w:r>
        <w:t>Yang P, Xing L, Dai X, et al. ResOPD: Tail Residualization for Sparse On-Policy Distillation[EB/OL]. arXiv:2610.04882, 2026.</w:t>
      </w:r>
    </w:p>
    <w:p>
      <w:pPr>
        <w:pStyle w:val="17"/>
        <w:numPr>
          <w:ilvl w:val="0"/>
          <w:numId w:val="1"/>
        </w:numPr>
        <w:ind w:firstLine="420"/>
        <w:jc w:val="both"/>
      </w:pPr>
      <w:r>
        <w:t>Zhu W, Xie R, Wang R, et al. Hybrid Policy Distillation for LLMs[C]//Proceedings of the 43rd International Conference on Machine Learning. PMLR, 2026, 306: 167818-167837.</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EF321F"/>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EFF5F755"/>
    <w:rsid w:val="F3E35A1F"/>
    <w:rsid w:val="F67432E3"/>
    <w:rsid w:val="F6FAC322"/>
    <w:rsid w:val="F76F48F5"/>
    <w:rsid w:val="F77BC61A"/>
    <w:rsid w:val="F7977A33"/>
    <w:rsid w:val="F7E1E449"/>
    <w:rsid w:val="F9EF1204"/>
    <w:rsid w:val="F9FB7683"/>
    <w:rsid w:val="FBEF9E1A"/>
    <w:rsid w:val="FCB7DDE0"/>
    <w:rsid w:val="FCC7AC92"/>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14962</Words>
  <Characters>21926</Characters>
  <Lines>34</Lines>
  <Paragraphs>9</Paragraphs>
  <TotalTime>17</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2022-10-17T18:38:00Z</dcterms:created>
  <dc:creator>董 睿璞</dc:creator>
  <cp:lastModifiedBy>Dr.Oppenheimer</cp:lastModifiedBy>
  <dcterms:modified xsi:type="dcterms:W3CDTF">2026-10-08T13:28:37Z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