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AEACA72">
      <w:pPr>
        <w:spacing w:before="78" w:after="78"/>
        <w:ind w:left="420" w:leftChars="0" w:firstLine="420" w:firstLineChars="0"/>
        <w:jc w:val="both"/>
        <w:rPr>
          <w:rFonts w:eastAsia="楷体_GB2312"/>
          <w:b/>
          <w:spacing w:val="40"/>
          <w:sz w:val="36"/>
        </w:rPr>
      </w:pPr>
    </w:p>
    <w:p w14:paraId="0EE9D77E">
      <w:pPr>
        <w:spacing w:before="78" w:after="78"/>
        <w:ind w:firstLine="883"/>
        <w:jc w:val="center"/>
        <w:rPr>
          <w:rFonts w:eastAsia="楷体_GB2312"/>
          <w:b/>
          <w:spacing w:val="40"/>
          <w:sz w:val="36"/>
        </w:rPr>
      </w:pPr>
    </w:p>
    <w:p w14:paraId="3BFCB7BE">
      <w:pPr>
        <w:spacing w:before="78" w:after="78"/>
        <w:jc w:val="center"/>
        <w:rPr>
          <w:rFonts w:eastAsia="楷体_GB2312"/>
          <w:b/>
          <w:spacing w:val="40"/>
          <w:sz w:val="36"/>
        </w:rPr>
      </w:pPr>
      <w:r>
        <w:rPr>
          <w:rFonts w:eastAsia="楷体_GB2312"/>
          <w:b/>
          <w:spacing w:val="40"/>
          <w:sz w:val="36"/>
        </w:rPr>
        <w:drawing>
          <wp:inline distT="0" distB="0" distL="0" distR="0">
            <wp:extent cx="2137410" cy="403860"/>
            <wp:effectExtent l="0" t="0" r="0" b="0"/>
            <wp:docPr id="1" name="图1 研究框架" descr="研究问题、研究方案与研究目的的三层递进关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1 研究框架" descr="研究问题、研究方案与研究目的的三层递进关系"/>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2137410" cy="403860"/>
                    </a:xfrm>
                    <a:prstGeom prst="rect">
                      <a:avLst/>
                    </a:prstGeom>
                    <a:noFill/>
                    <a:ln>
                      <a:noFill/>
                    </a:ln>
                  </pic:spPr>
                </pic:pic>
              </a:graphicData>
            </a:graphic>
          </wp:inline>
        </w:drawing>
      </w:r>
    </w:p>
    <w:p w14:paraId="6921CBFD">
      <w:pPr>
        <w:spacing w:before="78" w:after="78"/>
        <w:ind w:firstLine="883"/>
        <w:jc w:val="center"/>
        <w:rPr>
          <w:rFonts w:eastAsia="楷体_GB2312"/>
          <w:b/>
          <w:spacing w:val="40"/>
          <w:sz w:val="36"/>
        </w:rPr>
      </w:pPr>
    </w:p>
    <w:p w14:paraId="509B8C31">
      <w:pPr>
        <w:spacing w:before="78" w:after="78"/>
        <w:jc w:val="center"/>
        <w:rPr>
          <w:b/>
          <w:spacing w:val="40"/>
          <w:sz w:val="48"/>
        </w:rPr>
      </w:pPr>
      <w:r>
        <w:rPr>
          <w:rFonts w:hint="eastAsia" w:ascii="黑体" w:hAnsi="黑体" w:eastAsia="黑体" w:cs="黑体"/>
          <w:b/>
          <w:color w:val="000000"/>
          <w:spacing w:val="40"/>
          <w:sz w:val="48"/>
        </w:rPr>
        <w:t>毕业设计（论文）开题报告</w:t>
      </w:r>
    </w:p>
    <w:p w14:paraId="7A5E0120">
      <w:pPr>
        <w:spacing w:before="78" w:after="78"/>
        <w:ind w:firstLine="643"/>
        <w:rPr>
          <w:b/>
          <w:sz w:val="32"/>
        </w:rPr>
      </w:pPr>
    </w:p>
    <w:p w14:paraId="035E13DA">
      <w:pPr>
        <w:spacing w:before="78" w:after="78"/>
        <w:rPr>
          <w:b/>
          <w:sz w:val="32"/>
        </w:rPr>
      </w:pPr>
    </w:p>
    <w:p w14:paraId="4B2C42F9">
      <w:pPr>
        <w:spacing w:before="78" w:after="78"/>
        <w:ind w:firstLine="701" w:firstLineChars="250"/>
        <w:rPr>
          <w:b/>
          <w:sz w:val="28"/>
          <w:szCs w:val="21"/>
        </w:rPr>
      </w:pPr>
      <w:r>
        <w:rPr>
          <w:rFonts w:hint="eastAsia" w:ascii="黑体" w:hAnsi="黑体" w:eastAsia="黑体" w:cs="黑体"/>
          <w:b/>
          <w:color w:val="000000"/>
          <w:sz w:val="28"/>
          <w:szCs w:val="21"/>
        </w:rPr>
        <w:t>题</w:t>
      </w:r>
      <w:r>
        <w:rPr>
          <w:rFonts w:ascii="黑体" w:hAnsi="黑体" w:eastAsia="黑体" w:cs="黑体"/>
          <w:b/>
          <w:color w:val="000000"/>
          <w:sz w:val="28"/>
          <w:szCs w:val="21"/>
        </w:rPr>
        <w:t xml:space="preserve"> </w:t>
      </w:r>
      <w:r>
        <w:rPr>
          <w:rFonts w:hint="eastAsia" w:ascii="黑体" w:hAnsi="黑体" w:eastAsia="黑体" w:cs="黑体"/>
          <w:b/>
          <w:color w:val="000000"/>
          <w:sz w:val="28"/>
          <w:szCs w:val="21"/>
        </w:rPr>
        <w:t>目：基于在线策略蒸馏的大语言模型后训练方法研究</w:t>
      </w:r>
    </w:p>
    <w:p w14:paraId="7C122DCF">
      <w:pPr>
        <w:spacing w:before="78" w:after="78"/>
        <w:ind w:firstLine="643"/>
        <w:rPr>
          <w:b/>
          <w:sz w:val="32"/>
        </w:rPr>
      </w:pPr>
    </w:p>
    <w:p w14:paraId="607458DB">
      <w:pPr>
        <w:spacing w:before="78" w:after="78"/>
        <w:ind w:firstLine="643"/>
        <w:rPr>
          <w:b/>
          <w:sz w:val="32"/>
          <w:u w:val="single"/>
        </w:rPr>
      </w:pPr>
    </w:p>
    <w:p w14:paraId="6A81B0BC">
      <w:pPr>
        <w:spacing w:before="78" w:after="78"/>
        <w:ind w:firstLine="643"/>
        <w:rPr>
          <w:b/>
          <w:sz w:val="32"/>
          <w:u w:val="single"/>
        </w:rPr>
      </w:pPr>
    </w:p>
    <w:p w14:paraId="0C65FAB6">
      <w:pPr>
        <w:spacing w:before="78" w:after="78"/>
        <w:ind w:firstLine="643"/>
        <w:rPr>
          <w:b/>
          <w:sz w:val="32"/>
          <w:u w:val="single"/>
        </w:rPr>
      </w:pPr>
    </w:p>
    <w:p w14:paraId="3F4FC680">
      <w:pPr>
        <w:spacing w:before="249" w:beforeLines="80" w:after="60"/>
        <w:ind w:firstLine="2197" w:firstLineChars="686"/>
        <w:rPr>
          <w:b/>
          <w:sz w:val="32"/>
          <w:u w:val="single"/>
        </w:rPr>
      </w:pPr>
      <w:r>
        <w:rPr>
          <w:rFonts w:hint="eastAsia"/>
          <w:b/>
          <w:sz w:val="32"/>
        </w:rPr>
        <w:t>专</w:t>
      </w:r>
      <w:r>
        <w:rPr>
          <w:b/>
          <w:sz w:val="32"/>
        </w:rPr>
        <w:t xml:space="preserve">    </w:t>
      </w:r>
      <w:r>
        <w:rPr>
          <w:rFonts w:hint="eastAsia"/>
          <w:b/>
          <w:sz w:val="32"/>
        </w:rPr>
        <w:t>业</w:t>
      </w:r>
      <w:r>
        <w:rPr>
          <w:b/>
          <w:sz w:val="32"/>
        </w:rPr>
        <w:t xml:space="preserve"> </w:t>
      </w:r>
      <w:r>
        <w:rPr>
          <w:b/>
          <w:sz w:val="32"/>
          <w:u w:val="single"/>
        </w:rPr>
        <w:t xml:space="preserve">  </w:t>
      </w:r>
      <w:r>
        <w:rPr>
          <w:rFonts w:hint="eastAsia"/>
          <w:b/>
          <w:sz w:val="32"/>
          <w:u w:val="single"/>
          <w:lang w:val="en-US" w:eastAsia="zh-CN"/>
        </w:rPr>
        <w:t>计算机科学与技术</w:t>
      </w:r>
      <w:r>
        <w:rPr>
          <w:b/>
          <w:sz w:val="32"/>
          <w:u w:val="single"/>
        </w:rPr>
        <w:t xml:space="preserve">   </w:t>
      </w:r>
    </w:p>
    <w:p w14:paraId="727EE0AF">
      <w:pPr>
        <w:spacing w:before="249" w:beforeLines="80" w:after="60"/>
        <w:ind w:firstLine="2197" w:firstLineChars="686"/>
        <w:rPr>
          <w:b/>
          <w:sz w:val="32"/>
          <w:u w:val="single"/>
        </w:rPr>
      </w:pPr>
      <w:r>
        <w:rPr>
          <w:rFonts w:hint="eastAsia"/>
          <w:b/>
          <w:sz w:val="32"/>
        </w:rPr>
        <w:t>学</w:t>
      </w:r>
      <w:r>
        <w:rPr>
          <w:b/>
          <w:sz w:val="32"/>
        </w:rPr>
        <w:t xml:space="preserve">    </w:t>
      </w:r>
      <w:r>
        <w:rPr>
          <w:rFonts w:hint="eastAsia"/>
          <w:b/>
          <w:sz w:val="32"/>
        </w:rPr>
        <w:t>生</w:t>
      </w:r>
      <w:r>
        <w:rPr>
          <w:b/>
          <w:sz w:val="32"/>
        </w:rPr>
        <w:t xml:space="preserve"> </w:t>
      </w:r>
      <w:r>
        <w:rPr>
          <w:b/>
          <w:sz w:val="32"/>
          <w:u w:val="single"/>
        </w:rPr>
        <w:t xml:space="preserve">       </w:t>
      </w:r>
      <w:r>
        <w:rPr>
          <w:rFonts w:hint="eastAsia"/>
          <w:b/>
          <w:sz w:val="32"/>
          <w:u w:val="single"/>
          <w:lang w:val="en-US" w:eastAsia="zh-CN"/>
        </w:rPr>
        <w:t>张子琦</w:t>
      </w:r>
      <w:r>
        <w:rPr>
          <w:b/>
          <w:sz w:val="32"/>
          <w:u w:val="single"/>
        </w:rPr>
        <w:t xml:space="preserve">        </w:t>
      </w:r>
    </w:p>
    <w:p w14:paraId="087E7EA8">
      <w:pPr>
        <w:spacing w:before="249" w:beforeLines="80" w:after="60"/>
        <w:ind w:firstLine="2197" w:firstLineChars="686"/>
        <w:rPr>
          <w:b/>
          <w:sz w:val="32"/>
          <w:u w:val="single"/>
        </w:rPr>
      </w:pPr>
      <w:r>
        <w:rPr>
          <w:rFonts w:hint="eastAsia"/>
          <w:b/>
          <w:sz w:val="32"/>
        </w:rPr>
        <w:t>学</w:t>
      </w:r>
      <w:r>
        <w:rPr>
          <w:b/>
          <w:sz w:val="32"/>
        </w:rPr>
        <w:t xml:space="preserve">    </w:t>
      </w:r>
      <w:r>
        <w:rPr>
          <w:rFonts w:hint="eastAsia"/>
          <w:b/>
          <w:sz w:val="32"/>
        </w:rPr>
        <w:t>号</w:t>
      </w:r>
      <w:r>
        <w:rPr>
          <w:b/>
          <w:sz w:val="32"/>
        </w:rPr>
        <w:t xml:space="preserve"> </w:t>
      </w:r>
      <w:r>
        <w:rPr>
          <w:b/>
          <w:sz w:val="32"/>
          <w:u w:val="single"/>
        </w:rPr>
        <w:t xml:space="preserve">  </w:t>
      </w:r>
      <w:r>
        <w:rPr>
          <w:rFonts w:hint="eastAsia"/>
          <w:b/>
          <w:sz w:val="32"/>
          <w:u w:val="single"/>
          <w:lang w:val="en-US" w:eastAsia="zh-CN"/>
        </w:rPr>
        <w:t xml:space="preserve">   2023110966 </w:t>
      </w:r>
      <w:r>
        <w:rPr>
          <w:b/>
          <w:sz w:val="32"/>
          <w:u w:val="single"/>
        </w:rPr>
        <w:t xml:space="preserve"> </w:t>
      </w:r>
      <w:r>
        <w:rPr>
          <w:rFonts w:hint="eastAsia"/>
          <w:b/>
          <w:sz w:val="32"/>
          <w:u w:val="single"/>
          <w:lang w:val="en-US" w:eastAsia="zh-CN"/>
        </w:rPr>
        <w:t xml:space="preserve"> </w:t>
      </w:r>
      <w:r>
        <w:rPr>
          <w:b/>
          <w:sz w:val="32"/>
          <w:u w:val="single"/>
        </w:rPr>
        <w:t xml:space="preserve">   </w:t>
      </w:r>
    </w:p>
    <w:p w14:paraId="77CDA7DA">
      <w:pPr>
        <w:spacing w:before="249" w:beforeLines="80" w:after="60"/>
        <w:ind w:firstLine="2197" w:firstLineChars="686"/>
        <w:rPr>
          <w:b/>
          <w:sz w:val="32"/>
          <w:u w:val="single"/>
        </w:rPr>
      </w:pPr>
      <w:r>
        <w:rPr>
          <w:rFonts w:hint="eastAsia"/>
          <w:b/>
          <w:sz w:val="32"/>
        </w:rPr>
        <w:t>指导教师</w:t>
      </w:r>
      <w:r>
        <w:rPr>
          <w:b/>
          <w:sz w:val="32"/>
        </w:rPr>
        <w:t xml:space="preserve"> </w:t>
      </w:r>
      <w:r>
        <w:rPr>
          <w:b/>
          <w:sz w:val="32"/>
          <w:u w:val="single"/>
        </w:rPr>
        <w:t xml:space="preserve">     </w:t>
      </w:r>
      <w:r>
        <w:rPr>
          <w:rFonts w:hint="eastAsia"/>
          <w:b/>
          <w:sz w:val="32"/>
          <w:u w:val="single"/>
          <w:lang w:val="en-US" w:eastAsia="zh-CN"/>
        </w:rPr>
        <w:t xml:space="preserve"> </w:t>
      </w:r>
      <w:r>
        <w:rPr>
          <w:b/>
          <w:sz w:val="32"/>
          <w:u w:val="single"/>
        </w:rPr>
        <w:t xml:space="preserve">  </w:t>
      </w:r>
      <w:r>
        <w:rPr>
          <w:rFonts w:hint="eastAsia"/>
          <w:b/>
          <w:sz w:val="32"/>
          <w:u w:val="single"/>
          <w:lang w:val="en-US" w:eastAsia="zh-CN"/>
        </w:rPr>
        <w:t>徐冰</w:t>
      </w:r>
      <w:r>
        <w:rPr>
          <w:b/>
          <w:sz w:val="32"/>
          <w:u w:val="single"/>
        </w:rPr>
        <w:t xml:space="preserve">         </w:t>
      </w:r>
    </w:p>
    <w:p w14:paraId="27AD5893">
      <w:pPr>
        <w:spacing w:before="249" w:beforeLines="80" w:after="60"/>
        <w:ind w:firstLine="2197" w:firstLineChars="686"/>
        <w:rPr>
          <w:b/>
          <w:sz w:val="32"/>
          <w:u w:val="single"/>
        </w:rPr>
      </w:pPr>
      <w:r>
        <w:rPr>
          <w:rFonts w:hint="eastAsia"/>
          <w:b/>
          <w:sz w:val="32"/>
        </w:rPr>
        <w:t>日</w:t>
      </w:r>
      <w:r>
        <w:rPr>
          <w:b/>
          <w:sz w:val="32"/>
        </w:rPr>
        <w:t xml:space="preserve">    </w:t>
      </w:r>
      <w:r>
        <w:rPr>
          <w:rFonts w:hint="eastAsia"/>
          <w:b/>
          <w:sz w:val="32"/>
        </w:rPr>
        <w:t>期</w:t>
      </w:r>
      <w:r>
        <w:rPr>
          <w:b/>
          <w:sz w:val="32"/>
        </w:rPr>
        <w:t xml:space="preserve"> </w:t>
      </w:r>
      <w:r>
        <w:rPr>
          <w:b/>
          <w:sz w:val="32"/>
          <w:u w:val="single"/>
        </w:rPr>
        <w:t xml:space="preserve">        </w:t>
      </w:r>
      <w:r>
        <w:rPr>
          <w:rFonts w:hint="eastAsia"/>
          <w:b/>
          <w:sz w:val="32"/>
          <w:u w:val="single"/>
          <w:lang w:val="en-US" w:eastAsia="zh-CN"/>
        </w:rPr>
        <w:t>2026/9/25</w:t>
      </w:r>
      <w:r>
        <w:rPr>
          <w:b/>
          <w:sz w:val="32"/>
          <w:u w:val="single"/>
        </w:rPr>
        <w:t xml:space="preserve">     </w:t>
      </w:r>
    </w:p>
    <w:p w14:paraId="72043E55">
      <w:pPr>
        <w:sectPr>
          <w:pgSz w:w="11906" w:h="16838"/>
          <w:pgMar w:top="1440" w:right="1800" w:bottom="1440" w:left="1800" w:header="851" w:footer="992" w:gutter="0"/>
          <w:cols w:space="425" w:num="1"/>
          <w:docGrid w:type="lines" w:linePitch="312" w:charSpace="0"/>
        </w:sectPr>
      </w:pPr>
    </w:p>
    <w:p w14:paraId="68E0725A">
      <w:pPr>
        <w:spacing w:after="160" w:line="240" w:lineRule="auto"/>
        <w:jc w:val="center"/>
      </w:pPr>
      <w:r>
        <w:rPr>
          <w:rFonts w:ascii="Times New Roman" w:hAnsi="Times New Roman" w:eastAsia="Heiti SC"/>
          <w:b/>
          <w:sz w:val="32"/>
        </w:rPr>
        <w:t>目  录</w:t>
      </w:r>
    </w:p>
    <w:p w14:paraId="31C77235">
      <w:pPr>
        <w:pStyle w:val="7"/>
        <w:tabs>
          <w:tab w:val="right" w:leader="dot" w:pos="8306"/>
        </w:tabs>
      </w:pPr>
      <w:r>
        <w:fldChar w:fldCharType="begin"/>
      </w:r>
      <w:r>
        <w:instrText xml:space="preserve"> TOC \o "1-2" \h \z \u </w:instrText>
      </w:r>
      <w:r>
        <w:fldChar w:fldCharType="separate"/>
      </w:r>
      <w:r>
        <w:fldChar w:fldCharType="begin"/>
      </w:r>
      <w:r>
        <w:instrText xml:space="preserve"> HYPERLINK \l _Toc1147394467 </w:instrText>
      </w:r>
      <w:r>
        <w:fldChar w:fldCharType="separate"/>
      </w:r>
      <w:r>
        <w:rPr>
          <w:rFonts w:ascii="黑体" w:hAnsi="黑体" w:eastAsia="黑体" w:cs="黑体"/>
        </w:rPr>
        <w:t>1．课题来源及研究的目的和意义</w:t>
      </w:r>
      <w:r>
        <w:tab/>
      </w:r>
      <w:r>
        <w:fldChar w:fldCharType="begin"/>
      </w:r>
      <w:r>
        <w:instrText xml:space="preserve"> PAGEREF _Toc1147394467 \h </w:instrText>
      </w:r>
      <w:r>
        <w:fldChar w:fldCharType="separate"/>
      </w:r>
      <w:r>
        <w:t>4</w:t>
      </w:r>
      <w:r>
        <w:fldChar w:fldCharType="end"/>
      </w:r>
      <w:r>
        <w:fldChar w:fldCharType="end"/>
      </w:r>
    </w:p>
    <w:p w14:paraId="3C61E96A">
      <w:pPr>
        <w:pStyle w:val="8"/>
        <w:tabs>
          <w:tab w:val="right" w:leader="dot" w:pos="8306"/>
        </w:tabs>
      </w:pPr>
      <w:r>
        <w:fldChar w:fldCharType="begin"/>
      </w:r>
      <w:r>
        <w:instrText xml:space="preserve"> HYPERLINK \l _Toc2003140456 </w:instrText>
      </w:r>
      <w:r>
        <w:fldChar w:fldCharType="separate"/>
      </w:r>
      <w:r>
        <w:rPr>
          <w:rFonts w:ascii="黑体" w:hAnsi="黑体" w:eastAsia="黑体" w:cs="黑体"/>
        </w:rPr>
        <w:t>1.1 课题来源</w:t>
      </w:r>
      <w:r>
        <w:tab/>
      </w:r>
      <w:r>
        <w:fldChar w:fldCharType="begin"/>
      </w:r>
      <w:r>
        <w:instrText xml:space="preserve"> PAGEREF _Toc2003140456 \h </w:instrText>
      </w:r>
      <w:r>
        <w:fldChar w:fldCharType="separate"/>
      </w:r>
      <w:r>
        <w:t>4</w:t>
      </w:r>
      <w:r>
        <w:fldChar w:fldCharType="end"/>
      </w:r>
      <w:r>
        <w:fldChar w:fldCharType="end"/>
      </w:r>
    </w:p>
    <w:p w14:paraId="0654F897">
      <w:pPr>
        <w:pStyle w:val="8"/>
        <w:tabs>
          <w:tab w:val="right" w:leader="dot" w:pos="8306"/>
        </w:tabs>
      </w:pPr>
      <w:r>
        <w:fldChar w:fldCharType="begin"/>
      </w:r>
      <w:r>
        <w:instrText xml:space="preserve"> HYPERLINK \l _Toc680509973 </w:instrText>
      </w:r>
      <w:r>
        <w:fldChar w:fldCharType="separate"/>
      </w:r>
      <w:r>
        <w:rPr>
          <w:rFonts w:ascii="黑体" w:hAnsi="黑体" w:eastAsia="黑体" w:cs="黑体"/>
        </w:rPr>
        <w:t>1.2 研究背景</w:t>
      </w:r>
      <w:r>
        <w:tab/>
      </w:r>
      <w:r>
        <w:fldChar w:fldCharType="begin"/>
      </w:r>
      <w:r>
        <w:instrText xml:space="preserve"> PAGEREF _Toc680509973 \h </w:instrText>
      </w:r>
      <w:r>
        <w:fldChar w:fldCharType="separate"/>
      </w:r>
      <w:r>
        <w:t>5</w:t>
      </w:r>
      <w:r>
        <w:fldChar w:fldCharType="end"/>
      </w:r>
      <w:r>
        <w:fldChar w:fldCharType="end"/>
      </w:r>
    </w:p>
    <w:p w14:paraId="66908EC5">
      <w:pPr>
        <w:pStyle w:val="8"/>
        <w:tabs>
          <w:tab w:val="right" w:leader="dot" w:pos="8306"/>
        </w:tabs>
      </w:pPr>
      <w:r>
        <w:fldChar w:fldCharType="begin"/>
      </w:r>
      <w:r>
        <w:instrText xml:space="preserve"> HYPERLINK \l _Toc1980695936 </w:instrText>
      </w:r>
      <w:r>
        <w:fldChar w:fldCharType="separate"/>
      </w:r>
      <w:r>
        <w:rPr>
          <w:rFonts w:ascii="黑体" w:hAnsi="黑体" w:eastAsia="黑体" w:cs="黑体"/>
        </w:rPr>
        <w:t>1.3 研究目的和意义</w:t>
      </w:r>
      <w:r>
        <w:tab/>
      </w:r>
      <w:r>
        <w:fldChar w:fldCharType="begin"/>
      </w:r>
      <w:r>
        <w:instrText xml:space="preserve"> PAGEREF _Toc1980695936 \h </w:instrText>
      </w:r>
      <w:r>
        <w:fldChar w:fldCharType="separate"/>
      </w:r>
      <w:r>
        <w:t>6</w:t>
      </w:r>
      <w:r>
        <w:fldChar w:fldCharType="end"/>
      </w:r>
      <w:r>
        <w:fldChar w:fldCharType="end"/>
      </w:r>
    </w:p>
    <w:p w14:paraId="6CEF3724">
      <w:pPr>
        <w:pStyle w:val="7"/>
        <w:tabs>
          <w:tab w:val="right" w:leader="dot" w:pos="8306"/>
        </w:tabs>
      </w:pPr>
      <w:r>
        <w:fldChar w:fldCharType="begin"/>
      </w:r>
      <w:r>
        <w:instrText xml:space="preserve"> HYPERLINK \l _Toc1412584205 </w:instrText>
      </w:r>
      <w:r>
        <w:fldChar w:fldCharType="separate"/>
      </w:r>
      <w:r>
        <w:rPr>
          <w:rFonts w:ascii="黑体" w:hAnsi="黑体" w:eastAsia="黑体" w:cs="黑体"/>
        </w:rPr>
        <w:t>2．国内外在该方向的研究现状及分析</w:t>
      </w:r>
      <w:r>
        <w:tab/>
      </w:r>
      <w:r>
        <w:fldChar w:fldCharType="begin"/>
      </w:r>
      <w:r>
        <w:instrText xml:space="preserve"> PAGEREF _Toc1412584205 \h </w:instrText>
      </w:r>
      <w:r>
        <w:fldChar w:fldCharType="separate"/>
      </w:r>
      <w:r>
        <w:t>7</w:t>
      </w:r>
      <w:r>
        <w:fldChar w:fldCharType="end"/>
      </w:r>
      <w:r>
        <w:fldChar w:fldCharType="end"/>
      </w:r>
    </w:p>
    <w:p w14:paraId="7063BD9F">
      <w:pPr>
        <w:pStyle w:val="8"/>
        <w:tabs>
          <w:tab w:val="right" w:leader="dot" w:pos="8306"/>
        </w:tabs>
      </w:pPr>
      <w:r>
        <w:fldChar w:fldCharType="begin"/>
      </w:r>
      <w:r>
        <w:instrText xml:space="preserve"> HYPERLINK \l _Toc871015850 </w:instrText>
      </w:r>
      <w:r>
        <w:fldChar w:fldCharType="separate"/>
      </w:r>
      <w:r>
        <w:rPr>
          <w:rFonts w:ascii="黑体" w:hAnsi="黑体" w:eastAsia="黑体" w:cs="黑体"/>
        </w:rPr>
        <w:t>2.1 大语言模型后训练和知识蒸馏</w:t>
      </w:r>
      <w:r>
        <w:tab/>
      </w:r>
      <w:r>
        <w:fldChar w:fldCharType="begin"/>
      </w:r>
      <w:r>
        <w:instrText xml:space="preserve"> PAGEREF _Toc871015850 \h </w:instrText>
      </w:r>
      <w:r>
        <w:fldChar w:fldCharType="separate"/>
      </w:r>
      <w:r>
        <w:t>7</w:t>
      </w:r>
      <w:r>
        <w:fldChar w:fldCharType="end"/>
      </w:r>
      <w:r>
        <w:fldChar w:fldCharType="end"/>
      </w:r>
    </w:p>
    <w:p w14:paraId="52218BE7">
      <w:pPr>
        <w:pStyle w:val="8"/>
        <w:tabs>
          <w:tab w:val="right" w:leader="dot" w:pos="8306"/>
        </w:tabs>
      </w:pPr>
      <w:r>
        <w:fldChar w:fldCharType="begin"/>
      </w:r>
      <w:r>
        <w:instrText xml:space="preserve"> HYPERLINK \l _Toc1914852998 </w:instrText>
      </w:r>
      <w:r>
        <w:fldChar w:fldCharType="separate"/>
      </w:r>
      <w:r>
        <w:rPr>
          <w:rFonts w:ascii="黑体" w:hAnsi="黑体" w:eastAsia="黑体" w:cs="黑体"/>
        </w:rPr>
        <w:t>2.2 分布偏移与在线策略蒸馏</w:t>
      </w:r>
      <w:r>
        <w:tab/>
      </w:r>
      <w:r>
        <w:fldChar w:fldCharType="begin"/>
      </w:r>
      <w:r>
        <w:instrText xml:space="preserve"> PAGEREF _Toc1914852998 \h </w:instrText>
      </w:r>
      <w:r>
        <w:fldChar w:fldCharType="separate"/>
      </w:r>
      <w:r>
        <w:t>10</w:t>
      </w:r>
      <w:r>
        <w:fldChar w:fldCharType="end"/>
      </w:r>
      <w:r>
        <w:fldChar w:fldCharType="end"/>
      </w:r>
    </w:p>
    <w:p w14:paraId="6A173C48">
      <w:pPr>
        <w:pStyle w:val="8"/>
        <w:tabs>
          <w:tab w:val="right" w:leader="dot" w:pos="8306"/>
        </w:tabs>
      </w:pPr>
      <w:r>
        <w:fldChar w:fldCharType="begin"/>
      </w:r>
      <w:r>
        <w:instrText xml:space="preserve"> HYPERLINK \l _Toc744403444 </w:instrText>
      </w:r>
      <w:r>
        <w:fldChar w:fldCharType="separate"/>
      </w:r>
      <w:r>
        <w:rPr>
          <w:rFonts w:ascii="黑体" w:hAnsi="黑体" w:eastAsia="黑体" w:cs="黑体"/>
        </w:rPr>
        <w:t>2.3 KL 散度方向与广义散度</w:t>
      </w:r>
      <w:r>
        <w:tab/>
      </w:r>
      <w:r>
        <w:fldChar w:fldCharType="begin"/>
      </w:r>
      <w:r>
        <w:instrText xml:space="preserve"> PAGEREF _Toc744403444 \h </w:instrText>
      </w:r>
      <w:r>
        <w:fldChar w:fldCharType="separate"/>
      </w:r>
      <w:r>
        <w:t>13</w:t>
      </w:r>
      <w:r>
        <w:fldChar w:fldCharType="end"/>
      </w:r>
      <w:r>
        <w:fldChar w:fldCharType="end"/>
      </w:r>
    </w:p>
    <w:p w14:paraId="2DB40E74">
      <w:pPr>
        <w:pStyle w:val="8"/>
        <w:tabs>
          <w:tab w:val="right" w:leader="dot" w:pos="8306"/>
        </w:tabs>
      </w:pPr>
      <w:r>
        <w:fldChar w:fldCharType="begin"/>
      </w:r>
      <w:r>
        <w:instrText xml:space="preserve"> HYPERLINK \l _Toc2096439533 </w:instrText>
      </w:r>
      <w:r>
        <w:fldChar w:fldCharType="separate"/>
      </w:r>
      <w:r>
        <w:rPr>
          <w:rFonts w:ascii="黑体" w:hAnsi="黑体" w:eastAsia="黑体" w:cs="黑体"/>
        </w:rPr>
        <w:t>2.4 监督信息粒度与资源效率</w:t>
      </w:r>
      <w:r>
        <w:tab/>
      </w:r>
      <w:r>
        <w:fldChar w:fldCharType="begin"/>
      </w:r>
      <w:r>
        <w:instrText xml:space="preserve"> PAGEREF _Toc2096439533 \h </w:instrText>
      </w:r>
      <w:r>
        <w:fldChar w:fldCharType="separate"/>
      </w:r>
      <w:r>
        <w:t>16</w:t>
      </w:r>
      <w:r>
        <w:fldChar w:fldCharType="end"/>
      </w:r>
      <w:r>
        <w:fldChar w:fldCharType="end"/>
      </w:r>
    </w:p>
    <w:p w14:paraId="33F89AB2">
      <w:pPr>
        <w:pStyle w:val="8"/>
        <w:tabs>
          <w:tab w:val="right" w:leader="dot" w:pos="8306"/>
        </w:tabs>
      </w:pPr>
      <w:r>
        <w:fldChar w:fldCharType="begin"/>
      </w:r>
      <w:r>
        <w:instrText xml:space="preserve"> HYPERLINK \l _Toc1095034802 </w:instrText>
      </w:r>
      <w:r>
        <w:fldChar w:fldCharType="separate"/>
      </w:r>
      <w:r>
        <w:rPr>
          <w:rFonts w:ascii="黑体" w:hAnsi="黑体" w:eastAsia="黑体" w:cs="黑体"/>
        </w:rPr>
        <w:t>2.5 Function Calling 数据与评测研究</w:t>
      </w:r>
      <w:r>
        <w:tab/>
      </w:r>
      <w:r>
        <w:fldChar w:fldCharType="begin"/>
      </w:r>
      <w:r>
        <w:instrText xml:space="preserve"> PAGEREF _Toc1095034802 \h </w:instrText>
      </w:r>
      <w:r>
        <w:fldChar w:fldCharType="separate"/>
      </w:r>
      <w:r>
        <w:t>17</w:t>
      </w:r>
      <w:r>
        <w:fldChar w:fldCharType="end"/>
      </w:r>
      <w:r>
        <w:fldChar w:fldCharType="end"/>
      </w:r>
    </w:p>
    <w:p w14:paraId="6F950570">
      <w:pPr>
        <w:pStyle w:val="8"/>
        <w:tabs>
          <w:tab w:val="right" w:leader="dot" w:pos="8306"/>
        </w:tabs>
      </w:pPr>
      <w:r>
        <w:fldChar w:fldCharType="begin"/>
      </w:r>
      <w:r>
        <w:instrText xml:space="preserve"> HYPERLINK \l _Toc315062424 </w:instrText>
      </w:r>
      <w:r>
        <w:fldChar w:fldCharType="separate"/>
      </w:r>
      <w:r>
        <w:rPr>
          <w:rFonts w:ascii="黑体" w:hAnsi="黑体" w:eastAsia="黑体" w:cs="黑体"/>
        </w:rPr>
        <w:t>2.6 现有方法的问题与本文的研究切入点</w:t>
      </w:r>
      <w:r>
        <w:tab/>
      </w:r>
      <w:r>
        <w:fldChar w:fldCharType="begin"/>
      </w:r>
      <w:r>
        <w:instrText xml:space="preserve"> PAGEREF _Toc315062424 \h </w:instrText>
      </w:r>
      <w:r>
        <w:fldChar w:fldCharType="separate"/>
      </w:r>
      <w:r>
        <w:t>20</w:t>
      </w:r>
      <w:r>
        <w:fldChar w:fldCharType="end"/>
      </w:r>
      <w:r>
        <w:fldChar w:fldCharType="end"/>
      </w:r>
    </w:p>
    <w:p w14:paraId="49E4421E">
      <w:pPr>
        <w:pStyle w:val="7"/>
        <w:tabs>
          <w:tab w:val="right" w:leader="dot" w:pos="8306"/>
        </w:tabs>
      </w:pPr>
      <w:r>
        <w:fldChar w:fldCharType="begin"/>
      </w:r>
      <w:r>
        <w:instrText xml:space="preserve"> HYPERLINK \l _Toc1706970313 </w:instrText>
      </w:r>
      <w:r>
        <w:fldChar w:fldCharType="separate"/>
      </w:r>
      <w:r>
        <w:rPr>
          <w:rFonts w:ascii="黑体" w:hAnsi="黑体" w:eastAsia="黑体" w:cs="黑体"/>
        </w:rPr>
        <w:t>3．主要研究内容</w:t>
      </w:r>
      <w:r>
        <w:tab/>
      </w:r>
      <w:r>
        <w:fldChar w:fldCharType="begin"/>
      </w:r>
      <w:r>
        <w:instrText xml:space="preserve"> PAGEREF _Toc1706970313 \h </w:instrText>
      </w:r>
      <w:r>
        <w:fldChar w:fldCharType="separate"/>
      </w:r>
      <w:r>
        <w:t>21</w:t>
      </w:r>
      <w:r>
        <w:fldChar w:fldCharType="end"/>
      </w:r>
      <w:r>
        <w:fldChar w:fldCharType="end"/>
      </w:r>
    </w:p>
    <w:p w14:paraId="6D89D37F">
      <w:pPr>
        <w:pStyle w:val="8"/>
        <w:tabs>
          <w:tab w:val="right" w:leader="dot" w:pos="8306"/>
        </w:tabs>
      </w:pPr>
      <w:r>
        <w:fldChar w:fldCharType="begin"/>
      </w:r>
      <w:r>
        <w:instrText xml:space="preserve"> HYPERLINK \l _Toc816010318 </w:instrText>
      </w:r>
      <w:r>
        <w:fldChar w:fldCharType="separate"/>
      </w:r>
      <w:r>
        <w:rPr>
          <w:rFonts w:ascii="黑体" w:hAnsi="黑体" w:eastAsia="黑体" w:cs="黑体"/>
        </w:rPr>
        <w:t>3.1 研究目标概述</w:t>
      </w:r>
      <w:r>
        <w:tab/>
      </w:r>
      <w:r>
        <w:fldChar w:fldCharType="begin"/>
      </w:r>
      <w:r>
        <w:instrText xml:space="preserve"> PAGEREF _Toc816010318 \h </w:instrText>
      </w:r>
      <w:r>
        <w:fldChar w:fldCharType="separate"/>
      </w:r>
      <w:r>
        <w:t>21</w:t>
      </w:r>
      <w:r>
        <w:fldChar w:fldCharType="end"/>
      </w:r>
      <w:r>
        <w:fldChar w:fldCharType="end"/>
      </w:r>
    </w:p>
    <w:p w14:paraId="7CCDA56F">
      <w:pPr>
        <w:pStyle w:val="8"/>
        <w:tabs>
          <w:tab w:val="right" w:leader="dot" w:pos="8306"/>
        </w:tabs>
      </w:pPr>
      <w:r>
        <w:fldChar w:fldCharType="begin"/>
      </w:r>
      <w:r>
        <w:instrText xml:space="preserve"> HYPERLINK \l _Toc854844884 </w:instrText>
      </w:r>
      <w:r>
        <w:fldChar w:fldCharType="separate"/>
      </w:r>
      <w:r>
        <w:rPr>
          <w:rFonts w:ascii="黑体" w:hAnsi="黑体" w:eastAsia="黑体" w:cs="黑体"/>
        </w:rPr>
        <w:t xml:space="preserve">3.2 拟解决的研究问题</w:t>
      </w:r>
      <w:r>
        <w:tab/>
      </w:r>
      <w:r>
        <w:fldChar w:fldCharType="begin"/>
      </w:r>
      <w:r>
        <w:instrText xml:space="preserve"> PAGEREF _Toc854844884 \h </w:instrText>
      </w:r>
      <w:r>
        <w:fldChar w:fldCharType="separate"/>
      </w:r>
      <w:r>
        <w:t>22</w:t>
      </w:r>
      <w:r>
        <w:fldChar w:fldCharType="end"/>
      </w:r>
      <w:r>
        <w:fldChar w:fldCharType="end"/>
      </w:r>
    </w:p>
    <w:p w14:paraId="18E2482B">
      <w:pPr>
        <w:pStyle w:val="8"/>
        <w:tabs>
          <w:tab w:val="right" w:leader="dot" w:pos="8306"/>
        </w:tabs>
      </w:pPr>
      <w:r>
        <w:fldChar w:fldCharType="begin"/>
      </w:r>
      <w:r>
        <w:instrText xml:space="preserve"> HYPERLINK \l _Toc712366958 </w:instrText>
      </w:r>
      <w:r>
        <w:fldChar w:fldCharType="separate"/>
      </w:r>
      <w:r>
        <w:rPr>
          <w:rFonts w:ascii="黑体" w:hAnsi="黑体" w:eastAsia="黑体" w:cs="黑体"/>
        </w:rPr>
        <w:t xml:space="preserve">3.3 决策感知的尾部保真蒸馏方法</w:t>
      </w:r>
      <w:r>
        <w:tab/>
      </w:r>
      <w:r>
        <w:fldChar w:fldCharType="begin"/>
      </w:r>
      <w:r>
        <w:instrText xml:space="preserve"> PAGEREF _Toc712366958 \h </w:instrText>
      </w:r>
      <w:r>
        <w:fldChar w:fldCharType="separate"/>
      </w:r>
      <w:r>
        <w:t>23</w:t>
      </w:r>
      <w:r>
        <w:fldChar w:fldCharType="end"/>
      </w:r>
      <w:r>
        <w:fldChar w:fldCharType="end"/>
      </w:r>
    </w:p>
    <w:p w14:paraId="7B10E72A">
      <w:pPr>
        <w:pStyle w:val="8"/>
        <w:tabs>
          <w:tab w:val="right" w:leader="dot" w:pos="8306"/>
        </w:tabs>
      </w:pPr>
      <w:r>
        <w:fldChar w:fldCharType="begin"/>
      </w:r>
      <w:r>
        <w:instrText xml:space="preserve"> HYPERLINK \l _Toc530131081 </w:instrText>
      </w:r>
      <w:r>
        <w:fldChar w:fldCharType="separate"/>
      </w:r>
      <w:r>
        <w:rPr>
          <w:rFonts w:ascii="黑体" w:hAnsi="黑体" w:eastAsia="黑体" w:cs="黑体"/>
        </w:rPr>
        <w:t xml:space="preserve">3.4 验证路径与预期研究产出</w:t>
      </w:r>
      <w:r>
        <w:tab/>
      </w:r>
      <w:r>
        <w:fldChar w:fldCharType="begin"/>
      </w:r>
      <w:r>
        <w:instrText xml:space="preserve"> PAGEREF _Toc530131081 \h </w:instrText>
      </w:r>
      <w:r>
        <w:fldChar w:fldCharType="separate"/>
      </w:r>
      <w:r>
        <w:t>24</w:t>
      </w:r>
      <w:r>
        <w:fldChar w:fldCharType="end"/>
      </w:r>
      <w:r>
        <w:fldChar w:fldCharType="end"/>
      </w:r>
    </w:p>
    <w:p w14:paraId="06F3FF8D">
      <w:pPr>
        <w:pStyle w:val="8"/>
        <w:tabs>
          <w:tab w:val="right" w:leader="dot" w:pos="8306"/>
        </w:tabs>
      </w:pPr>
      <w:r>
        <w:fldChar w:fldCharType="begin"/>
      </w:r>
      <w:r>
        <w:instrText xml:space="preserve"> HYPERLINK \l _Toc3426964 </w:instrText>
      </w:r>
      <w:r>
        <w:fldChar w:fldCharType="separate"/>
      </w:r>
      <w:r>
        <w:rPr>
          <w:rFonts w:ascii="黑体" w:hAnsi="黑体" w:eastAsia="黑体" w:cs="黑体"/>
        </w:rPr>
        <w:t>3.5 本章总结</w:t>
      </w:r>
      <w:r>
        <w:rPr>
          <w:rFonts w:hint="eastAsia" w:ascii="黑体" w:hAnsi="黑体" w:eastAsia="黑体" w:cs="黑体"/>
          <w:lang w:val="en-US" w:eastAsia="zh-CN"/>
        </w:rPr>
        <w:t/>
      </w:r>
      <w:r>
        <w:tab/>
      </w:r>
      <w:r>
        <w:fldChar w:fldCharType="begin"/>
      </w:r>
      <w:r>
        <w:instrText xml:space="preserve"> PAGEREF _Toc3426964 \h </w:instrText>
      </w:r>
      <w:r>
        <w:fldChar w:fldCharType="separate"/>
      </w:r>
      <w:r>
        <w:t>25</w:t>
      </w:r>
      <w:r>
        <w:fldChar w:fldCharType="end"/>
      </w:r>
      <w:r>
        <w:fldChar w:fldCharType="end"/>
      </w:r>
    </w:p>
    <w:p w14:paraId="07F40BB2">
      <w:pPr>
        <w:pStyle w:val="7"/>
        <w:tabs>
          <w:tab w:val="right" w:leader="dot" w:pos="8306"/>
        </w:tabs>
      </w:pPr>
      <w:r>
        <w:fldChar w:fldCharType="begin"/>
      </w:r>
      <w:r>
        <w:instrText xml:space="preserve"> HYPERLINK \l _Toc1762409126 </w:instrText>
      </w:r>
      <w:r>
        <w:fldChar w:fldCharType="separate"/>
      </w:r>
      <w:r>
        <w:rPr>
          <w:rFonts w:ascii="黑体" w:hAnsi="黑体" w:eastAsia="黑体" w:cs="黑体"/>
        </w:rPr>
        <w:t>4．研究方案</w:t>
      </w:r>
      <w:r>
        <w:tab/>
      </w:r>
      <w:r>
        <w:fldChar w:fldCharType="begin"/>
      </w:r>
      <w:r>
        <w:instrText xml:space="preserve"> PAGEREF _Toc1762409126 \h </w:instrText>
      </w:r>
      <w:r>
        <w:fldChar w:fldCharType="separate"/>
      </w:r>
      <w:r>
        <w:t>25</w:t>
      </w:r>
      <w:r>
        <w:fldChar w:fldCharType="end"/>
      </w:r>
      <w:r>
        <w:fldChar w:fldCharType="end"/>
      </w:r>
    </w:p>
    <w:p w14:paraId="332D89B6">
      <w:pPr>
        <w:pStyle w:val="8"/>
        <w:tabs>
          <w:tab w:val="right" w:leader="dot" w:pos="8306"/>
        </w:tabs>
      </w:pPr>
      <w:r>
        <w:fldChar w:fldCharType="begin"/>
      </w:r>
      <w:r>
        <w:instrText xml:space="preserve"> HYPERLINK \l _Toc568237611 </w:instrText>
      </w:r>
      <w:r>
        <w:fldChar w:fldCharType="separate"/>
      </w:r>
      <w:r>
        <w:rPr>
          <w:rFonts w:ascii="黑体" w:hAnsi="黑体" w:eastAsia="黑体" w:cs="黑体"/>
        </w:rPr>
        <w:t>4.1 总体技术路线</w:t>
      </w:r>
      <w:r>
        <w:tab/>
      </w:r>
      <w:r>
        <w:fldChar w:fldCharType="begin"/>
      </w:r>
      <w:r>
        <w:instrText xml:space="preserve"> PAGEREF _Toc568237611 \h </w:instrText>
      </w:r>
      <w:r>
        <w:fldChar w:fldCharType="separate"/>
      </w:r>
      <w:r>
        <w:t>25</w:t>
      </w:r>
      <w:r>
        <w:fldChar w:fldCharType="end"/>
      </w:r>
      <w:r>
        <w:fldChar w:fldCharType="end"/>
      </w:r>
    </w:p>
    <w:p w14:paraId="7428956F">
      <w:pPr>
        <w:pStyle w:val="8"/>
        <w:tabs>
          <w:tab w:val="right" w:leader="dot" w:pos="8306"/>
        </w:tabs>
      </w:pPr>
      <w:r>
        <w:fldChar w:fldCharType="begin"/>
      </w:r>
      <w:r>
        <w:instrText xml:space="preserve"> HYPERLINK \l _Toc509749868 </w:instrText>
      </w:r>
      <w:r>
        <w:fldChar w:fldCharType="separate"/>
      </w:r>
      <w:r>
        <w:rPr>
          <w:rFonts w:ascii="黑体" w:hAnsi="黑体" w:eastAsia="黑体" w:cs="黑体"/>
        </w:rPr>
        <w:t>4.2 模型和数据准备</w:t>
      </w:r>
      <w:r>
        <w:tab/>
      </w:r>
      <w:r>
        <w:fldChar w:fldCharType="begin"/>
      </w:r>
      <w:r>
        <w:instrText xml:space="preserve"> PAGEREF _Toc509749868 \h </w:instrText>
      </w:r>
      <w:r>
        <w:fldChar w:fldCharType="separate"/>
      </w:r>
      <w:r>
        <w:t>28</w:t>
      </w:r>
      <w:r>
        <w:fldChar w:fldCharType="end"/>
      </w:r>
      <w:r>
        <w:fldChar w:fldCharType="end"/>
      </w:r>
    </w:p>
    <w:p w14:paraId="76DF98AC">
      <w:pPr>
        <w:pStyle w:val="8"/>
        <w:tabs>
          <w:tab w:val="right" w:leader="dot" w:pos="8306"/>
        </w:tabs>
      </w:pPr>
      <w:r>
        <w:fldChar w:fldCharType="begin"/>
      </w:r>
      <w:r>
        <w:instrText xml:space="preserve"> HYPERLINK \l _Toc1053763593 </w:instrText>
      </w:r>
      <w:r>
        <w:fldChar w:fldCharType="separate"/>
      </w:r>
      <w:r>
        <w:rPr>
          <w:rFonts w:ascii="黑体" w:hAnsi="黑体" w:eastAsia="黑体" w:cs="黑体"/>
        </w:rPr>
        <w:t>4.3 学生 rollout 和教师反馈</w:t>
      </w:r>
      <w:r>
        <w:tab/>
      </w:r>
      <w:r>
        <w:fldChar w:fldCharType="begin"/>
      </w:r>
      <w:r>
        <w:instrText xml:space="preserve"> PAGEREF _Toc1053763593 \h </w:instrText>
      </w:r>
      <w:r>
        <w:fldChar w:fldCharType="separate"/>
      </w:r>
      <w:r>
        <w:t>29</w:t>
      </w:r>
      <w:r>
        <w:fldChar w:fldCharType="end"/>
      </w:r>
      <w:r>
        <w:fldChar w:fldCharType="end"/>
      </w:r>
    </w:p>
    <w:p w14:paraId="33320ADB">
      <w:pPr>
        <w:pStyle w:val="8"/>
        <w:tabs>
          <w:tab w:val="right" w:leader="dot" w:pos="8306"/>
        </w:tabs>
      </w:pPr>
      <w:r>
        <w:fldChar w:fldCharType="begin"/>
      </w:r>
      <w:r>
        <w:instrText xml:space="preserve"> HYPERLINK \l _Toc307070742 </w:instrText>
      </w:r>
      <w:r>
        <w:fldChar w:fldCharType="separate"/>
      </w:r>
      <w:r>
        <w:rPr>
          <w:rFonts w:ascii="黑体" w:hAnsi="黑体" w:eastAsia="黑体" w:cs="黑体"/>
        </w:rPr>
        <w:t>4.4 散度基线与稀疏反馈目标的定义</w:t>
      </w:r>
      <w:r>
        <w:tab/>
      </w:r>
      <w:r>
        <w:fldChar w:fldCharType="begin"/>
      </w:r>
      <w:r>
        <w:instrText xml:space="preserve"> PAGEREF _Toc307070742 \h </w:instrText>
      </w:r>
      <w:r>
        <w:fldChar w:fldCharType="separate"/>
      </w:r>
      <w:r>
        <w:t>32</w:t>
      </w:r>
      <w:r>
        <w:fldChar w:fldCharType="end"/>
      </w:r>
      <w:r>
        <w:fldChar w:fldCharType="end"/>
      </w:r>
    </w:p>
    <w:p w14:paraId="1B97AA14">
      <w:pPr>
        <w:pStyle w:val="8"/>
        <w:tabs>
          <w:tab w:val="right" w:leader="dot" w:pos="8306"/>
        </w:tabs>
      </w:pPr>
      <w:r>
        <w:fldChar w:fldCharType="begin"/>
      </w:r>
      <w:r>
        <w:instrText xml:space="preserve"> HYPERLINK \l _Toc534757053 </w:instrText>
      </w:r>
      <w:r>
        <w:fldChar w:fldCharType="separate"/>
      </w:r>
      <w:r>
        <w:rPr>
          <w:rFonts w:ascii="黑体" w:hAnsi="黑体" w:eastAsia="黑体" w:cs="黑体"/>
        </w:rPr>
        <w:t>4.5 评价指标和公平性</w:t>
      </w:r>
      <w:r>
        <w:tab/>
      </w:r>
      <w:r>
        <w:fldChar w:fldCharType="begin"/>
      </w:r>
      <w:r>
        <w:instrText xml:space="preserve"> PAGEREF _Toc534757053 \h </w:instrText>
      </w:r>
      <w:r>
        <w:fldChar w:fldCharType="separate"/>
      </w:r>
      <w:r>
        <w:t>36</w:t>
      </w:r>
      <w:r>
        <w:fldChar w:fldCharType="end"/>
      </w:r>
      <w:r>
        <w:fldChar w:fldCharType="end"/>
      </w:r>
    </w:p>
    <w:p w14:paraId="675AAA7F">
      <w:pPr>
        <w:pStyle w:val="8"/>
        <w:tabs>
          <w:tab w:val="right" w:leader="dot" w:pos="8306"/>
        </w:tabs>
      </w:pPr>
      <w:r>
        <w:fldChar w:fldCharType="begin"/>
      </w:r>
      <w:r>
        <w:instrText xml:space="preserve"> HYPERLINK \l _Toc442727076 </w:instrText>
      </w:r>
      <w:r>
        <w:fldChar w:fldCharType="separate"/>
      </w:r>
      <w:r>
        <w:rPr>
          <w:rFonts w:ascii="黑体" w:hAnsi="黑体" w:eastAsia="黑体" w:cs="黑体"/>
        </w:rPr>
        <w:t>4.6 可行性分析</w:t>
      </w:r>
      <w:r>
        <w:tab/>
      </w:r>
      <w:r>
        <w:fldChar w:fldCharType="begin"/>
      </w:r>
      <w:r>
        <w:instrText xml:space="preserve"> PAGEREF _Toc442727076 \h </w:instrText>
      </w:r>
      <w:r>
        <w:fldChar w:fldCharType="separate"/>
      </w:r>
      <w:r>
        <w:t>39</w:t>
      </w:r>
      <w:r>
        <w:fldChar w:fldCharType="end"/>
      </w:r>
      <w:r>
        <w:fldChar w:fldCharType="end"/>
      </w:r>
    </w:p>
    <w:p w14:paraId="29CA60D3">
      <w:pPr>
        <w:pStyle w:val="7"/>
        <w:tabs>
          <w:tab w:val="right" w:leader="dot" w:pos="8306"/>
        </w:tabs>
      </w:pPr>
      <w:r>
        <w:fldChar w:fldCharType="begin"/>
      </w:r>
      <w:r>
        <w:instrText xml:space="preserve"> HYPERLINK \l _Toc2030613124 </w:instrText>
      </w:r>
      <w:r>
        <w:fldChar w:fldCharType="separate"/>
      </w:r>
      <w:r>
        <w:rPr>
          <w:rFonts w:ascii="黑体" w:hAnsi="黑体" w:eastAsia="黑体" w:cs="黑体"/>
        </w:rPr>
        <w:t>5．进度安排，预期达到的目标</w:t>
      </w:r>
      <w:r>
        <w:tab/>
      </w:r>
      <w:r>
        <w:fldChar w:fldCharType="begin"/>
      </w:r>
      <w:r>
        <w:instrText xml:space="preserve"> PAGEREF _Toc2030613124 \h </w:instrText>
      </w:r>
      <w:r>
        <w:fldChar w:fldCharType="separate"/>
      </w:r>
      <w:r>
        <w:t>40</w:t>
      </w:r>
      <w:r>
        <w:fldChar w:fldCharType="end"/>
      </w:r>
      <w:r>
        <w:fldChar w:fldCharType="end"/>
      </w:r>
    </w:p>
    <w:p w14:paraId="66CC936E">
      <w:pPr>
        <w:pStyle w:val="8"/>
        <w:tabs>
          <w:tab w:val="right" w:leader="dot" w:pos="8306"/>
        </w:tabs>
      </w:pPr>
      <w:r>
        <w:fldChar w:fldCharType="begin"/>
      </w:r>
      <w:r>
        <w:instrText xml:space="preserve"> HYPERLINK \l _Toc704656944 </w:instrText>
      </w:r>
      <w:r>
        <w:fldChar w:fldCharType="separate"/>
      </w:r>
      <w:r>
        <w:rPr>
          <w:rFonts w:ascii="黑体" w:hAnsi="黑体" w:eastAsia="黑体" w:cs="黑体"/>
        </w:rPr>
        <w:t>5.1 进度安排</w:t>
      </w:r>
      <w:r>
        <w:tab/>
      </w:r>
      <w:r>
        <w:fldChar w:fldCharType="begin"/>
      </w:r>
      <w:r>
        <w:instrText xml:space="preserve"> PAGEREF _Toc704656944 \h </w:instrText>
      </w:r>
      <w:r>
        <w:fldChar w:fldCharType="separate"/>
      </w:r>
      <w:r>
        <w:t>40</w:t>
      </w:r>
      <w:r>
        <w:fldChar w:fldCharType="end"/>
      </w:r>
      <w:r>
        <w:fldChar w:fldCharType="end"/>
      </w:r>
    </w:p>
    <w:p w14:paraId="3313CA45">
      <w:pPr>
        <w:pStyle w:val="8"/>
        <w:tabs>
          <w:tab w:val="right" w:leader="dot" w:pos="8306"/>
        </w:tabs>
      </w:pPr>
      <w:r>
        <w:fldChar w:fldCharType="begin"/>
      </w:r>
      <w:r>
        <w:instrText xml:space="preserve"> HYPERLINK \l _Toc1944428250 </w:instrText>
      </w:r>
      <w:r>
        <w:fldChar w:fldCharType="separate"/>
      </w:r>
      <w:r>
        <w:rPr>
          <w:rFonts w:ascii="黑体" w:hAnsi="黑体" w:eastAsia="黑体" w:cs="黑体"/>
        </w:rPr>
        <w:t>5.2 预期达到的目标</w:t>
      </w:r>
      <w:r>
        <w:tab/>
      </w:r>
      <w:r>
        <w:fldChar w:fldCharType="begin"/>
      </w:r>
      <w:r>
        <w:instrText xml:space="preserve"> PAGEREF _Toc1944428250 \h </w:instrText>
      </w:r>
      <w:r>
        <w:fldChar w:fldCharType="separate"/>
      </w:r>
      <w:r>
        <w:t>42</w:t>
      </w:r>
      <w:r>
        <w:fldChar w:fldCharType="end"/>
      </w:r>
      <w:r>
        <w:fldChar w:fldCharType="end"/>
      </w:r>
    </w:p>
    <w:p w14:paraId="6034102A">
      <w:pPr>
        <w:pStyle w:val="7"/>
        <w:tabs>
          <w:tab w:val="right" w:leader="dot" w:pos="8306"/>
        </w:tabs>
      </w:pPr>
      <w:r>
        <w:fldChar w:fldCharType="begin"/>
      </w:r>
      <w:r>
        <w:instrText xml:space="preserve"> HYPERLINK \l _Toc1746941351 </w:instrText>
      </w:r>
      <w:r>
        <w:fldChar w:fldCharType="separate"/>
      </w:r>
      <w:r>
        <w:rPr>
          <w:rFonts w:ascii="黑体" w:hAnsi="黑体" w:eastAsia="黑体" w:cs="黑体"/>
        </w:rPr>
        <w:t>6．课题已具备和所需的条件、经费</w:t>
      </w:r>
      <w:r>
        <w:tab/>
      </w:r>
      <w:r>
        <w:fldChar w:fldCharType="begin"/>
      </w:r>
      <w:r>
        <w:instrText xml:space="preserve"> PAGEREF _Toc1746941351 \h </w:instrText>
      </w:r>
      <w:r>
        <w:fldChar w:fldCharType="separate"/>
      </w:r>
      <w:r>
        <w:t>43</w:t>
      </w:r>
      <w:r>
        <w:fldChar w:fldCharType="end"/>
      </w:r>
      <w:r>
        <w:fldChar w:fldCharType="end"/>
      </w:r>
    </w:p>
    <w:p w14:paraId="0280DBA9">
      <w:pPr>
        <w:pStyle w:val="8"/>
        <w:tabs>
          <w:tab w:val="right" w:leader="dot" w:pos="8306"/>
        </w:tabs>
      </w:pPr>
      <w:r>
        <w:fldChar w:fldCharType="begin"/>
      </w:r>
      <w:r>
        <w:instrText xml:space="preserve"> HYPERLINK \l _Toc446864473 </w:instrText>
      </w:r>
      <w:r>
        <w:fldChar w:fldCharType="separate"/>
      </w:r>
      <w:r>
        <w:rPr>
          <w:rFonts w:ascii="黑体" w:hAnsi="黑体" w:eastAsia="黑体" w:cs="黑体"/>
        </w:rPr>
        <w:t>6.1 已具备条件</w:t>
      </w:r>
      <w:r>
        <w:tab/>
      </w:r>
      <w:r>
        <w:fldChar w:fldCharType="begin"/>
      </w:r>
      <w:r>
        <w:instrText xml:space="preserve"> PAGEREF _Toc446864473 \h </w:instrText>
      </w:r>
      <w:r>
        <w:fldChar w:fldCharType="separate"/>
      </w:r>
      <w:r>
        <w:t>43</w:t>
      </w:r>
      <w:r>
        <w:fldChar w:fldCharType="end"/>
      </w:r>
      <w:r>
        <w:fldChar w:fldCharType="end"/>
      </w:r>
    </w:p>
    <w:p w14:paraId="44BA26E2">
      <w:pPr>
        <w:pStyle w:val="8"/>
        <w:tabs>
          <w:tab w:val="right" w:leader="dot" w:pos="8306"/>
        </w:tabs>
      </w:pPr>
      <w:r>
        <w:fldChar w:fldCharType="begin"/>
      </w:r>
      <w:r>
        <w:instrText xml:space="preserve"> HYPERLINK \l _Toc700884152 </w:instrText>
      </w:r>
      <w:r>
        <w:fldChar w:fldCharType="separate"/>
      </w:r>
      <w:r>
        <w:rPr>
          <w:rFonts w:ascii="黑体" w:hAnsi="黑体" w:eastAsia="黑体" w:cs="黑体"/>
        </w:rPr>
        <w:t>6.2 所需条件</w:t>
      </w:r>
      <w:r>
        <w:tab/>
      </w:r>
      <w:r>
        <w:fldChar w:fldCharType="begin"/>
      </w:r>
      <w:r>
        <w:instrText xml:space="preserve"> PAGEREF _Toc700884152 \h </w:instrText>
      </w:r>
      <w:r>
        <w:fldChar w:fldCharType="separate"/>
      </w:r>
      <w:r>
        <w:t>43</w:t>
      </w:r>
      <w:r>
        <w:fldChar w:fldCharType="end"/>
      </w:r>
      <w:r>
        <w:fldChar w:fldCharType="end"/>
      </w:r>
    </w:p>
    <w:p w14:paraId="05BC8E53">
      <w:pPr>
        <w:pStyle w:val="8"/>
        <w:tabs>
          <w:tab w:val="right" w:leader="dot" w:pos="8306"/>
        </w:tabs>
      </w:pPr>
      <w:r>
        <w:fldChar w:fldCharType="begin"/>
      </w:r>
      <w:r>
        <w:instrText xml:space="preserve"> HYPERLINK \l _Toc812138869 </w:instrText>
      </w:r>
      <w:r>
        <w:fldChar w:fldCharType="separate"/>
      </w:r>
      <w:r>
        <w:rPr>
          <w:rFonts w:ascii="黑体" w:hAnsi="黑体" w:eastAsia="黑体" w:cs="黑体"/>
        </w:rPr>
        <w:t>6.3 经费</w:t>
      </w:r>
      <w:r>
        <w:tab/>
      </w:r>
      <w:r>
        <w:fldChar w:fldCharType="begin"/>
      </w:r>
      <w:r>
        <w:instrText xml:space="preserve"> PAGEREF _Toc812138869 \h </w:instrText>
      </w:r>
      <w:r>
        <w:fldChar w:fldCharType="separate"/>
      </w:r>
      <w:r>
        <w:t>44</w:t>
      </w:r>
      <w:r>
        <w:fldChar w:fldCharType="end"/>
      </w:r>
      <w:r>
        <w:fldChar w:fldCharType="end"/>
      </w:r>
    </w:p>
    <w:p w14:paraId="7CCF3078">
      <w:pPr>
        <w:pStyle w:val="7"/>
        <w:tabs>
          <w:tab w:val="right" w:leader="dot" w:pos="8306"/>
        </w:tabs>
      </w:pPr>
      <w:r>
        <w:fldChar w:fldCharType="begin"/>
      </w:r>
      <w:r>
        <w:instrText xml:space="preserve"> HYPERLINK \l _Toc211910951 </w:instrText>
      </w:r>
      <w:r>
        <w:fldChar w:fldCharType="separate"/>
      </w:r>
      <w:r>
        <w:rPr>
          <w:rFonts w:ascii="黑体" w:hAnsi="黑体" w:eastAsia="黑体" w:cs="黑体"/>
        </w:rPr>
        <w:t>7．研究过程中可能遇到的困难和问题，解决的措施</w:t>
      </w:r>
      <w:r>
        <w:tab/>
      </w:r>
      <w:r>
        <w:fldChar w:fldCharType="begin"/>
      </w:r>
      <w:r>
        <w:instrText xml:space="preserve"> PAGEREF _Toc211910951 \h </w:instrText>
      </w:r>
      <w:r>
        <w:fldChar w:fldCharType="separate"/>
      </w:r>
      <w:r>
        <w:t>45</w:t>
      </w:r>
      <w:r>
        <w:fldChar w:fldCharType="end"/>
      </w:r>
      <w:r>
        <w:fldChar w:fldCharType="end"/>
      </w:r>
    </w:p>
    <w:p w14:paraId="13292365">
      <w:pPr>
        <w:pStyle w:val="7"/>
        <w:tabs>
          <w:tab w:val="right" w:leader="dot" w:pos="8306"/>
        </w:tabs>
      </w:pPr>
      <w:r>
        <w:fldChar w:fldCharType="begin"/>
      </w:r>
      <w:r>
        <w:instrText xml:space="preserve"> HYPERLINK \l _Toc1059466731 </w:instrText>
      </w:r>
      <w:r>
        <w:fldChar w:fldCharType="separate"/>
      </w:r>
      <w:r>
        <w:rPr>
          <w:rFonts w:ascii="黑体" w:hAnsi="黑体" w:eastAsia="黑体" w:cs="黑体"/>
        </w:rPr>
        <w:t>8．主要参考文献</w:t>
      </w:r>
      <w:r>
        <w:tab/>
      </w:r>
      <w:r>
        <w:fldChar w:fldCharType="begin"/>
      </w:r>
      <w:r>
        <w:instrText xml:space="preserve"> PAGEREF _Toc1059466731 \h </w:instrText>
      </w:r>
      <w:r>
        <w:fldChar w:fldCharType="separate"/>
      </w:r>
      <w:r>
        <w:t>47</w:t>
      </w:r>
      <w:r>
        <w:fldChar w:fldCharType="end"/>
      </w:r>
      <w:r>
        <w:fldChar w:fldCharType="end"/>
      </w:r>
    </w:p>
    <w:p w14:paraId="623AE19C">
      <w:pPr>
        <w:tabs>
          <w:tab w:val="right" w:leader="dot" w:pos="8731"/>
        </w:tabs>
        <w:spacing w:before="0" w:after="0" w:line="240" w:lineRule="auto"/>
        <w:ind w:left="0"/>
      </w:pPr>
      <w:r>
        <w:fldChar w:fldCharType="end"/>
      </w:r>
    </w:p>
    <w:p w14:paraId="449E6D0B">
      <w:r>
        <w:br w:type="page"/>
      </w:r>
    </w:p>
    <w:p w14:paraId="444931B1">
      <w:pPr>
        <w:pStyle w:val="2"/>
      </w:pPr>
      <w:bookmarkStart w:id="0" w:name="_Toc1147394467"/>
      <w:r>
        <w:rPr>
          <w:rFonts w:ascii="黑体" w:hAnsi="黑体" w:eastAsia="黑体" w:cs="黑体"/>
          <w:b/>
          <w:color w:val="000000"/>
          <w:sz w:val="28"/>
        </w:rPr>
        <w:t>1．课题来源及研究的目的和意义</w:t>
      </w:r>
      <w:bookmarkEnd w:id="0"/>
    </w:p>
    <w:p w14:paraId="5244ADAC">
      <w:pPr>
        <w:pStyle w:val="3"/>
      </w:pPr>
      <w:bookmarkStart w:id="1" w:name="_Toc2003140456"/>
      <w:r>
        <w:rPr>
          <w:rFonts w:ascii="黑体" w:hAnsi="黑体" w:eastAsia="黑体" w:cs="黑体"/>
          <w:b/>
          <w:color w:val="000000"/>
          <w:sz w:val="24"/>
        </w:rPr>
        <w:t>1.1 课题来源</w:t>
      </w:r>
      <w:bookmarkEnd w:id="1"/>
    </w:p>
    <w:p w14:paraId="0068B391">
      <w:pPr>
        <w:ind w:firstLine="420"/>
        <w:jc w:val="both"/>
      </w:pPr>
      <w:r>
        <w:t xml:space="preserve">本课题面向大语言模型后训练中的工具调用能力，研究在线策略蒸馏在有限教师反馈下如何保留关键训练信号。学生在自身生成的前缀上接受教师监督；当反馈压缩为 Top-K 时，尾部总概率与影响函数选择的具体 token 可能被遗漏。研究将诊断这两类信息损失，并检验决策感知的尾部保真蒸馏方案在效果、稳定性和成本上的适用边界。</w:t>
      </w:r>
    </w:p>
    <w:p w14:paraId="4589AFE8">
      <w:pPr>
        <w:ind w:firstLine="420"/>
        <w:jc w:val="both"/>
      </w:pPr>
      <w:r>
        <w:t xml:space="preserve">研究计划采用 Qwen3-0.6B 作为 LoRA 学生、冻结的 Qwen3-4B 作为教师，从公开 Function Calling 数据筛选单轮样本。完整词表与常规 Top-K 提供参照，已有尾部类别方法提供直接基线；拟研究的方法在关键位置补入学生高概率的决策候选，并按风险分配固定反馈预算。模型版本、数据来源、划分和实际硬件条件在实验前统一记录。</w:t>
      </w:r>
    </w:p>
    <w:p w14:paraId="38DF9D6D">
      <w:pPr>
        <w:pStyle w:val="3"/>
      </w:pPr>
      <w:bookmarkStart w:id="2" w:name="_Toc680509973"/>
      <w:r>
        <w:rPr>
          <w:rFonts w:ascii="黑体" w:hAnsi="黑体" w:eastAsia="黑体" w:cs="黑体"/>
          <w:b/>
          <w:color w:val="000000"/>
          <w:sz w:val="24"/>
        </w:rPr>
        <w:t>1.2 研究背景</w:t>
      </w:r>
      <w:bookmarkEnd w:id="2"/>
    </w:p>
    <w:p w14:paraId="1E7E09AB">
      <w:pPr>
        <w:ind w:firstLine="420"/>
        <w:jc w:val="both"/>
      </w:pPr>
      <w:r>
        <w:t>大语言模型通过大规模预训练获得语言规律和知识表示，再借助后训练形成指令遵循、结构化输出、推理与工具使用能力。知识蒸馏利用教师模型的软分布，为学生提供比硬标签更丰富的训练信号。Hinton 等人阐述了温度缩放与软目标的基本思想[1]，序列级知识蒸馏则进一步使用教师生成的序列训练学生[2]。不过，蒸馏收益取决于具体任务、师生模型和训练协议；当训练数据或教师轨迹与学生推理时实际访问的状态不一致时，监督效果也会受到限制。</w:t>
      </w:r>
    </w:p>
    <w:p w14:paraId="4CD1AD20">
      <w:pPr>
        <w:ind w:firstLine="420"/>
        <w:jc w:val="both"/>
      </w:pPr>
      <w:r>
        <w:t>Function Calling 要求大语言模型按照给定接口生成结构化的函数调用。Gorilla/APIBench 关注 API 文档理解、函数选择和参数正确性[22]，API-Bank 则将工具检索、调用规划与执行结果纳入统一基准[23]。这些研究将 Function Calling 能力细分为函数选择、结构化参数生成、调用顺序和结果利用等环节，也为分析不同后训练方法提供了清晰的任务载体。</w:t>
      </w:r>
    </w:p>
    <w:p w14:paraId="17F46F4A">
      <w:pPr>
        <w:ind w:firstLine="420"/>
        <w:jc w:val="both"/>
      </w:pPr>
      <w:r>
        <w:t>Function Calling 还具备较明确的自动评测条件。给定用户请求、候选函数和调用 schema，可以分别检查函数名称、输出结构、参数键值、类型约束与执行结果。BFCL 将评测扩展到串行调用、并行调用和拒答等场景，并通过结构匹配等方式判断调用是否正确[27]。因此，本课题能够把 token 级分布匹配与端到端任务表现联系起来。</w:t>
      </w:r>
    </w:p>
    <w:p w14:paraId="02610039">
      <w:pPr>
        <w:ind w:firstLine="420"/>
        <w:jc w:val="both"/>
      </w:pPr>
      <w:r>
        <w:t>为便于评测，本文将 Function Calling 拆分为意图与工具选择、结构化参数生成、schema 约束、工具执行和多轮任务完成等环节。同一条样本可能在不同层面出错：模型可以理解用户意图却选错函数，也可能选对函数但遗漏参数，或生成结构正确但取值不符合约束的参数；单次调用正确，也不意味着多轮任务一定完成。这样的拆分与现有工具调用基准的评测维度基本一致[23][27]。</w:t>
      </w:r>
    </w:p>
    <w:p w14:paraId="7AD88161">
      <w:pPr>
        <w:ind w:firstLine="420"/>
        <w:jc w:val="both"/>
      </w:pPr>
      <w:r>
        <w:t>数据准备阶段将依据公开数据的实际字段，统计单轮调用、多工具候选、并行调用、多轮工具结果和无适用工具等任务类型。训练集、验证集与测试集按工具 schema、问题模板和数据来源进行隔离，尽量减少相似样本造成的信息泄漏。</w:t>
      </w:r>
    </w:p>
    <w:p w14:paraId="59356753">
      <w:pPr>
        <w:pStyle w:val="3"/>
      </w:pPr>
      <w:bookmarkStart w:id="3" w:name="_Toc1980695936"/>
      <w:r>
        <w:rPr>
          <w:rFonts w:ascii="黑体" w:hAnsi="黑体" w:eastAsia="黑体" w:cs="黑体"/>
          <w:b/>
          <w:color w:val="000000"/>
          <w:sz w:val="24"/>
        </w:rPr>
        <w:t>1.3 研究目的和意义</w:t>
      </w:r>
      <w:bookmarkEnd w:id="3"/>
    </w:p>
    <w:p w14:paraId="58E876DD">
      <w:pPr>
        <w:ind w:firstLine="420"/>
        <w:jc w:val="both"/>
      </w:pPr>
      <w:r>
        <w:t>本课题拟实现以下研究目标：</w:t>
      </w:r>
    </w:p>
    <w:p w14:paraId="6FA8B508">
      <w:pPr>
        <w:pStyle w:val="17"/>
        <w:ind w:firstLine="420"/>
        <w:jc w:val="both"/>
      </w:pPr>
      <w:r>
        <w:t xml:space="preserve">1. 梳理从离线蒸馏、在线策略蒸馏到稀疏教师反馈的研究脉络，明确 Top-K 尾部总量与决策关键 token 两类信息损失。</w:t>
      </w:r>
    </w:p>
    <w:p w14:paraId="6CEC8EBA">
      <w:pPr>
        <w:pStyle w:val="17"/>
        <w:ind w:firstLine="420"/>
        <w:jc w:val="both"/>
      </w:pPr>
      <w:r>
        <w:t xml:space="preserve">2. 建立单轮 Function Calling 的在策略蒸馏流程，在学生前缀上诊断尾部遗漏及其对完整词表梯度和工具调用行为的影响。</w:t>
      </w:r>
    </w:p>
    <w:p w14:paraId="1582C878">
      <w:pPr>
        <w:pStyle w:val="17"/>
        <w:ind w:firstLine="420"/>
        <w:jc w:val="both"/>
      </w:pPr>
      <w:r>
        <w:t xml:space="preserve">3. 研究决策感知的尾部保真蒸馏候选方法，以同预算对照和组件消融检验其任务效果、训练稳定性与额外资源成本。</w:t>
      </w:r>
    </w:p>
    <w:p w14:paraId="1280B22F">
      <w:pPr>
        <w:ind w:firstLine="420"/>
        <w:jc w:val="both"/>
      </w:pPr>
      <w:r>
        <w:t xml:space="preserve">本课题的研究价值在于把稀疏教师反馈的概率误差与结构化工具调用决策联系起来，并探索在固定预算下保留关键监督的具体机制。完整词表散度、固定 Top-K 和已有尾部修正方法构成可核查的对照；候选方法能否改善小模型的函数选择、参数与格式表现，须由真实实验确定。</w:t>
      </w:r>
    </w:p>
    <w:p w14:paraId="486FC300">
      <w:pPr>
        <w:pStyle w:val="2"/>
      </w:pPr>
      <w:bookmarkStart w:id="4" w:name="_Toc1412584205"/>
      <w:r>
        <w:rPr>
          <w:rFonts w:ascii="黑体" w:hAnsi="黑体" w:eastAsia="黑体" w:cs="黑体"/>
          <w:b/>
          <w:color w:val="000000"/>
          <w:sz w:val="28"/>
        </w:rPr>
        <w:t>2．国内外在该方向的研究现状及分析</w:t>
      </w:r>
      <w:bookmarkEnd w:id="4"/>
    </w:p>
    <w:p w14:paraId="4756E8EE">
      <w:pPr>
        <w:pStyle w:val="3"/>
      </w:pPr>
      <w:bookmarkStart w:id="5" w:name="_Toc871015850"/>
      <w:r>
        <w:rPr>
          <w:rFonts w:ascii="黑体" w:hAnsi="黑体" w:eastAsia="黑体" w:cs="黑体"/>
          <w:b/>
          <w:color w:val="000000"/>
          <w:sz w:val="24"/>
        </w:rPr>
        <w:t>2.1 大语言模型后训练和知识蒸馏</w:t>
      </w:r>
      <w:bookmarkEnd w:id="5"/>
    </w:p>
    <w:p w14:paraId="63C19B99">
      <w:pPr>
        <w:ind w:firstLine="420"/>
        <w:jc w:val="both"/>
      </w:pPr>
      <w:r>
        <w:t>为便于比较，本文按训练信号将相关后训练方法划分为监督微调、知识蒸馏、偏好优化和强化学习。监督微调依赖人工或教师构造的目标序列，知识蒸馏利用教师软分布，偏好优化使用回答之间的偏好关系，强化学习则依据环境或任务奖励更新策略。SFT 和序列级蒸馏容易构造结构化数据，但学生推理状态与训练前缀之间仍可能出现偏移[1][2][5]。下文据此分别讨论各类方法的监督来源与优化对象。</w:t>
      </w:r>
    </w:p>
    <w:p w14:paraId="79D4A854">
      <w:pPr>
        <w:ind w:firstLine="420"/>
        <w:jc w:val="both"/>
      </w:pPr>
      <w:r>
        <w:t>知识蒸馏的核心是利用教师输出中的软信息。设教师在某一位置给出分布 p，学生给出分布 q，蒸馏目标可由两者之间的距离定义。与 one-hot 标签相比，软目标保留了教师对多个候选 token 的相对偏好；但在自回归任务中，分布匹配还会受到前缀状态、采样方式和序列长度的影响。f-divergence 视角把多种分布距离纳入统一框架，可用于解释序列级蒸馏目标[6]。</w:t>
      </w:r>
    </w:p>
    <w:p w14:paraId="5630C873">
      <w:pPr>
        <w:ind w:firstLine="420"/>
        <w:jc w:val="both"/>
      </w:pPr>
      <w:r>
        <w:t>国内近期研究已经将讨论推进到大模型的具体后训练与轻量化环节。吴春志等系统比较了全参数、部分参数、新增参数与无参数微调方法在训练开销和任务适配能力上的差异[28]；舒善富等则直接面向代码大模型，采用自适应知识蒸馏协调正向与反向KL散度，以缓解单一散度在不同概率区域的学习偏差[29]。</w:t>
      </w:r>
    </w:p>
    <w:p w14:paraId="582869BE">
      <w:pPr>
        <w:ind w:firstLine="420"/>
        <w:jc w:val="both"/>
      </w:pPr>
      <w:r>
        <w:t>按照训练状态和反馈来源，相关方法可作如下区分：</w:t>
      </w:r>
    </w:p>
    <w:p w14:paraId="5A36676E">
      <w:pPr>
        <w:ind w:firstLine="420"/>
        <w:jc w:val="both"/>
      </w:pPr>
    </w:p>
    <w:p w14:paraId="48CDB1C7">
      <w:pPr>
        <w:keepNext/>
        <w:spacing w:before="80" w:after="80" w:line="240" w:lineRule="auto"/>
        <w:ind w:left="0" w:right="0" w:firstLine="0"/>
        <w:jc w:val="center"/>
      </w:pPr>
      <w:r>
        <w:rPr>
          <w:rFonts w:ascii="Times New Roman" w:hAnsi="Times New Roman" w:eastAsia="Songti SC"/>
          <w:sz w:val="21"/>
        </w:rPr>
        <w:t xml:space="preserve">表 </w:t>
      </w:r>
      <w:bookmarkStart w:id="6" w:name="_RefTable2_1"/>
      <w:r>
        <w:rPr>
          <w:rFonts w:ascii="Times New Roman" w:hAnsi="Times New Roman" w:eastAsia="Songti SC"/>
          <w:sz w:val="21"/>
        </w:rPr>
        <w:t>2-</w:t>
      </w:r>
      <w:r>
        <w:rPr>
          <w:rFonts w:ascii="Times New Roman" w:hAnsi="Times New Roman" w:eastAsia="Songti SC"/>
          <w:sz w:val="21"/>
        </w:rPr>
        <w:fldChar w:fldCharType="begin"/>
      </w:r>
      <w:r>
        <w:rPr>
          <w:rFonts w:ascii="Times New Roman" w:hAnsi="Times New Roman" w:eastAsia="Songti SC"/>
          <w:sz w:val="21"/>
        </w:rPr>
        <w:instrText xml:space="preserve"> SEQ TableCh2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6"/>
      <w:r>
        <w:rPr>
          <w:rFonts w:ascii="Times New Roman" w:hAnsi="Times New Roman" w:eastAsia="Songti SC"/>
          <w:sz w:val="21"/>
        </w:rPr>
        <w:t xml:space="preserve">  后训练方法的状态与监督来源对比</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15"/>
        <w:gridCol w:w="1973"/>
        <w:gridCol w:w="2319"/>
        <w:gridCol w:w="2115"/>
      </w:tblGrid>
      <w:tr w14:paraId="25621ACA">
        <w:trPr>
          <w:tblHeader/>
        </w:trPr>
        <w:tc>
          <w:tcPr>
            <w:tcW w:w="4148" w:type="dxa"/>
          </w:tcPr>
          <w:p w14:paraId="4AC86784">
            <w:pPr>
              <w:ind w:firstLine="0"/>
              <w:jc w:val="left"/>
            </w:pPr>
            <w:r>
              <w:rPr>
                <w:b/>
              </w:rPr>
              <w:t>方法类别</w:t>
            </w:r>
          </w:p>
        </w:tc>
        <w:tc>
          <w:tcPr>
            <w:tcW w:w="4148" w:type="dxa"/>
          </w:tcPr>
          <w:p w14:paraId="30076F5E">
            <w:pPr>
              <w:ind w:firstLine="0"/>
              <w:jc w:val="left"/>
            </w:pPr>
            <w:r>
              <w:rPr>
                <w:b/>
              </w:rPr>
              <w:t>学生训练时的主要状态</w:t>
            </w:r>
          </w:p>
        </w:tc>
        <w:tc>
          <w:tcPr>
            <w:tcW w:w="4148" w:type="dxa"/>
          </w:tcPr>
          <w:p w14:paraId="3D0E28BB">
            <w:pPr>
              <w:ind w:firstLine="0"/>
              <w:jc w:val="left"/>
            </w:pPr>
            <w:r>
              <w:rPr>
                <w:b/>
              </w:rPr>
              <w:t>监督或奖励来源</w:t>
            </w:r>
          </w:p>
        </w:tc>
        <w:tc>
          <w:tcPr>
            <w:tcW w:w="4148" w:type="dxa"/>
          </w:tcPr>
          <w:p w14:paraId="167F5C97">
            <w:pPr>
              <w:ind w:firstLine="0"/>
              <w:jc w:val="left"/>
            </w:pPr>
            <w:r>
              <w:rPr>
                <w:b/>
              </w:rPr>
              <w:t>对本课题的启发</w:t>
            </w:r>
          </w:p>
        </w:tc>
      </w:tr>
      <w:tr w14:paraId="02C0E921">
        <w:tc>
          <w:tcPr>
            <w:tcW w:w="4148" w:type="dxa"/>
          </w:tcPr>
          <w:p w14:paraId="2AED74AE">
            <w:pPr>
              <w:ind w:firstLine="0"/>
              <w:jc w:val="left"/>
            </w:pPr>
            <w:r>
              <w:t>SFT/离线蒸馏</w:t>
            </w:r>
          </w:p>
        </w:tc>
        <w:tc>
          <w:tcPr>
            <w:tcW w:w="4148" w:type="dxa"/>
          </w:tcPr>
          <w:p w14:paraId="1D0C6309">
            <w:pPr>
              <w:ind w:firstLine="0"/>
              <w:jc w:val="left"/>
            </w:pPr>
            <w:r>
              <w:t>数据或教师示范前缀</w:t>
            </w:r>
          </w:p>
        </w:tc>
        <w:tc>
          <w:tcPr>
            <w:tcW w:w="4148" w:type="dxa"/>
          </w:tcPr>
          <w:p w14:paraId="66CED08E">
            <w:pPr>
              <w:ind w:firstLine="0"/>
              <w:jc w:val="left"/>
            </w:pPr>
            <w:r>
              <w:t>硬标签、教师序列或软分布</w:t>
            </w:r>
          </w:p>
        </w:tc>
        <w:tc>
          <w:tcPr>
            <w:tcW w:w="4148" w:type="dxa"/>
          </w:tcPr>
          <w:p w14:paraId="12C21A15">
            <w:pPr>
              <w:ind w:firstLine="0"/>
              <w:jc w:val="left"/>
            </w:pPr>
            <w:r>
              <w:t>作为分析 OPD 分布偏移问题的对照</w:t>
            </w:r>
          </w:p>
        </w:tc>
      </w:tr>
      <w:tr w14:paraId="72F129EE">
        <w:tc>
          <w:tcPr>
            <w:tcW w:w="4148" w:type="dxa"/>
          </w:tcPr>
          <w:p w14:paraId="1394DE27">
            <w:pPr>
              <w:ind w:firstLine="0"/>
              <w:jc w:val="left"/>
            </w:pPr>
            <w:r>
              <w:t>模仿学习式蒸馏</w:t>
            </w:r>
          </w:p>
        </w:tc>
        <w:tc>
          <w:tcPr>
            <w:tcW w:w="4148" w:type="dxa"/>
          </w:tcPr>
          <w:p w14:paraId="12DC5B34">
            <w:pPr>
              <w:ind w:firstLine="0"/>
              <w:jc w:val="left"/>
            </w:pPr>
            <w:r>
              <w:t>学生访问的部分状态</w:t>
            </w:r>
          </w:p>
        </w:tc>
        <w:tc>
          <w:tcPr>
            <w:tcW w:w="4148" w:type="dxa"/>
          </w:tcPr>
          <w:p w14:paraId="4256DCDE">
            <w:pPr>
              <w:ind w:firstLine="0"/>
              <w:jc w:val="left"/>
            </w:pPr>
            <w:r>
              <w:t>专家动作或教师反馈</w:t>
            </w:r>
          </w:p>
        </w:tc>
        <w:tc>
          <w:tcPr>
            <w:tcW w:w="4148" w:type="dxa"/>
          </w:tcPr>
          <w:p w14:paraId="7B6D34ED">
            <w:pPr>
              <w:ind w:firstLine="0"/>
              <w:jc w:val="left"/>
            </w:pPr>
            <w:r>
              <w:t>说明教师为何需要在学生前缀上提供反馈</w:t>
            </w:r>
          </w:p>
        </w:tc>
      </w:tr>
      <w:tr w14:paraId="0AEBC808">
        <w:tc>
          <w:tcPr>
            <w:tcW w:w="4148" w:type="dxa"/>
          </w:tcPr>
          <w:p w14:paraId="5626CA6B">
            <w:pPr>
              <w:ind w:firstLine="0"/>
              <w:jc w:val="left"/>
            </w:pPr>
            <w:r>
              <w:t>OPD</w:t>
            </w:r>
          </w:p>
        </w:tc>
        <w:tc>
          <w:tcPr>
            <w:tcW w:w="4148" w:type="dxa"/>
          </w:tcPr>
          <w:p w14:paraId="4A297CA7">
            <w:pPr>
              <w:ind w:firstLine="0"/>
              <w:jc w:val="left"/>
            </w:pPr>
            <w:r>
              <w:t>学生自身生成轨迹</w:t>
            </w:r>
          </w:p>
        </w:tc>
        <w:tc>
          <w:tcPr>
            <w:tcW w:w="4148" w:type="dxa"/>
          </w:tcPr>
          <w:p w14:paraId="26ADA3E2">
            <w:pPr>
              <w:ind w:firstLine="0"/>
              <w:jc w:val="left"/>
            </w:pPr>
            <w:r>
              <w:t>教师 token 分布或 log-prob</w:t>
            </w:r>
          </w:p>
        </w:tc>
        <w:tc>
          <w:tcPr>
            <w:tcW w:w="4148" w:type="dxa"/>
          </w:tcPr>
          <w:p w14:paraId="11E7E14B">
            <w:pPr>
              <w:ind w:firstLine="0"/>
              <w:jc w:val="left"/>
            </w:pPr>
            <w:r>
              <w:t>本课题的主要研究对象</w:t>
            </w:r>
          </w:p>
        </w:tc>
      </w:tr>
      <w:tr w14:paraId="6867B21F">
        <w:tc>
          <w:tcPr>
            <w:tcW w:w="4148" w:type="dxa"/>
          </w:tcPr>
          <w:p w14:paraId="1C6E59DC">
            <w:pPr>
              <w:ind w:firstLine="0"/>
              <w:jc w:val="left"/>
            </w:pPr>
            <w:r>
              <w:t>偏好优化/RL</w:t>
            </w:r>
          </w:p>
        </w:tc>
        <w:tc>
          <w:tcPr>
            <w:tcW w:w="4148" w:type="dxa"/>
          </w:tcPr>
          <w:p w14:paraId="5BFE3E11">
            <w:pPr>
              <w:ind w:firstLine="0"/>
              <w:jc w:val="left"/>
            </w:pPr>
            <w:r>
              <w:t>学生采样或离线偏好状态</w:t>
            </w:r>
          </w:p>
        </w:tc>
        <w:tc>
          <w:tcPr>
            <w:tcW w:w="4148" w:type="dxa"/>
          </w:tcPr>
          <w:p w14:paraId="4B2F00AC">
            <w:pPr>
              <w:ind w:firstLine="0"/>
              <w:jc w:val="left"/>
            </w:pPr>
            <w:r>
              <w:t>偏好关系、环境奖励</w:t>
            </w:r>
          </w:p>
        </w:tc>
        <w:tc>
          <w:tcPr>
            <w:tcW w:w="4148" w:type="dxa"/>
          </w:tcPr>
          <w:p w14:paraId="75606103">
            <w:pPr>
              <w:ind w:firstLine="0"/>
              <w:jc w:val="left"/>
            </w:pPr>
            <w:r>
              <w:t>用于区分密集教师反馈与稀疏奖励</w:t>
            </w:r>
          </w:p>
        </w:tc>
      </w:tr>
    </w:tbl>
    <w:p w14:paraId="43527EF3">
      <w:pPr>
        <w:ind w:firstLine="420" w:firstLineChars="0"/>
        <w:jc w:val="both"/>
      </w:pPr>
      <w:r>
        <w:t>实际系统既可以先进行 SFT、再实施 OPD，也可以同时引入教师反馈与任务奖励。本文聚焦 LoRA-OPD 路线，主要研究学生策略采样、教师分布反馈、散度方向和监督信息粒度；RLHF、DPO 等方法仅用于说明相关背景。</w:t>
      </w:r>
    </w:p>
    <w:p w14:paraId="0CA6A73A">
      <w:pPr>
        <w:spacing w:before="0" w:after="0" w:line="360" w:lineRule="auto"/>
        <w:ind w:firstLine="420"/>
        <w:jc w:val="both"/>
      </w:pPr>
      <w:r>
        <w:rPr>
          <w:rFonts w:ascii="Times New Roman" w:hAnsi="Times New Roman" w:eastAsia="宋体"/>
          <w:sz w:val="24"/>
        </w:rPr>
        <w:t>经典知识蒸馏通过温度缩放揭示教师分布中类别之间的相对关系[1]。Kim 和 Rush 随后把蒸馏扩展到序列级目标，用教师生成的序列替代或补充原始标签[2]。这些工作奠定了生成模型蒸馏的基本范式，但其训练样本通常来自固定语料或教师轨迹，学生在实际推理中产生的前缀仍未充分进入训练分布。</w:t>
      </w:r>
    </w:p>
    <w:p w14:paraId="4D703704">
      <w:pPr>
        <w:spacing w:before="0" w:after="0" w:line="360" w:lineRule="auto"/>
        <w:ind w:firstLine="420"/>
        <w:jc w:val="both"/>
      </w:pPr>
      <w:r>
        <w:rPr>
          <w:rFonts w:ascii="Times New Roman" w:hAnsi="Times New Roman" w:eastAsia="宋体"/>
          <w:sz w:val="24"/>
        </w:rPr>
        <w:t>DAgger 揭示了模仿学习中与语言生成高度相关的误差累积问题：学习器在部署时依据自身预测不断推进状态，早期错误会改变后续输入分布，使离线监督逐步失效[3]。ImitKD 将这一思想引入神经机器翻译，在学生生成的状态上查询教师并开展交互式蒸馏[4]。因此，在线策略蒸馏的关键并非单纯使用更强的教师，而是让教师在学生真正会访问的序列状态上提供监督。</w:t>
      </w:r>
    </w:p>
    <w:p w14:paraId="24D76E42">
      <w:pPr>
        <w:pStyle w:val="3"/>
      </w:pPr>
      <w:bookmarkStart w:id="7" w:name="_Toc1914852998"/>
      <w:r>
        <w:rPr>
          <w:rFonts w:ascii="黑体" w:hAnsi="黑体" w:eastAsia="黑体" w:cs="黑体"/>
          <w:b/>
          <w:color w:val="000000"/>
          <w:sz w:val="24"/>
        </w:rPr>
        <w:t>2.2 分布偏移与在线策略蒸馏</w:t>
      </w:r>
      <w:bookmarkEnd w:id="7"/>
    </w:p>
    <w:p w14:paraId="7027805E">
      <w:pPr>
        <w:ind w:firstLine="420"/>
        <w:jc w:val="both"/>
      </w:pPr>
      <w:r>
        <w:t>自回归模型训练时通常读取参考序列前缀，推理时却只能依赖自身生成的前缀。DAgger 在学生到访状态上查询专家标签[3]，ImitKD 将这一思路用于自回归知识蒸馏[4]。OPD 延续了相同的基本动机，并把专家反馈从离散动作扩展为教师模型的 token 分布或对数概率。</w:t>
      </w:r>
    </w:p>
    <w:p w14:paraId="6D834263">
      <w:pPr>
        <w:ind w:firstLine="420"/>
        <w:jc w:val="both"/>
      </w:pPr>
      <w:r>
        <w:t>GKD 在学生自生成的错误上进行蒸馏，并比较不同生成方式和散度设置[7]；MiniLLM 从序列级目标出发讨论 Reverse KL 的模式选择特性[8]；DistiLLM 通过 skew KL 与样本复用探索效果和成本之间的平衡[9]。SWITCH 进一步指出，学生生成序列可能包含噪声或偏差，并通过选择性教师介入改善长序列蒸馏[10]。</w:t>
      </w:r>
    </w:p>
    <w:p w14:paraId="6F1DB8D0">
      <w:pPr>
        <w:ind w:firstLine="420"/>
        <w:jc w:val="both"/>
      </w:pPr>
      <w:r>
        <w:t>近期研究把 OPD 的关注点推进到效率、稳定性和监督适配。前缀蒸馏表明，较短的学生生成前缀可以保留主要训练信号并显著降低计算量[11]；Veto 通过重构目标分布抑制低置信度 token 上的有害梯度，并在性能与多样性之间进行调节[12]；PromptKD 则从学生友好监督的角度改善教师知识的可学习性[13]。TACL 的模型压缩综述和 ACL 的蒸馏设计空间研究进一步说明，知识蒸馏需要同时考虑目标函数、师生能力差距和计算预算[14][15]。</w:t>
      </w:r>
    </w:p>
    <w:p w14:paraId="29B55A45">
      <w:pPr>
        <w:ind w:firstLine="420"/>
        <w:jc w:val="both"/>
      </w:pPr>
      <w:r>
        <w:t>为形成可比较的实验框架，本文从三个层面描述 OPD：训练状态是否由学生生成，教师是否在学生前缀上评分，以及蒸馏目标如何把采样结果转化为训练信号。GKD 的 token 级比较、MiniLLM 的序列级目标和 DistiLLM 的样本复用机制在这些层面上各有侧重，因此实验记录将分别说明散度定义及其估计方式。</w:t>
      </w:r>
    </w:p>
    <w:p w14:paraId="4737EE54">
      <w:pPr>
        <w:ind w:firstLine="420"/>
        <w:jc w:val="both"/>
      </w:pPr>
      <w:r>
        <w:t>教师能力能否有效传递，还取决于师生模型的兼容程度。推理模式、输出格式或工具调用习惯的差异会改变教师在学生状态上提供的信号，学生容量也会限制其吸收完整教师分布的能力。SWITCH、PromptKD 与稳定化 OPD 的研究分别从学生轨迹噪声、学生友好监督和目标重构角度说明，教师更强并不等于监督天然有效[10][12][13]。这些结论为本文分析师生分布重叠与格式错误提供了依据。</w:t>
      </w:r>
    </w:p>
    <w:p w14:paraId="5333E2F1">
      <w:pPr>
        <w:spacing w:before="0" w:after="0" w:line="360" w:lineRule="auto"/>
        <w:ind w:firstLine="420"/>
        <w:jc w:val="both"/>
      </w:pPr>
      <w:r>
        <w:rPr>
          <w:rFonts w:ascii="Times New Roman" w:hAnsi="Times New Roman" w:eastAsia="宋体"/>
          <w:sz w:val="24"/>
        </w:rPr>
        <w:t>在线策略蒸馏改变的不只是教师 logits 所对应的数据批次，更重要的是训练状态的来源。GKD 允许学生在训练过程中生成序列，并在这些到访状态上接受教师分布监督，同时把传统 Forward KL 扩展为可配置的散度族[7]。MiniLLM 采用 Reverse KL 的序列级目标，使学生更集中地拟合与自身轨迹相容的教师高概率区域[8]。DistiLLM 进一步利用 skew KL 和自适应采样缓和纯 Reverse KL 的模式选择倾向，并讨论教师反馈的复用效率[9]。这些工作表明，状态分布、散度方向和教师信息获取方式是彼此关联但不可互相替代的设计变量。</w:t>
      </w:r>
    </w:p>
    <w:p w14:paraId="2D5A62DC">
      <w:pPr>
        <w:spacing w:before="0" w:after="0" w:line="360" w:lineRule="auto"/>
        <w:ind w:firstLine="420"/>
        <w:jc w:val="both"/>
      </w:pPr>
      <w:r>
        <w:rPr>
          <w:rFonts w:ascii="Times New Roman" w:hAnsi="Times New Roman" w:eastAsia="宋体"/>
          <w:sz w:val="24"/>
        </w:rPr>
        <w:t>研究重点也逐渐从“是否使用学生生成数据”转向“哪些学生状态值得接受教师监督”。前缀蒸馏通过缩短学生轨迹降低在线采样成本[11]，稳定化 OPD 则针对早期训练中的噪声反馈和异常梯度重新构造目标[12]。PromptKD 说明教师输出是否适合学生学习同样会影响蒸馏效果[13]。因此，本文不把 OPD 视为单一算法，而把它作为一个受控实验框架，在相同数据、模型、预算和评测协议下分别考察状态分布、散度目标和监督粒度。</w:t>
      </w:r>
    </w:p>
    <w:p w14:paraId="6975A843">
      <w:pPr>
        <w:pStyle w:val="3"/>
      </w:pPr>
      <w:bookmarkStart w:id="8" w:name="_Toc744403444"/>
      <w:r>
        <w:rPr>
          <w:rFonts w:ascii="黑体" w:hAnsi="黑体" w:eastAsia="黑体" w:cs="黑体"/>
          <w:b/>
          <w:color w:val="000000"/>
          <w:sz w:val="24"/>
        </w:rPr>
        <w:t>2.3 KL 散度方向与广义散度</w:t>
      </w:r>
      <w:bookmarkEnd w:id="8"/>
    </w:p>
    <w:p w14:paraId="696D2E03">
      <w:pPr>
        <w:ind w:firstLine="420"/>
        <w:jc w:val="both"/>
      </w:pPr>
      <w:r>
        <w:t xml:space="preserve">KL 散度由 Kullback 和 Leibler 在信息论研究中提出[17]。令 </w:t>
      </w:r>
      <m:oMath>
        <m:sSub>
          <m:sSubPr>
            <m:ctrlPr>
              <w:rPr>
                <w:rFonts w:hint="default" w:ascii="DejaVu Math TeX Gyre" w:hAnsi="DejaVu Math TeX Gyre"/>
                <w:sz w:val="24"/>
              </w:rPr>
            </m:ctrlPr>
          </m:sSubPr>
          <m:e>
            <m:r>
              <m:rPr/>
              <w:rPr>
                <w:rFonts w:hint="default" w:ascii="DejaVu Math TeX Gyre" w:hAnsi="DejaVu Math TeX Gyre"/>
                <w:sz w:val="24"/>
              </w:rPr>
              <m:t>p</m:t>
            </m:r>
            <m:ctrlPr>
              <w:rPr>
                <w:rFonts w:ascii="DejaVu Math TeX Gyre" w:hAnsi="DejaVu Math TeX Gyre"/>
                <w:sz w:val="24"/>
              </w:rPr>
            </m:ctrlPr>
          </m:e>
          <m:sub>
            <m:r>
              <m:rPr/>
              <w:rPr>
                <w:rFonts w:hint="default" w:ascii="DejaVu Math TeX Gyre" w:hAnsi="DejaVu Math TeX Gyre"/>
                <w:sz w:val="24"/>
              </w:rPr>
              <m:t>T</m:t>
            </m:r>
            <m:ctrlPr>
              <w:rPr>
                <w:rFonts w:ascii="DejaVu Math TeX Gyre" w:hAnsi="DejaVu Math TeX Gyre"/>
                <w:sz w:val="24"/>
              </w:rPr>
            </m:ctrlPr>
          </m:sub>
        </m:sSub>
      </m:oMath>
      <w:r>
        <w:t xml:space="preserve"> 与 </w:t>
      </w:r>
      <m:oMath>
        <m:sSub>
          <m:sSubPr>
            <m:ctrlPr>
              <w:rPr>
                <w:rFonts w:hint="default" w:ascii="DejaVu Math TeX Gyre" w:hAnsi="DejaVu Math TeX Gyre"/>
                <w:sz w:val="24"/>
              </w:rPr>
            </m:ctrlPr>
          </m:sSubPr>
          <m:e>
            <m:r>
              <m:rPr/>
              <w:rPr>
                <w:rFonts w:hint="default" w:ascii="DejaVu Math TeX Gyre" w:hAnsi="DejaVu Math TeX Gyre"/>
                <w:sz w:val="24"/>
              </w:rPr>
              <m:t>p</m:t>
            </m:r>
            <m:ctrlPr>
              <w:rPr>
                <w:rFonts w:ascii="DejaVu Math TeX Gyre" w:hAnsi="DejaVu Math TeX Gyre"/>
                <w:sz w:val="24"/>
              </w:rPr>
            </m:ctrlPr>
          </m:e>
          <m:sub>
            <m:r>
              <m:rPr/>
              <w:rPr>
                <w:rFonts w:hint="default" w:ascii="DejaVu Math TeX Gyre" w:hAnsi="DejaVu Math TeX Gyre"/>
                <w:sz w:val="24"/>
              </w:rPr>
              <m:t>S</m:t>
            </m:r>
            <m:ctrlPr>
              <w:rPr>
                <w:rFonts w:ascii="DejaVu Math TeX Gyre" w:hAnsi="DejaVu Math TeX Gyre"/>
                <w:sz w:val="24"/>
              </w:rPr>
            </m:ctrlPr>
          </m:sub>
        </m:sSub>
      </m:oMath>
      <w:r>
        <w:t xml:space="preserve"> 分别表示教师分布和学生分布，Forward KL 与 Reverse KL 定义为：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707F908">
        <w:trPr>
          <w:cantSplit/>
          <w:jc w:val="center"/>
        </w:trPr>
        <w:tc>
          <w:tcPr>
            <w:tcW w:w="650" w:type="dxa"/>
            <w:tcMar>
              <w:top w:w="0" w:type="dxa"/>
              <w:left w:w="0" w:type="dxa"/>
              <w:bottom w:w="0" w:type="dxa"/>
              <w:right w:w="0" w:type="dxa"/>
            </w:tcMar>
            <w:vAlign w:val="center"/>
          </w:tcPr>
          <w:p w14:paraId="47330E62">
            <w:pPr>
              <w:spacing w:before="0" w:after="0"/>
              <w:jc w:val="left"/>
            </w:pPr>
          </w:p>
        </w:tc>
        <w:tc>
          <w:tcPr>
            <w:tcW w:w="7006" w:type="dxa"/>
            <w:tcMar>
              <w:top w:w="0" w:type="dxa"/>
              <w:left w:w="0" w:type="dxa"/>
              <w:bottom w:w="0" w:type="dxa"/>
              <w:right w:w="0" w:type="dxa"/>
            </w:tcMar>
            <w:vAlign w:val="center"/>
          </w:tcPr>
          <w:p w14:paraId="17A328F2">
            <w:pPr>
              <w:spacing w:before="0" w:after="0"/>
              <w:jc w:val="center"/>
            </w:pPr>
            <m:oMathPara>
              <m:oMath>
                <m:sSub>
                  <m:sSubPr/>
                  <m:e>
                    <m:r>
                      <m:rPr/>
                      <m:t>D</m:t>
                    </m:r>
                  </m:e>
                  <m:sub>
                    <m:r>
                      <m:rPr>
                        <m:sty m:val="p"/>
                      </m:rPr>
                      <m:t>FKL</m:t>
                    </m:r>
                  </m:sub>
                </m:sSub>
                <m:d>
                  <m:dPr>
                    <m:sepChr m:val=","/>
                  </m:dPr>
                  <m:e>
                    <m:sSub>
                      <m:sSubPr/>
                      <m:e>
                        <m:r>
                          <m:rPr/>
                          <m:t>p</m:t>
                        </m:r>
                      </m:e>
                      <m:sub>
                        <m:r>
                          <m:rPr/>
                          <m:t>T</m:t>
                        </m:r>
                      </m:sub>
                    </m:sSub>
                    <m:r>
                      <m:rPr/>
                      <m:t>∥</m:t>
                    </m:r>
                    <m:sSub>
                      <m:sSubPr/>
                      <m:e>
                        <m:r>
                          <m:rPr/>
                          <m:t>p</m:t>
                        </m:r>
                      </m:e>
                      <m:sub>
                        <m:r>
                          <m:rPr/>
                          <m:t>S</m:t>
                        </m:r>
                      </m:sub>
                    </m:sSub>
                  </m:e>
                </m:d>
                <m:r>
                  <m:rPr/>
                  <m:t>=</m:t>
                </m:r>
                <m:nary>
                  <m:naryPr>
                    <m:chr m:val="∑"/>
                    <m:grow m:val="1"/>
                    <m:limLoc m:val="subSup"/>
                    <m:supHide m:val="1"/>
                  </m:naryPr>
                  <m:sub>
                    <m:r>
                      <m:rPr/>
                      <m:t>v∈</m:t>
                    </m:r>
                    <m:r>
                      <m:rPr>
                        <m:scr m:val="script"/>
                      </m:rPr>
                      <m:t>V</m:t>
                    </m:r>
                  </m:sub>
                  <m:sup/>
                  <m:e>
                    <m:sSub>
                      <m:sSubPr/>
                      <m:e>
                        <m:r>
                          <m:rPr/>
                          <m:t>p</m:t>
                        </m:r>
                      </m:e>
                      <m:sub>
                        <m:r>
                          <m:rPr/>
                          <m:t>T</m:t>
                        </m:r>
                      </m:sub>
                    </m:sSub>
                    <m:d>
                      <m:dPr>
                        <m:sepChr m:val=","/>
                      </m:dPr>
                      <m:e>
                        <m:r>
                          <m:rPr/>
                          <m:t>v</m:t>
                        </m:r>
                      </m:e>
                    </m:d>
                  </m:e>
                </m:nary>
                <m:r>
                  <m:rPr>
                    <m:sty m:val="p"/>
                  </m:rPr>
                  <m:t>log</m:t>
                </m:r>
                <m:d>
                  <m:dPr>
                    <m:sepChr m:val=","/>
                  </m:dPr>
                  <m:e>
                    <m:f>
                      <m:fPr/>
                      <m:num>
                        <m:sSub>
                          <m:sSubPr/>
                          <m:e>
                            <m:r>
                              <m:rPr/>
                              <m:t>p</m:t>
                            </m:r>
                          </m:e>
                          <m:sub>
                            <m:r>
                              <m:rPr/>
                              <m:t>T</m:t>
                            </m:r>
                          </m:sub>
                        </m:sSub>
                        <m:d>
                          <m:dPr>
                            <m:sepChr m:val=","/>
                          </m:dPr>
                          <m:e>
                            <m:r>
                              <m:rPr/>
                              <m:t>v</m:t>
                            </m:r>
                          </m:e>
                        </m:d>
                      </m:num>
                      <m:den>
                        <m:sSub>
                          <m:sSubPr/>
                          <m:e>
                            <m:r>
                              <m:rPr/>
                              <m:t>p</m:t>
                            </m:r>
                          </m:e>
                          <m:sub>
                            <m:r>
                              <m:rPr/>
                              <m:t>S</m:t>
                            </m:r>
                          </m:sub>
                        </m:sSub>
                        <m:d>
                          <m:dPr>
                            <m:sepChr m:val=","/>
                          </m:dPr>
                          <m:e>
                            <m:r>
                              <m:rPr/>
                              <m:t>v</m:t>
                            </m:r>
                          </m:e>
                        </m:d>
                      </m:den>
                    </m:f>
                  </m:e>
                </m:d>
              </m:oMath>
            </m:oMathPara>
          </w:p>
        </w:tc>
        <w:tc>
          <w:tcPr>
            <w:tcW w:w="650" w:type="dxa"/>
            <w:tcMar>
              <w:top w:w="0" w:type="dxa"/>
              <w:left w:w="0" w:type="dxa"/>
              <w:bottom w:w="0" w:type="dxa"/>
              <w:right w:w="0" w:type="dxa"/>
            </w:tcMar>
            <w:vAlign w:val="center"/>
          </w:tcPr>
          <w:p w14:paraId="4AD843DA">
            <w:pPr>
              <w:spacing w:before="0" w:after="0"/>
              <w:jc w:val="right"/>
            </w:pPr>
            <w:bookmarkStart w:id="9" w:name="_RefEq2_1"/>
            <w:r>
              <w:t>(2-</w:t>
            </w:r>
            <w:r>
              <w:fldChar w:fldCharType="begin"/>
            </w:r>
            <w:r>
              <w:instrText xml:space="preserve"> SEQ Eq2 \* ARABIC </w:instrText>
            </w:r>
            <w:r>
              <w:fldChar w:fldCharType="separate"/>
            </w:r>
            <w:r>
              <w:t>1</w:t>
            </w:r>
            <w:r>
              <w:fldChar w:fldCharType="end"/>
            </w:r>
            <w:r>
              <w:t>)</w:t>
            </w:r>
            <w:bookmarkEnd w:id="9"/>
          </w:p>
        </w:tc>
      </w:tr>
      <w:tr w14:paraId="5A552B1E">
        <w:trPr>
          <w:cantSplit/>
          <w:jc w:val="center"/>
        </w:trPr>
        <w:tc>
          <w:tcPr>
            <w:tcW w:w="650" w:type="dxa"/>
            <w:tcMar>
              <w:top w:w="0" w:type="dxa"/>
              <w:left w:w="0" w:type="dxa"/>
              <w:bottom w:w="0" w:type="dxa"/>
              <w:right w:w="0" w:type="dxa"/>
            </w:tcMar>
            <w:vAlign w:val="center"/>
          </w:tcPr>
          <w:p w14:paraId="7254F6A6">
            <w:pPr>
              <w:spacing w:before="0" w:after="0"/>
              <w:jc w:val="left"/>
            </w:pPr>
          </w:p>
        </w:tc>
        <w:tc>
          <w:tcPr>
            <w:tcW w:w="7006" w:type="dxa"/>
            <w:tcMar>
              <w:top w:w="0" w:type="dxa"/>
              <w:left w:w="0" w:type="dxa"/>
              <w:bottom w:w="0" w:type="dxa"/>
              <w:right w:w="0" w:type="dxa"/>
            </w:tcMar>
            <w:vAlign w:val="center"/>
          </w:tcPr>
          <w:p w14:paraId="60871991">
            <w:pPr>
              <w:spacing w:before="0" w:after="0"/>
              <w:jc w:val="center"/>
            </w:pPr>
            <m:oMathPara>
              <m:oMath>
                <m:sSub>
                  <m:sSubPr/>
                  <m:e>
                    <m:r>
                      <m:rPr/>
                      <m:t>D</m:t>
                    </m:r>
                  </m:e>
                  <m:sub>
                    <m:r>
                      <m:rPr>
                        <m:sty m:val="p"/>
                      </m:rPr>
                      <m:t>RKL</m:t>
                    </m:r>
                  </m:sub>
                </m:sSub>
                <m:d>
                  <m:dPr>
                    <m:sepChr m:val=","/>
                  </m:dPr>
                  <m:e>
                    <m:sSub>
                      <m:sSubPr/>
                      <m:e>
                        <m:r>
                          <m:rPr/>
                          <m:t>p</m:t>
                        </m:r>
                      </m:e>
                      <m:sub>
                        <m:r>
                          <m:rPr/>
                          <m:t>S</m:t>
                        </m:r>
                      </m:sub>
                    </m:sSub>
                    <m:r>
                      <m:rPr/>
                      <m:t>∥</m:t>
                    </m:r>
                    <m:sSub>
                      <m:sSubPr/>
                      <m:e>
                        <m:r>
                          <m:rPr/>
                          <m:t>p</m:t>
                        </m:r>
                      </m:e>
                      <m:sub>
                        <m:r>
                          <m:rPr/>
                          <m:t>T</m:t>
                        </m:r>
                      </m:sub>
                    </m:sSub>
                  </m:e>
                </m:d>
                <m:r>
                  <m:rPr/>
                  <m:t>=</m:t>
                </m:r>
                <m:nary>
                  <m:naryPr>
                    <m:chr m:val="∑"/>
                    <m:grow m:val="1"/>
                    <m:limLoc m:val="subSup"/>
                    <m:supHide m:val="1"/>
                  </m:naryPr>
                  <m:sub>
                    <m:r>
                      <m:rPr/>
                      <m:t>v∈</m:t>
                    </m:r>
                    <m:r>
                      <m:rPr>
                        <m:scr m:val="script"/>
                      </m:rPr>
                      <m:t>V</m:t>
                    </m:r>
                  </m:sub>
                  <m:sup/>
                  <m:e>
                    <m:sSub>
                      <m:sSubPr/>
                      <m:e>
                        <m:r>
                          <m:rPr/>
                          <m:t>p</m:t>
                        </m:r>
                      </m:e>
                      <m:sub>
                        <m:r>
                          <m:rPr/>
                          <m:t>S</m:t>
                        </m:r>
                      </m:sub>
                    </m:sSub>
                    <m:d>
                      <m:dPr>
                        <m:sepChr m:val=","/>
                      </m:dPr>
                      <m:e>
                        <m:r>
                          <m:rPr/>
                          <m:t>v</m:t>
                        </m:r>
                      </m:e>
                    </m:d>
                  </m:e>
                </m:nary>
                <m:r>
                  <m:rPr>
                    <m:sty m:val="p"/>
                  </m:rPr>
                  <m:t>log</m:t>
                </m:r>
                <m:d>
                  <m:dPr>
                    <m:sepChr m:val=","/>
                  </m:dPr>
                  <m:e>
                    <m:f>
                      <m:fPr/>
                      <m:num>
                        <m:sSub>
                          <m:sSubPr/>
                          <m:e>
                            <m:r>
                              <m:rPr/>
                              <m:t>p</m:t>
                            </m:r>
                          </m:e>
                          <m:sub>
                            <m:r>
                              <m:rPr/>
                              <m:t>S</m:t>
                            </m:r>
                          </m:sub>
                        </m:sSub>
                        <m:d>
                          <m:dPr>
                            <m:sepChr m:val=","/>
                          </m:dPr>
                          <m:e>
                            <m:r>
                              <m:rPr/>
                              <m:t>v</m:t>
                            </m:r>
                          </m:e>
                        </m:d>
                      </m:num>
                      <m:den>
                        <m:sSub>
                          <m:sSubPr/>
                          <m:e>
                            <m:r>
                              <m:rPr/>
                              <m:t>p</m:t>
                            </m:r>
                          </m:e>
                          <m:sub>
                            <m:r>
                              <m:rPr/>
                              <m:t>T</m:t>
                            </m:r>
                          </m:sub>
                        </m:sSub>
                        <m:d>
                          <m:dPr>
                            <m:sepChr m:val=","/>
                          </m:dPr>
                          <m:e>
                            <m:r>
                              <m:rPr/>
                              <m:t>v</m:t>
                            </m:r>
                          </m:e>
                        </m:d>
                      </m:den>
                    </m:f>
                  </m:e>
                </m:d>
              </m:oMath>
            </m:oMathPara>
          </w:p>
        </w:tc>
        <w:tc>
          <w:tcPr>
            <w:tcW w:w="650" w:type="dxa"/>
            <w:tcMar>
              <w:top w:w="0" w:type="dxa"/>
              <w:left w:w="0" w:type="dxa"/>
              <w:bottom w:w="0" w:type="dxa"/>
              <w:right w:w="0" w:type="dxa"/>
            </w:tcMar>
            <w:vAlign w:val="center"/>
          </w:tcPr>
          <w:p w14:paraId="6141DF6C">
            <w:pPr>
              <w:spacing w:before="0" w:after="0"/>
              <w:jc w:val="right"/>
            </w:pPr>
            <w:bookmarkStart w:id="10" w:name="_RefEq2_2"/>
            <w:r>
              <w:t>(2-</w:t>
            </w:r>
            <w:r>
              <w:fldChar w:fldCharType="begin"/>
            </w:r>
            <w:r>
              <w:instrText xml:space="preserve"> SEQ Eq2 \* ARABIC </w:instrText>
            </w:r>
            <w:r>
              <w:fldChar w:fldCharType="separate"/>
            </w:r>
            <w:r>
              <w:t>2</w:t>
            </w:r>
            <w:r>
              <w:fldChar w:fldCharType="end"/>
            </w:r>
            <w:r>
              <w:t>)</w:t>
            </w:r>
            <w:bookmarkEnd w:id="10"/>
          </w:p>
        </w:tc>
      </w:tr>
    </w:tbl>
    <w:p w14:paraId="491E25B6">
      <w:pPr>
        <w:ind w:firstLine="420"/>
        <w:jc w:val="both"/>
      </w:pPr>
      <w:r>
        <w:t>Forward KL 以教师概率加权，倾向于要求学生覆盖教师分布中的多个高质量区域；Reverse KL 以学生概率加权，更关注学生自身可能生成的区域。文献常用 mode-covering 和 mode-seeking 概括两者的倾向，但这只是解释生成行为的启发式描述，实际训练结果还取决于模型容量、温度、采样策略和支持集[7][8]。</w:t>
      </w:r>
    </w:p>
    <w:p w14:paraId="5283D502">
      <w:pPr>
        <w:ind w:firstLine="420"/>
        <w:jc w:val="both"/>
      </w:pPr>
      <w:r>
        <w:t>广义散度可在不同的分布匹配偏好之间进行调节。Jensen-Shannon 散度由教师分布、学生分布及其混合分布定义，形式如下[18]：</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3E04EA2B">
        <w:trPr>
          <w:cantSplit/>
          <w:jc w:val="center"/>
        </w:trPr>
        <w:tc>
          <w:tcPr>
            <w:tcW w:w="650" w:type="dxa"/>
            <w:tcMar>
              <w:top w:w="0" w:type="dxa"/>
              <w:left w:w="0" w:type="dxa"/>
              <w:bottom w:w="0" w:type="dxa"/>
              <w:right w:w="0" w:type="dxa"/>
            </w:tcMar>
            <w:vAlign w:val="center"/>
          </w:tcPr>
          <w:p w14:paraId="249782E5">
            <w:pPr>
              <w:spacing w:before="0" w:after="0"/>
              <w:jc w:val="left"/>
            </w:pPr>
          </w:p>
        </w:tc>
        <w:tc>
          <w:tcPr>
            <w:tcW w:w="7006" w:type="dxa"/>
            <w:tcMar>
              <w:top w:w="0" w:type="dxa"/>
              <w:left w:w="0" w:type="dxa"/>
              <w:bottom w:w="0" w:type="dxa"/>
              <w:right w:w="0" w:type="dxa"/>
            </w:tcMar>
            <w:vAlign w:val="center"/>
          </w:tcPr>
          <w:p w14:paraId="045B128C">
            <w:pPr>
              <w:spacing w:before="0" w:after="0"/>
              <w:jc w:val="center"/>
            </w:pPr>
            <m:oMathPara>
              <m:oMath>
                <m:r>
                  <m:rPr/>
                  <m:t>m=</m:t>
                </m:r>
                <m:f>
                  <m:fPr/>
                  <m:num>
                    <m:sSub>
                      <m:sSubPr/>
                      <m:e>
                        <m:r>
                          <m:rPr/>
                          <m:t>p</m:t>
                        </m:r>
                      </m:e>
                      <m:sub>
                        <m:r>
                          <m:rPr/>
                          <m:t>T</m:t>
                        </m:r>
                      </m:sub>
                    </m:sSub>
                    <m:r>
                      <m:rPr/>
                      <m:t>+</m:t>
                    </m:r>
                    <m:sSub>
                      <m:sSubPr/>
                      <m:e>
                        <m:r>
                          <m:rPr/>
                          <m:t>p</m:t>
                        </m:r>
                      </m:e>
                      <m:sub>
                        <m:r>
                          <m:rPr/>
                          <m:t>S</m:t>
                        </m:r>
                      </m:sub>
                    </m:sSub>
                  </m:num>
                  <m:den>
                    <m:r>
                      <m:rPr/>
                      <m:t>2</m:t>
                    </m:r>
                  </m:den>
                </m:f>
              </m:oMath>
            </m:oMathPara>
          </w:p>
        </w:tc>
        <w:tc>
          <w:tcPr>
            <w:tcW w:w="650" w:type="dxa"/>
            <w:tcMar>
              <w:top w:w="0" w:type="dxa"/>
              <w:left w:w="0" w:type="dxa"/>
              <w:bottom w:w="0" w:type="dxa"/>
              <w:right w:w="0" w:type="dxa"/>
            </w:tcMar>
            <w:vAlign w:val="center"/>
          </w:tcPr>
          <w:p w14:paraId="6D5591E8">
            <w:pPr>
              <w:spacing w:before="0" w:after="0"/>
              <w:jc w:val="right"/>
            </w:pPr>
            <w:bookmarkStart w:id="11" w:name="_RefEq2_3"/>
            <w:r>
              <w:t>(2-</w:t>
            </w:r>
            <w:r>
              <w:fldChar w:fldCharType="begin"/>
            </w:r>
            <w:r>
              <w:instrText xml:space="preserve"> SEQ Eq2 \* ARABIC </w:instrText>
            </w:r>
            <w:r>
              <w:fldChar w:fldCharType="separate"/>
            </w:r>
            <w:r>
              <w:t>3</w:t>
            </w:r>
            <w:r>
              <w:fldChar w:fldCharType="end"/>
            </w:r>
            <w:r>
              <w:t>)</w:t>
            </w:r>
            <w:bookmarkEnd w:id="11"/>
          </w:p>
        </w:tc>
      </w:tr>
      <w:tr w14:paraId="286E985D">
        <w:trPr>
          <w:cantSplit/>
          <w:jc w:val="center"/>
        </w:trPr>
        <w:tc>
          <w:tcPr>
            <w:tcW w:w="650" w:type="dxa"/>
            <w:tcMar>
              <w:top w:w="0" w:type="dxa"/>
              <w:left w:w="0" w:type="dxa"/>
              <w:bottom w:w="0" w:type="dxa"/>
              <w:right w:w="0" w:type="dxa"/>
            </w:tcMar>
            <w:vAlign w:val="center"/>
          </w:tcPr>
          <w:p w14:paraId="2062F0C6">
            <w:pPr>
              <w:spacing w:before="0" w:after="0"/>
              <w:jc w:val="left"/>
            </w:pPr>
          </w:p>
        </w:tc>
        <w:tc>
          <w:tcPr>
            <w:tcW w:w="7006" w:type="dxa"/>
            <w:tcMar>
              <w:top w:w="0" w:type="dxa"/>
              <w:left w:w="0" w:type="dxa"/>
              <w:bottom w:w="0" w:type="dxa"/>
              <w:right w:w="0" w:type="dxa"/>
            </w:tcMar>
            <w:vAlign w:val="center"/>
          </w:tcPr>
          <w:p w14:paraId="5EDA0931">
            <w:pPr>
              <w:spacing w:before="0" w:after="0"/>
              <w:jc w:val="center"/>
            </w:pPr>
            <m:oMathPara>
              <m:oMath>
                <m:sSub>
                  <m:sSubPr/>
                  <m:e>
                    <m:r>
                      <m:rPr/>
                      <m:t>D</m:t>
                    </m:r>
                  </m:e>
                  <m:sub>
                    <m:r>
                      <m:rPr>
                        <m:sty m:val="p"/>
                      </m:rPr>
                      <m:t>JS</m:t>
                    </m:r>
                  </m:sub>
                </m:sSub>
                <m:d>
                  <m:dPr>
                    <m:sepChr m:val=","/>
                  </m:dPr>
                  <m:e>
                    <m:sSub>
                      <m:sSubPr/>
                      <m:e>
                        <m:r>
                          <m:rPr/>
                          <m:t>p</m:t>
                        </m:r>
                      </m:e>
                      <m:sub>
                        <m:r>
                          <m:rPr/>
                          <m:t>T</m:t>
                        </m:r>
                      </m:sub>
                    </m:sSub>
                    <m:r>
                      <m:rPr/>
                      <m:t>,</m:t>
                    </m:r>
                    <m:sSub>
                      <m:sSubPr/>
                      <m:e>
                        <m:r>
                          <m:rPr/>
                          <m:t>p</m:t>
                        </m:r>
                      </m:e>
                      <m:sub>
                        <m:r>
                          <m:rPr/>
                          <m:t>S</m:t>
                        </m:r>
                      </m:sub>
                    </m:sSub>
                  </m:e>
                </m:d>
                <m:r>
                  <m:rPr/>
                  <m:t>=</m:t>
                </m:r>
                <m:f>
                  <m:fPr/>
                  <m:num>
                    <m:r>
                      <m:rPr/>
                      <m:t>1</m:t>
                    </m:r>
                  </m:num>
                  <m:den>
                    <m:r>
                      <m:rPr/>
                      <m:t>2</m:t>
                    </m:r>
                  </m:den>
                </m:f>
                <m:sSub>
                  <m:sSubPr/>
                  <m:e>
                    <m:r>
                      <m:rPr/>
                      <m:t>D</m:t>
                    </m:r>
                  </m:e>
                  <m:sub>
                    <m:r>
                      <m:rPr>
                        <m:sty m:val="p"/>
                      </m:rPr>
                      <m:t>KL</m:t>
                    </m:r>
                  </m:sub>
                </m:sSub>
                <m:d>
                  <m:dPr>
                    <m:sepChr m:val=","/>
                  </m:dPr>
                  <m:e>
                    <m:sSub>
                      <m:sSubPr/>
                      <m:e>
                        <m:r>
                          <m:rPr/>
                          <m:t>p</m:t>
                        </m:r>
                      </m:e>
                      <m:sub>
                        <m:r>
                          <m:rPr/>
                          <m:t>T</m:t>
                        </m:r>
                      </m:sub>
                    </m:sSub>
                    <m:r>
                      <m:rPr/>
                      <m:t>∥m</m:t>
                    </m:r>
                  </m:e>
                </m:d>
                <m:r>
                  <m:rPr/>
                  <m:t>+</m:t>
                </m:r>
                <m:f>
                  <m:fPr/>
                  <m:num>
                    <m:r>
                      <m:rPr/>
                      <m:t>1</m:t>
                    </m:r>
                  </m:num>
                  <m:den>
                    <m:r>
                      <m:rPr/>
                      <m:t>2</m:t>
                    </m:r>
                  </m:den>
                </m:f>
                <m:sSub>
                  <m:sSubPr/>
                  <m:e>
                    <m:r>
                      <m:rPr/>
                      <m:t>D</m:t>
                    </m:r>
                  </m:e>
                  <m:sub>
                    <m:r>
                      <m:rPr>
                        <m:sty m:val="p"/>
                      </m:rPr>
                      <m:t>KL</m:t>
                    </m:r>
                  </m:sub>
                </m:sSub>
                <m:d>
                  <m:dPr>
                    <m:sepChr m:val=","/>
                  </m:dPr>
                  <m:e>
                    <m:sSub>
                      <m:sSubPr/>
                      <m:e>
                        <m:r>
                          <m:rPr/>
                          <m:t>p</m:t>
                        </m:r>
                      </m:e>
                      <m:sub>
                        <m:r>
                          <m:rPr/>
                          <m:t>S</m:t>
                        </m:r>
                      </m:sub>
                    </m:sSub>
                    <m:r>
                      <m:rPr/>
                      <m:t>∥m</m:t>
                    </m:r>
                  </m:e>
                </m:d>
              </m:oMath>
            </m:oMathPara>
          </w:p>
        </w:tc>
        <w:tc>
          <w:tcPr>
            <w:tcW w:w="650" w:type="dxa"/>
            <w:tcMar>
              <w:top w:w="0" w:type="dxa"/>
              <w:left w:w="0" w:type="dxa"/>
              <w:bottom w:w="0" w:type="dxa"/>
              <w:right w:w="0" w:type="dxa"/>
            </w:tcMar>
            <w:vAlign w:val="center"/>
          </w:tcPr>
          <w:p w14:paraId="73532EC7">
            <w:pPr>
              <w:spacing w:before="0" w:after="0"/>
              <w:jc w:val="right"/>
            </w:pPr>
            <w:bookmarkStart w:id="12" w:name="_RefEq2_4"/>
            <w:r>
              <w:t>(2-</w:t>
            </w:r>
            <w:r>
              <w:fldChar w:fldCharType="begin"/>
            </w:r>
            <w:r>
              <w:instrText xml:space="preserve"> SEQ Eq2 \* ARABIC </w:instrText>
            </w:r>
            <w:r>
              <w:fldChar w:fldCharType="separate"/>
            </w:r>
            <w:r>
              <w:t>4</w:t>
            </w:r>
            <w:r>
              <w:fldChar w:fldCharType="end"/>
            </w:r>
            <w:r>
              <w:t>)</w:t>
            </w:r>
            <w:bookmarkEnd w:id="12"/>
          </w:p>
        </w:tc>
      </w:tr>
    </w:tbl>
    <w:p w14:paraId="38927FB6">
      <w:pPr>
        <w:ind w:firstLine="420"/>
        <w:jc w:val="both"/>
      </w:pPr>
      <w:r>
        <w:t>本文选取 JSD、skew KL 等代表性目标，比较它们在教师分布覆盖、学生高概率区域和训练稳定性方面的差异。实验配置将完整记录目标函数、混合参数、支持集以及 K1 估计方式。</w:t>
      </w:r>
    </w:p>
    <w:p w14:paraId="13AF46E7">
      <w:pPr>
        <w:ind w:firstLine="420"/>
        <w:jc w:val="both"/>
      </w:pPr>
      <w:r>
        <w:t>散度方向在 Function Calling 中可能对应不同的生成行为。面对同一用户请求，教师可能为多个函数或不同参数表达赋予合理概率；Forward KL 更强调覆盖这些候选区域，Reverse KL 更关注学生已经形成的高概率选择，广义散度则在二者之间调节。实验将从工具选择、参数生成、格式正确性和拒答行为四个方面分析这种差异。</w:t>
      </w:r>
    </w:p>
    <w:p w14:paraId="59F60855">
      <w:pPr>
        <w:ind w:firstLine="420"/>
        <w:jc w:val="both"/>
      </w:pPr>
      <w:r>
        <w:t>教师信息的保留范围和估计方式会改变实际优化的对象。全词表方案保留有效位置上的完整教师分布；Top-K 方案仅保留指定支持集中的高概率信息，并明确截断后的重归一化与支持集外概率处理；K1 sampled-token 则用单个采样 token 估计相应期望。比较时将同时记录信息覆盖范围、教师前向次数、学生生成量、训练资源与任务指标。</w:t>
      </w:r>
    </w:p>
    <w:p w14:paraId="58810188">
      <w:pPr>
        <w:spacing w:before="0" w:after="0" w:line="360" w:lineRule="auto"/>
        <w:ind w:firstLine="420"/>
        <w:jc w:val="both"/>
      </w:pPr>
      <w:r>
        <w:rPr>
          <w:rFonts w:ascii="Times New Roman" w:hAnsi="Times New Roman" w:eastAsia="宋体"/>
          <w:sz w:val="24"/>
        </w:rPr>
        <w:t>从分布几何看，只要教师对某个 token 赋予不可忽略的概率，Forward KL 就会对学生过低的概率施加较大惩罚，因此具有覆盖倾向；Reverse KL 更强调学生当前支持集中的概率质量，更新容易集中到少数高概率模式。前者有利于保留教师分布中次优但合理的候选，后者在学生容量有限时可能更符合“优先学会最可能答案”的资源分配方式[8][9]。不过，温度、序列长度、有效 token mask 和支持集截断方式都会影响这种差异，不能只根据损失名称推断最终表现。</w:t>
      </w:r>
    </w:p>
    <w:p w14:paraId="63D91097">
      <w:pPr>
        <w:spacing w:before="0" w:after="0" w:line="360" w:lineRule="auto"/>
        <w:ind w:firstLine="420"/>
        <w:jc w:val="both"/>
      </w:pPr>
      <w:r>
        <w:rPr>
          <w:rFonts w:ascii="Times New Roman" w:hAnsi="Times New Roman" w:eastAsia="宋体"/>
          <w:sz w:val="24"/>
        </w:rPr>
        <w:t>广义散度为分布覆盖与模式选择提供了连续的折中空间。GKD 用可调散度族统一若干常见目标[7]，DistiLLM 通过 skew KL 调节两种偏好[9]，稳定化 OPD 则说明目标分布的构造会直接影响低置信度 token 上的梯度和生成多样性[12]。对小模型而言，Top-K 截断后的重归一化、教师概率下界、混合精度下的 log-sum-exp 和序列 mask 都会改变梯度尺度。本文将散度定义、支持集协议和稳定化实现一并记录，使结论能够追溯到具体计算过程。</w:t>
      </w:r>
    </w:p>
    <w:p w14:paraId="423F288F">
      <w:pPr>
        <w:pStyle w:val="3"/>
      </w:pPr>
      <w:bookmarkStart w:id="13" w:name="_Toc2096439533"/>
      <w:r>
        <w:rPr>
          <w:rFonts w:ascii="黑体" w:hAnsi="黑体" w:eastAsia="黑体" w:cs="黑体"/>
          <w:b/>
          <w:color w:val="000000"/>
          <w:sz w:val="24"/>
        </w:rPr>
        <w:t>2.4 监督信息粒度与资源效率</w:t>
      </w:r>
      <w:bookmarkEnd w:id="13"/>
    </w:p>
    <w:p w14:paraId="4D88B3D8">
      <w:pPr>
        <w:ind w:firstLine="420"/>
        <w:jc w:val="both"/>
      </w:pPr>
      <w:r>
        <w:t xml:space="preserve">在线策略蒸馏把教师监督带到学生真实访问的前缀上[7]，却也使教师需要在大量生成位置返回分布。完整词表反馈保留全部候选的相对关系，存储和传输开销随词表及序列长度增长。Top-K 只保留少量高概率候选，K1 sampled-token 则以单样本估计进一步压缩反馈。前缀蒸馏和蒸馏设计空间研究表明，反馈预算已经成为在线方法能否实施的重要约束[11][15]。</w:t>
      </w:r>
    </w:p>
    <w:p w14:paraId="4D26498B">
      <w:pPr>
        <w:ind w:firstLine="420"/>
        <w:jc w:val="both"/>
      </w:pPr>
      <w:r>
        <w:t xml:space="preserve">稀疏反馈改变了训练目标。Sparse Logit Sampling 指出，直接缓存教师 Top-K 会产生有偏的分布估计[30]。TA-OPD 进一步发现，当师生都在教师 Top-K 内归一化时，目标忽略支持集外的总概率，学生尾部概率与熵可能在训练中上升；该工作用一个尾部类别保留剩余概率总量[31]。TT-OPD 与 ResOPD 则利用采样残差修正稀疏估计[32][34]。尾部总量的补偿已有明确先行工作。</w:t>
      </w:r>
    </w:p>
    <w:p w14:paraId="7BE9DE7C">
      <w:pPr>
        <w:spacing w:before="0" w:after="0" w:line="360" w:lineRule="auto"/>
        <w:ind w:firstLine="420"/>
        <w:jc w:val="both"/>
      </w:pPr>
      <w:r>
        <w:rPr>
          <w:rFonts w:ascii="Times New Roman" w:hAnsi="Times New Roman" w:eastAsia="宋体"/>
          <w:sz w:val="24"/>
        </w:rPr>
        <w:t xml:space="preserve">另一类信息损失与总概率大小无关。Shen 等在多教师工具调用蒸馏中发现，即使教师 Top-K 覆盖几乎全部教师概率，也可能漏掉学生高估的工具调用入口 token；该坐标的修正会改变完整调用行为[33]。质量覆盖率因此无法单独衡量决策梯度是否完整。尾部类别可以约束“其余 token 合计多少概率”，但无法区分尾部中哪一个函数入口或结构 token 应被单独修正。</w:t>
      </w:r>
    </w:p>
    <w:p w14:paraId="3028239A">
      <w:pPr>
        <w:spacing w:before="0" w:after="0" w:line="360" w:lineRule="auto"/>
        <w:ind w:firstLine="420"/>
        <w:jc w:val="both"/>
      </w:pPr>
      <w:r>
        <w:rPr>
          <w:rFonts w:ascii="Times New Roman" w:hAnsi="Times New Roman" w:eastAsia="宋体"/>
          <w:sz w:val="24"/>
        </w:rPr>
        <w:t xml:space="preserve">现有工作分别处理了尾部总量、估计偏差和遗漏的学生候选[31][32][33][34]。对单教师、单轮 Function Calling 而言，关键问题进一步落在资源分配上：哪些生成位置需要显式保留低教师概率、高学生概率的决策 token，哪些位置可使用较小的支持集？全局增大 K 会提高反馈成本，仅按教师累计概率选 K 仍可能漏掉学生偏好的关键坐标。本文因此把位置风险、候选保留和反馈预算放入同一个方法设计。</w:t>
      </w:r>
    </w:p>
    <w:p w14:paraId="2ED621A1">
      <w:pPr>
        <w:pStyle w:val="3"/>
      </w:pPr>
      <w:bookmarkStart w:id="14" w:name="_Toc1095034802"/>
      <w:r>
        <w:rPr>
          <w:rFonts w:ascii="黑体" w:hAnsi="黑体" w:eastAsia="黑体" w:cs="黑体"/>
          <w:b/>
          <w:color w:val="000000"/>
          <w:sz w:val="24"/>
        </w:rPr>
        <w:t>2.5 Function Calling 数据与评测研究</w:t>
      </w:r>
      <w:bookmarkEnd w:id="14"/>
    </w:p>
    <w:p w14:paraId="2320FC66">
      <w:pPr>
        <w:ind w:firstLine="420"/>
        <w:jc w:val="both"/>
      </w:pPr>
      <w:r>
        <w:t>ReAct 将语言模型的推理过程与外部行动交替组织，为工具增强模型提供了通用范式[21]。围绕 Function Calling，现有研究又形成了从 API 文档理解、函数检索和调用规划到执行评测的多条路线：Gorilla/APIBench 关注 API 文档与调用正确性[22]；API-Bank 覆盖工具规划、API 检索和调用[23]；ToolLLM/ToolBench 构造了大量与真实 API 相关的任务，并讨论多工具与多步调用[24]；APIGen 强调可执行 API、格式检查和语义验证[25]；ToolACE 则利用 API 池和多层检查生成多样化的函数调用数据[26]。</w:t>
      </w:r>
    </w:p>
    <w:p w14:paraId="41ED9722">
      <w:pPr>
        <w:ind w:firstLine="420"/>
        <w:jc w:val="both"/>
      </w:pPr>
      <w:r>
        <w:t>本文将从公开 Function Calling 数据中筛选训练样本。APIGen、ToolACE、API-Bank 和 ToolBench 可为数据来源选择、任务分类和评测设计提供参考。数据准备阶段将记录数据快照、许可证、字段映射、过滤规则、重复样本处理方式，以及与独立测试集的重叠检查结果。</w:t>
      </w:r>
    </w:p>
    <w:p w14:paraId="651AE3DD">
      <w:pPr>
        <w:ind w:firstLine="420"/>
        <w:jc w:val="both"/>
      </w:pPr>
      <w:r>
        <w:t>公开数据进入训练流程前，需要通过结构、语义和执行三类检查。结构检查关注工具 schema、函数名、参数类型和目标调用能否统一解析；语义检查判断用户问题与目标工具、目标参数是否一致；执行检查验证调用能否在本地模拟环境中运行，并产生可供后续对话使用的结果。APIGen 和 ToolACE 的多层检查方法为这一审计流程提供了参考[25][26]。</w:t>
      </w:r>
    </w:p>
    <w:p w14:paraId="034FA389">
      <w:pPr>
        <w:ind w:firstLine="420"/>
        <w:jc w:val="both"/>
      </w:pPr>
      <w:r>
        <w:t>训练集与测试集还应避免工具 schema、用户问题模板和目标调用的重复。如果训练数据与 BFCL 或其他独立测试集共享相同的 API 定义，模型表现可能来自记忆而非泛化；即使工具名称不同，只要参数结构高度相似，也应在分析中说明潜在泄漏。最终的数据审计报告将保存字段统计、异常类别、去重规则和版本指纹。</w:t>
      </w:r>
    </w:p>
    <w:p w14:paraId="6145C566">
      <w:pPr>
        <w:ind w:firstLine="420"/>
        <w:jc w:val="both"/>
      </w:pPr>
      <w:r>
        <w:t>BFCL 覆盖结构化调用、并行调用、串行调用和拒答等场景[27]。本文将结合公开 Function Calling 测试规范与自建模拟函数，分别评估格式合法率、函数选择准确率、参数准确率、调用执行成功率和端到端任务成功率。</w:t>
      </w:r>
    </w:p>
    <w:p w14:paraId="0C0F1F38">
      <w:pPr>
        <w:spacing w:before="0" w:after="0" w:line="360" w:lineRule="auto"/>
        <w:ind w:firstLine="420"/>
        <w:jc w:val="both"/>
      </w:pPr>
      <w:r>
        <w:rPr>
          <w:rFonts w:ascii="Times New Roman" w:hAnsi="Times New Roman" w:eastAsia="宋体"/>
          <w:sz w:val="24"/>
        </w:rPr>
        <w:t>Function Calling 数据经历了从少量人工接口描述到大规模合成、执行校验和难例生成的发展。Gorilla 关注 API 检索与调用生成[22]；API-Bank 与 ToolLLM/ToolBench 将多工具、多轮交互和工具学习过程纳入数据构造[23][24]；APIGen 强调可验证的数据生成流程[25]；ToolACE 进一步扩展了工具类型和调用模式[26]。这些数据集在 schema 形式、参数约束、对话模板和可执行性上并不完全一致，直接拼接容易把模板差异误判为模型能力差异。因此，字段映射、去重、可解析性检查和 schema 一致性审计是方法比较的必要前提。</w:t>
      </w:r>
    </w:p>
    <w:p w14:paraId="44C1FF56">
      <w:pPr>
        <w:spacing w:before="0" w:after="0" w:line="360" w:lineRule="auto"/>
        <w:ind w:firstLine="420"/>
        <w:jc w:val="both"/>
      </w:pPr>
      <w:r>
        <w:rPr>
          <w:rFonts w:ascii="Times New Roman" w:hAnsi="Times New Roman" w:eastAsia="宋体"/>
          <w:sz w:val="24"/>
        </w:rPr>
        <w:t>在评测方面，Berkeley Function Calling Leaderboard 通过真实与合成场景检验函数选择、参数生成及多轮调用能力，为统一测试提供了较成熟的任务划分[27]。但总体准确率会掩盖具体错误来源：模型可能选错函数、遗漏必需参数、生成无法解析的 JSON，或在无需调用时过度调用。本文将在统一解码协议下分层统计结构合法率、函数选择正确率、参数级正确性和端到端成功率，并把训练效率、推理吞吐与显存占用纳入分析。这样既能对应公开评测，也能解释不同蒸馏目标和监督粒度产生差异的原因。</w:t>
      </w:r>
    </w:p>
    <w:p w14:paraId="58E976CF">
      <w:pPr>
        <w:spacing w:before="0" w:after="0" w:line="360" w:lineRule="auto"/>
        <w:ind w:firstLine="420"/>
        <w:jc w:val="both"/>
      </w:pPr>
      <w:r>
        <w:rPr>
          <w:rFonts w:ascii="Times New Roman" w:hAnsi="Times New Roman" w:eastAsia="宋体"/>
          <w:sz w:val="24"/>
        </w:rPr>
        <w:t xml:space="preserve">Function Calling 提供了检验稀疏反馈价值的可观察结果。函数入口和函数名决定是否调用工具及调用哪一个工具，参数键、结构符号和参数值分别影响 schema 合法性、解析与执行。公开数据和 BFCL 等评测允许把这些错误分开统计[25][26][27]。本文将词表层面的尾部质量与梯度误差，最终对应到函数误选、过度调用、格式错误和端到端成功率，建立从概率压缩到实际行为的证据链。</w:t>
      </w:r>
    </w:p>
    <w:p w14:paraId="7D373851">
      <w:pPr>
        <w:pStyle w:val="3"/>
      </w:pPr>
      <w:bookmarkStart w:id="15" w:name="_Toc315062424"/>
      <w:r>
        <w:rPr>
          <w:rFonts w:ascii="黑体" w:hAnsi="黑体" w:eastAsia="黑体" w:cs="黑体"/>
          <w:b/>
          <w:color w:val="000000"/>
          <w:sz w:val="24"/>
        </w:rPr>
        <w:t>2.6 现有方法的问题与本文的研究切入点</w:t>
      </w:r>
      <w:bookmarkEnd w:id="15"/>
    </w:p>
    <w:p w14:paraId="671E03D8">
      <w:pPr>
        <w:ind w:firstLine="420"/>
        <w:jc w:val="both"/>
      </w:pPr>
      <w:r>
        <w:t xml:space="preserve">相关研究呈现清晰的演进：OPD 解决教师监督与学生访问状态之间的错位[7]；Top-K 使分布反馈更易存储与传输[11][15]；随后研究指出，压缩会遗漏尾部总量，也可能遗漏改变工具调用决策的具体 token[30][31][33]。前者关系到目标分布，后者关系到行为路径。已有尾部类别和采样修正处理了总量或估计问题[31][32][34]，已有学生感知支持集揭示了关键坐标的作用[33]。它们在本课题单教师工具调用场景中的风险大小及成本边界仍需实证确定。</w:t>
      </w:r>
    </w:p>
    <w:p w14:paraId="0A9C58A2">
      <w:pPr>
        <w:ind w:firstLine="420"/>
        <w:jc w:val="both"/>
      </w:pPr>
      <w:r>
        <w:t xml:space="preserve">本文聚焦有限反馈下的决策保真，拟研究“决策感知的尾部保真在线蒸馏”。先在学生工具调用前缀上测量尾部总量和决策 token 漏选，再把学生高概率、教师 Top-K 未覆盖的关键候选补入支持集；其余词表用尾部类别保留总概率，并按位置风险分配固定反馈预算。该联合机制相对于现有方法的价值，须由完整词表梯度、同预算训练和实际调用结果检验，目前仍是待验证假设。</w:t>
      </w:r>
    </w:p>
    <w:p w14:paraId="779437DC">
      <w:pPr>
        <w:pStyle w:val="2"/>
      </w:pPr>
      <w:bookmarkStart w:id="16" w:name="_Toc1706970313"/>
      <w:r>
        <w:rPr>
          <w:rFonts w:ascii="黑体" w:hAnsi="黑体" w:eastAsia="黑体" w:cs="黑体"/>
          <w:b/>
          <w:color w:val="000000"/>
          <w:sz w:val="28"/>
        </w:rPr>
        <w:t>3．主要研究内容</w:t>
      </w:r>
      <w:bookmarkEnd w:id="16"/>
    </w:p>
    <w:p w14:paraId="6D3F1612">
      <w:pPr>
        <w:pStyle w:val="3"/>
      </w:pPr>
      <w:bookmarkStart w:id="17" w:name="_Toc816010318"/>
      <w:r>
        <w:rPr>
          <w:rFonts w:ascii="黑体" w:hAnsi="黑体" w:eastAsia="黑体" w:cs="黑体"/>
          <w:b/>
          <w:color w:val="000000"/>
          <w:sz w:val="24"/>
        </w:rPr>
        <w:t xml:space="preserve">3.1 研究目标概述</w:t>
      </w:r>
      <w:bookmarkEnd w:id="17"/>
    </w:p>
    <w:p w14:paraId="71C6F5B5">
      <w:pPr>
        <w:ind w:firstLine="420"/>
        <w:jc w:val="both"/>
      </w:pPr>
      <w:r>
        <w:t xml:space="preserve">本课题研究一个问题：有限教师反馈能否保留真正影响工具调用的蒸馏信号？拟研究的改进是“决策感知的尾部保真在线蒸馏”——在学生真实访问的前缀上补入被教师 Top-K 漏掉的关键决策 token，保留支持集外的总概率，并将有限反馈优先分配给高风险位置。相关方法的来龙去脉已在第 2 部分交代；本部分直接给出研究问题、候选方案与验证路径。</w:t>
      </w:r>
    </w:p>
    <w:p w14:paraId="1EEDD05E">
      <w:pPr>
        <w:pStyle w:val="3"/>
      </w:pPr>
      <w:bookmarkStart w:id="18" w:name="_Toc854844884"/>
      <w:r>
        <w:rPr>
          <w:rFonts w:ascii="黑体" w:hAnsi="黑体" w:eastAsia="黑体" w:cs="黑体"/>
          <w:b/>
          <w:color w:val="000000"/>
          <w:sz w:val="24"/>
        </w:rPr>
        <w:t xml:space="preserve">3.2 拟解决的研究问题</w:t>
      </w:r>
      <w:bookmarkEnd w:id="18"/>
    </w:p>
    <w:p w14:paraId="306F781D">
      <w:pPr>
        <w:ind w:firstLine="420"/>
        <w:jc w:val="both"/>
      </w:pPr>
      <w:r>
        <w:t xml:space="preserve">第一，Top-K 在工具调用的什么位置丢失有效监督？本文分别测量师生尾部总概率差异，以及学生高概率决策 token 被教师 Top-K 漏掉的频率；再对照完整词表梯度和函数调用错误，判断风险是否集中于函数入口、函数名、参数键或结构边界。</w:t>
      </w:r>
    </w:p>
    <w:p w14:paraId="7FDDC4C9">
      <w:pPr>
        <w:ind w:firstLine="420"/>
        <w:jc w:val="both"/>
      </w:pPr>
      <w:r>
        <w:t xml:space="preserve">第二，哪些尾部信息值得保留？尾部类别表示剩余概率总量，显式决策 token 提供具体行为选择的修正。本文检验两种信息分别对梯度方向、训练稳定性和调用结果产生的作用，确定支持集构造所需的最小信息。</w:t>
      </w:r>
    </w:p>
    <w:p w14:paraId="7FDDC4CA">
      <w:pPr>
        <w:ind w:firstLine="420"/>
        <w:jc w:val="both"/>
      </w:pPr>
      <w:r>
        <w:t xml:space="preserve">第三，怎样在固定预算内形成改进？本文依据位置风险分配 K，在关键位置补入遗漏的学生高概率候选，在其他位置使用较小支持集；相同平均反馈量下与固定 K、质量阈值 K 和已有尾部类别方法比较。</w:t>
      </w:r>
    </w:p>
    <w:p w14:paraId="1514E400">
      <w:pPr>
        <w:pStyle w:val="3"/>
      </w:pPr>
      <w:bookmarkStart w:id="19" w:name="_Toc712366958"/>
      <w:r>
        <w:rPr>
          <w:rFonts w:ascii="黑体" w:hAnsi="黑体" w:eastAsia="黑体" w:cs="黑体"/>
          <w:b/>
          <w:color w:val="000000"/>
          <w:sz w:val="24"/>
        </w:rPr>
        <w:t xml:space="preserve">3.3 决策感知的尾部保真蒸馏方法</w:t>
      </w:r>
      <w:bookmarkEnd w:id="19"/>
    </w:p>
    <w:p w14:paraId="6EF7E413">
      <w:pPr>
        <w:ind w:firstLine="420"/>
        <w:jc w:val="both"/>
      </w:pPr>
      <w:r>
        <w:t xml:space="preserve">候选方法包含三个明确操作。其一，学生生成单轮调用后，依据工具 schema 和消息边界标记函数入口、函数名、参数键与结构位置。以教师 Top-K 为初始支持集，在这些决策位置检查学生高概率的合法候选；对教师 Top-K 漏掉、且可能改变调用路径的 token，额外取得教师概率并补入支持集。该操作使学生高估的具体候选进入损失。</w:t>
      </w:r>
    </w:p>
    <w:p w14:paraId="7FDDC4CB">
      <w:pPr>
        <w:ind w:firstLine="420"/>
        <w:jc w:val="both"/>
      </w:pPr>
      <w:r>
        <w:t xml:space="preserve">其二，把补入后支持集之外的师生概率分别合并为尾部类别，与显式保留的 token 共同计算分布损失。尾部类别沿用 TA-OPD 的既有构造[31]，负责约束剩余总量；决策 token 补入负责提供具体选择的修正梯度。两者处理不同的信息缺口，实验将分别移除以检验作用。补入所需的额外教师 logprob 及计算时间单独计量。</w:t>
      </w:r>
    </w:p>
    <w:p w14:paraId="7FDDC4CC">
      <w:pPr>
        <w:ind w:firstLine="420"/>
        <w:jc w:val="both"/>
      </w:pPr>
      <w:r>
        <w:t xml:space="preserve">其三，以训练集诊断子集中的尾部质量差、决策漏选率和完整词表梯度误差估计位置风险，在预设总反馈条目数内分配 K。高风险位置获得更多显式候选，其他位置选择较小 K；位置权重、质量阈值和上限只在训练集与验证集确定。三项操作合在一起构成待验证的联合方法。</w:t>
      </w:r>
    </w:p>
    <w:p w14:paraId="7F13BEDA">
      <w:pPr>
        <w:pStyle w:val="3"/>
      </w:pPr>
      <w:bookmarkStart w:id="20" w:name="_Toc530131081"/>
      <w:r>
        <w:rPr>
          <w:rFonts w:ascii="黑体" w:hAnsi="黑体" w:eastAsia="黑体" w:cs="黑体"/>
          <w:b/>
          <w:color w:val="000000"/>
          <w:sz w:val="24"/>
        </w:rPr>
        <w:t xml:space="preserve">3.4 验证路径与预期研究产出</w:t>
      </w:r>
      <w:bookmarkEnd w:id="20"/>
    </w:p>
    <w:p w14:paraId="7DA378CA">
      <w:pPr>
        <w:ind w:firstLine="420"/>
        <w:jc w:val="both"/>
      </w:pPr>
      <w:r>
        <w:t xml:space="preserve">先建立单轮 Function Calling 的学生 rollout、冻结教师评分和完整词表参照。在固定前缀上对多个 K 测量尾部总量、关键 token 漏选和梯度误差；短程训练再观察这些差异是否对应函数误选、过度调用或格式错误。若尾部现象在本任务中不显著，方法范围将据实际结果收缩。</w:t>
      </w:r>
    </w:p>
    <w:p w14:paraId="7FDDC4CD">
      <w:pPr>
        <w:ind w:firstLine="420"/>
        <w:jc w:val="both"/>
      </w:pPr>
      <w:r>
        <w:t xml:space="preserve">正式比较使用同一学生起点、教师、数据、生成协议和有效训练 token 预算。主要对照为常规 Top-K、TA-OPD、仅补入决策候选、仅按位置分配 K 与完整联合方法；各组匹配平均反馈条目数，并单独报告额外查询。Forward KL、JSD 和 K1 保留为机制与低反馈量参照，主要方法结论来自固定损失方向的同预算比较。</w:t>
      </w:r>
    </w:p>
    <w:p w14:paraId="7FDDC4CE">
      <w:pPr>
        <w:ind w:firstLine="420"/>
        <w:jc w:val="both"/>
      </w:pPr>
      <w:r>
        <w:t xml:space="preserve">研究产出包括工具调用位置上的尾部风险图谱、候选方法的组件消融、任务与训练指标，以及反馈字节数、教师查询、时间和显存记录。结果讨论会说明改进在何种位置、K 与预算下成立；若预算匹配后收益消失，也将据实解释原因。</w:t>
      </w:r>
    </w:p>
    <w:p w14:paraId="0FF2725B">
      <w:pPr>
        <w:pStyle w:val="3"/>
        <w:rPr>
          <w:rFonts w:hint="eastAsia" w:eastAsia="黑体"/>
          <w:lang w:val="en-US" w:eastAsia="zh-CN"/>
        </w:rPr>
      </w:pPr>
      <w:bookmarkStart w:id="21" w:name="_Toc3426964"/>
      <w:r>
        <w:rPr>
          <w:rFonts w:ascii="黑体" w:hAnsi="黑体" w:eastAsia="黑体" w:cs="黑体"/>
          <w:b/>
          <w:color w:val="000000"/>
          <w:sz w:val="24"/>
        </w:rPr>
        <w:t xml:space="preserve">3.5 </w:t>
      </w:r>
      <w:r>
        <w:rPr>
          <w:rFonts w:hint="eastAsia" w:ascii="黑体" w:hAnsi="黑体" w:eastAsia="黑体" w:cs="黑体"/>
          <w:b/>
          <w:color w:val="000000"/>
          <w:sz w:val="24"/>
          <w:lang w:val="en-US" w:eastAsia="zh-CN"/>
        </w:rPr>
        <w:t>本章总结</w:t>
      </w:r>
      <w:bookmarkEnd w:id="21"/>
    </w:p>
    <w:p w14:paraId="03761740">
      <w:pPr>
        <w:ind w:firstLine="420"/>
        <w:jc w:val="both"/>
      </w:pPr>
      <w:r>
        <w:t xml:space="preserve">图 1 概括研究主线：定位 Top-K 遗漏的尾部总量与关键决策 token，构造含显式决策候选和尾部类别的监督集合，再在固定预算下检验实际工具调用结果。尾部类别、采样修正和学生感知支持集均有先行研究[31][32][33][34]；本文检验面向工具调用决策的联合选择机制是否有独立价值。</w:t>
      </w:r>
    </w:p>
    <w:p w14:paraId="331B1F56">
      <w:pPr>
        <w:keepNext/>
        <w:jc w:val="center"/>
      </w:pPr>
      <w:r>
        <w:drawing>
          <wp:inline distT="0" distB="0" distL="114300" distR="114300">
            <wp:extent cx="5615940" cy="2526665"/>
            <wp:effectExtent l="0" t="0" r="22860" b="133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8"/>
                    <a:stretch>
                      <a:fillRect/>
                    </a:stretch>
                  </pic:blipFill>
                  <pic:spPr>
                    <a:xfrm>
                      <a:off x="0" y="0"/>
                      <a:ext cx="5616000" cy="2527200"/>
                    </a:xfrm>
                    <a:prstGeom prst="rect">
                      <a:avLst/>
                    </a:prstGeom>
                  </pic:spPr>
                </pic:pic>
              </a:graphicData>
            </a:graphic>
          </wp:inline>
        </w:drawing>
      </w:r>
    </w:p>
    <w:p w14:paraId="6E3282B4">
      <w:pPr>
        <w:spacing w:before="0" w:after="120" w:line="240" w:lineRule="auto"/>
        <w:ind w:firstLine="0"/>
        <w:jc w:val="center"/>
        <w:rPr>
          <w:rFonts w:hint="eastAsia" w:eastAsia="宋体"/>
          <w:lang w:val="en-US" w:eastAsia="zh-CN"/>
        </w:rPr>
      </w:pPr>
      <w:r>
        <w:rPr>
          <w:rFonts w:ascii="Times New Roman" w:hAnsi="Times New Roman" w:eastAsia="宋体"/>
          <w:sz w:val="21"/>
        </w:rPr>
        <w:t xml:space="preserve">图 </w:t>
      </w:r>
      <w:bookmarkStart w:id="22" w:name="_RefFigureResearchQuestions"/>
      <w:r>
        <w:rPr>
          <w:rFonts w:ascii="Times New Roman" w:hAnsi="Times New Roman" w:eastAsia="宋体"/>
          <w:sz w:val="21"/>
        </w:rPr>
        <w:fldChar w:fldCharType="begin"/>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1</w:t>
      </w:r>
      <w:r>
        <w:rPr>
          <w:rFonts w:ascii="Times New Roman" w:hAnsi="Times New Roman" w:eastAsia="宋体"/>
          <w:sz w:val="21"/>
        </w:rPr>
        <w:fldChar w:fldCharType="end"/>
      </w:r>
      <w:bookmarkEnd w:id="22"/>
      <w:r>
        <w:rPr>
          <w:rFonts w:ascii="Times New Roman" w:hAnsi="Times New Roman" w:eastAsia="宋体"/>
          <w:sz w:val="21"/>
        </w:rPr>
        <w:t xml:space="preserve">  决策感知的尾部保真蒸馏研究思路</w:t>
      </w:r>
      <w:r>
        <w:rPr>
          <w:rFonts w:hint="eastAsia"/>
          <w:sz w:val="21"/>
          <w:lang w:val="en-US" w:eastAsia="zh-CN"/>
        </w:rPr>
        <w:t/>
      </w:r>
    </w:p>
    <w:p w14:paraId="575D3309">
      <w:pPr>
        <w:pStyle w:val="2"/>
      </w:pPr>
      <w:bookmarkStart w:id="23" w:name="_Toc1762409126"/>
      <w:r>
        <w:rPr>
          <w:rFonts w:ascii="黑体" w:hAnsi="黑体" w:eastAsia="黑体" w:cs="黑体"/>
          <w:b/>
          <w:color w:val="000000"/>
          <w:sz w:val="28"/>
        </w:rPr>
        <w:t>4．研究方案</w:t>
      </w:r>
      <w:bookmarkEnd w:id="23"/>
    </w:p>
    <w:p w14:paraId="1076D32B">
      <w:pPr>
        <w:pStyle w:val="3"/>
      </w:pPr>
      <w:bookmarkStart w:id="24" w:name="_Toc568237611"/>
      <w:r>
        <w:rPr>
          <w:rFonts w:ascii="黑体" w:hAnsi="黑体" w:eastAsia="黑体" w:cs="黑体"/>
          <w:b/>
          <w:color w:val="000000"/>
          <w:sz w:val="24"/>
        </w:rPr>
        <w:t>4.1 总体技术路线</w:t>
      </w:r>
      <w:bookmarkEnd w:id="24"/>
    </w:p>
    <w:p w14:paraId="7703D721">
      <w:pPr>
        <w:spacing w:before="0" w:after="0" w:line="360" w:lineRule="auto"/>
        <w:ind w:firstLine="420"/>
        <w:jc w:val="both"/>
      </w:pPr>
      <w:r>
        <w:rPr>
          <w:rFonts w:ascii="Times New Roman" w:hAnsi="Times New Roman" w:eastAsia="宋体"/>
          <w:sz w:val="24"/>
        </w:rPr>
        <w:t xml:space="preserve">研究总体技术路线如图 </w:t>
      </w:r>
      <w:r>
        <w:rPr>
          <w:rFonts w:ascii="Times New Roman" w:hAnsi="Times New Roman" w:eastAsia="宋体"/>
          <w:sz w:val="24"/>
        </w:rPr>
        <w:fldChar w:fldCharType="begin"/>
      </w:r>
      <w:r>
        <w:rPr>
          <w:rFonts w:ascii="Times New Roman" w:hAnsi="Times New Roman" w:eastAsia="宋体"/>
          <w:sz w:val="24"/>
        </w:rPr>
        <w:instrText xml:space="preserve"> REF _RefFigure1 \h </w:instrText>
      </w:r>
      <w:r>
        <w:rPr>
          <w:rFonts w:ascii="Times New Roman" w:hAnsi="Times New Roman" w:eastAsia="宋体"/>
          <w:sz w:val="24"/>
        </w:rPr>
        <w:fldChar w:fldCharType="separate"/>
      </w:r>
      <w:r>
        <w:rPr>
          <w:rFonts w:ascii="Times New Roman" w:hAnsi="Times New Roman" w:eastAsia="宋体"/>
          <w:sz w:val="21"/>
        </w:rPr>
        <w:t>2</w:t>
      </w:r>
      <w:r>
        <w:rPr>
          <w:rFonts w:ascii="Times New Roman" w:hAnsi="Times New Roman" w:eastAsia="宋体"/>
          <w:sz w:val="24"/>
        </w:rPr>
        <w:fldChar w:fldCharType="end"/>
      </w:r>
      <w:r>
        <w:rPr>
          <w:rFonts w:ascii="Times New Roman" w:hAnsi="Times New Roman" w:eastAsia="宋体"/>
          <w:sz w:val="24"/>
        </w:rPr>
        <w:t xml:space="preserve"> 所示。</w:t>
      </w:r>
    </w:p>
    <w:p w14:paraId="01318956">
      <w:pPr>
        <w:ind w:firstLine="420"/>
        <w:jc w:val="both"/>
      </w:pPr>
      <w:r>
        <w:t xml:space="preserve">总体路线围绕一个候选改进展开。学生在单轮 Function Calling 中生成轨迹，冻结教师在同一前缀评分；诊断环节测量 Top-K 外的尾部总量与被漏掉的决策 token；方法环节按位置风险分配 K、补入关键候选，并以尾部类别保留剩余总概率；最后更新 LoRA 学生并开展分层工具调用评测。图 2 展示从问题定位到方法验证的完整路径。</w:t>
      </w:r>
    </w:p>
    <w:p w14:paraId="7804E4EE">
      <w:pPr>
        <w:ind w:firstLine="420"/>
        <w:jc w:val="both"/>
      </w:pPr>
      <w:r>
        <w:t>为使后续实验具有统一含义，本文先给出基本符号。任务输入来自既定的数据分布，学生策略负责生成响应序列，冻结的教师策略在相同学生前缀上给出条件分布。序列中的监督位置由二值掩码确定，具体符号和关系见下式。</w:t>
      </w:r>
    </w:p>
    <w:p w14:paraId="48F18072">
      <w:pPr>
        <w:ind w:firstLine="420"/>
        <w:jc w:val="both"/>
      </w:pPr>
      <w:r>
        <w:t>学生轨迹及师生条件分布写为：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2DF194BA">
        <w:trPr>
          <w:cantSplit/>
          <w:jc w:val="center"/>
        </w:trPr>
        <w:tc>
          <w:tcPr>
            <w:tcW w:w="650" w:type="dxa"/>
            <w:tcMar>
              <w:top w:w="0" w:type="dxa"/>
              <w:left w:w="0" w:type="dxa"/>
              <w:bottom w:w="0" w:type="dxa"/>
              <w:right w:w="0" w:type="dxa"/>
            </w:tcMar>
            <w:vAlign w:val="center"/>
          </w:tcPr>
          <w:p w14:paraId="30EEF0CA">
            <w:pPr>
              <w:spacing w:before="0" w:after="0"/>
              <w:jc w:val="left"/>
            </w:pPr>
          </w:p>
        </w:tc>
        <w:tc>
          <w:tcPr>
            <w:tcW w:w="7006" w:type="dxa"/>
            <w:tcMar>
              <w:top w:w="0" w:type="dxa"/>
              <w:left w:w="0" w:type="dxa"/>
              <w:bottom w:w="0" w:type="dxa"/>
              <w:right w:w="0" w:type="dxa"/>
            </w:tcMar>
            <w:vAlign w:val="center"/>
          </w:tcPr>
          <w:p w14:paraId="09231971">
            <w:pPr>
              <w:spacing w:before="0" w:after="0"/>
              <w:jc w:val="center"/>
            </w:pPr>
            <m:oMathPara>
              <m:oMathParaPr>
                <m:jc m:val="center"/>
              </m:oMathParaPr>
              <m:oMath>
                <m:r>
                  <m:rPr/>
                  <m:t>y</m:t>
                </m:r>
                <m:r>
                  <m:rPr>
                    <m:sty m:val="p"/>
                  </m:rPr>
                  <m:t>∼</m:t>
                </m:r>
                <m:sSub>
                  <m:sSubPr/>
                  <m:e>
                    <m:r>
                      <m:rPr/>
                      <m:t>π</m:t>
                    </m:r>
                  </m:e>
                  <m:sub>
                    <m:r>
                      <m:rPr/>
                      <m:t>θ</m:t>
                    </m:r>
                    <m:r>
                      <m:rPr>
                        <m:sty m:val="p"/>
                      </m:rPr>
                      <m:t>,</m:t>
                    </m:r>
                    <m:r>
                      <m:rPr/>
                      <m:t>τ</m:t>
                    </m:r>
                  </m:sub>
                </m:sSub>
                <m:r>
                  <m:rPr>
                    <m:sty m:val="p"/>
                  </m:rPr>
                  <m:t>(⋅∣</m:t>
                </m:r>
                <m:r>
                  <m:rPr/>
                  <m:t>x</m:t>
                </m:r>
                <m:r>
                  <m:rPr>
                    <m:sty m:val="p"/>
                  </m:rPr>
                  <m:t>)</m:t>
                </m:r>
              </m:oMath>
            </m:oMathPara>
          </w:p>
        </w:tc>
        <w:tc>
          <w:tcPr>
            <w:tcW w:w="650" w:type="dxa"/>
            <w:tcMar>
              <w:top w:w="0" w:type="dxa"/>
              <w:left w:w="0" w:type="dxa"/>
              <w:bottom w:w="0" w:type="dxa"/>
              <w:right w:w="0" w:type="dxa"/>
            </w:tcMar>
            <w:vAlign w:val="center"/>
          </w:tcPr>
          <w:p w14:paraId="63FDE61D">
            <w:pPr>
              <w:spacing w:before="0" w:after="0"/>
              <w:jc w:val="right"/>
            </w:pPr>
          </w:p>
        </w:tc>
      </w:tr>
      <w:tr w14:paraId="3900FFD1">
        <w:trPr>
          <w:cantSplit/>
          <w:jc w:val="center"/>
        </w:trPr>
        <w:tc>
          <w:tcPr>
            <w:tcW w:w="650" w:type="dxa"/>
            <w:tcMar>
              <w:top w:w="0" w:type="dxa"/>
              <w:left w:w="0" w:type="dxa"/>
              <w:bottom w:w="0" w:type="dxa"/>
              <w:right w:w="0" w:type="dxa"/>
            </w:tcMar>
            <w:vAlign w:val="center"/>
          </w:tcPr>
          <w:p w14:paraId="65E5D261">
            <w:pPr>
              <w:spacing w:before="0" w:after="0"/>
              <w:jc w:val="left"/>
            </w:pPr>
          </w:p>
        </w:tc>
        <w:tc>
          <w:tcPr>
            <w:tcW w:w="7006" w:type="dxa"/>
            <w:tcMar>
              <w:top w:w="0" w:type="dxa"/>
              <w:left w:w="0" w:type="dxa"/>
              <w:bottom w:w="0" w:type="dxa"/>
              <w:right w:w="0" w:type="dxa"/>
            </w:tcMar>
            <w:vAlign w:val="center"/>
          </w:tcPr>
          <w:p w14:paraId="08606FCA">
            <w:pPr>
              <w:spacing w:before="0" w:after="0"/>
              <w:jc w:val="center"/>
            </w:pPr>
            <m:oMathPara>
              <m:oMathParaPr>
                <m:jc m:val="center"/>
              </m:oMathParaPr>
              <m:oMath>
                <m:sSub>
                  <m:sSubPr/>
                  <m:e>
                    <m:r>
                      <m:rPr/>
                      <m:t>p</m:t>
                    </m:r>
                  </m:e>
                  <m:sub>
                    <m:r>
                      <m:rPr/>
                      <m:t>T</m:t>
                    </m:r>
                    <m:r>
                      <m:rPr>
                        <m:sty m:val="p"/>
                      </m:rPr>
                      <m:t>,</m:t>
                    </m:r>
                    <m:r>
                      <m:rPr/>
                      <m:t>t</m:t>
                    </m:r>
                  </m:sub>
                </m:sSub>
                <m:r>
                  <m:rPr>
                    <m:sty m:val="p"/>
                  </m:rPr>
                  <m:t>(</m:t>
                </m:r>
                <m:r>
                  <m:rPr/>
                  <m:t>v</m:t>
                </m:r>
                <m:r>
                  <m:rPr>
                    <m:sty m:val="p"/>
                  </m:rPr>
                  <m:t>)=</m:t>
                </m:r>
                <m:sSub>
                  <m:sSubPr/>
                  <m:e>
                    <m:r>
                      <m:rPr/>
                      <m:t>π</m:t>
                    </m:r>
                  </m:e>
                  <m:sub>
                    <m:r>
                      <m:rPr/>
                      <m:t>ϕ</m:t>
                    </m:r>
                  </m:sub>
                </m:sSub>
                <m:r>
                  <m:rPr>
                    <m:sty m:val="p"/>
                  </m:rPr>
                  <m:t>(</m:t>
                </m:r>
                <m:r>
                  <m:rPr/>
                  <m:t>v</m:t>
                </m:r>
                <m:r>
                  <m:rPr>
                    <m:sty m:val="p"/>
                  </m:rPr>
                  <m:t>∣</m:t>
                </m:r>
                <m:r>
                  <m:rPr/>
                  <m:t>x</m:t>
                </m:r>
                <m:r>
                  <m:rPr>
                    <m:sty m:val="p"/>
                  </m:rPr>
                  <m:t>,</m:t>
                </m:r>
                <m:sSub>
                  <m:sSubPr/>
                  <m:e>
                    <m:r>
                      <m:rPr/>
                      <m:t>y</m:t>
                    </m:r>
                  </m:e>
                  <m:sub>
                    <m:r>
                      <m:rPr>
                        <m:sty m:val="p"/>
                      </m:rPr>
                      <m:t>&lt;</m:t>
                    </m:r>
                    <m:r>
                      <m:rPr/>
                      <m:t>t</m:t>
                    </m:r>
                  </m:sub>
                </m:sSub>
                <m:r>
                  <m:rPr>
                    <m:sty m:val="p"/>
                  </m:rPr>
                  <m:t>)</m:t>
                </m:r>
              </m:oMath>
            </m:oMathPara>
          </w:p>
        </w:tc>
        <w:tc>
          <w:tcPr>
            <w:tcW w:w="650" w:type="dxa"/>
            <w:tcMar>
              <w:top w:w="0" w:type="dxa"/>
              <w:left w:w="0" w:type="dxa"/>
              <w:bottom w:w="0" w:type="dxa"/>
              <w:right w:w="0" w:type="dxa"/>
            </w:tcMar>
            <w:vAlign w:val="center"/>
          </w:tcPr>
          <w:p w14:paraId="2FE0A945">
            <w:pPr>
              <w:spacing w:before="0" w:after="0"/>
              <w:jc w:val="right"/>
            </w:pPr>
            <w:bookmarkStart w:id="25" w:name="_RefEq4_2"/>
            <w:r>
              <w:t>(4-</w:t>
            </w:r>
            <w:r>
              <w:fldChar w:fldCharType="begin"/>
            </w:r>
            <w:r>
              <w:instrText xml:space="preserve"> SEQ Eq4 \* ARABIC </w:instrText>
            </w:r>
            <w:r>
              <w:fldChar w:fldCharType="separate"/>
            </w:r>
            <w:r>
              <w:t>1</w:t>
            </w:r>
            <w:r>
              <w:fldChar w:fldCharType="end"/>
            </w:r>
            <w:r>
              <w:t>)</w:t>
            </w:r>
            <w:bookmarkEnd w:id="25"/>
          </w:p>
        </w:tc>
      </w:tr>
      <w:tr w14:paraId="6D54FA36">
        <w:trPr>
          <w:cantSplit/>
          <w:jc w:val="center"/>
        </w:trPr>
        <w:tc>
          <w:tcPr>
            <w:tcW w:w="650" w:type="dxa"/>
            <w:tcMar>
              <w:top w:w="0" w:type="dxa"/>
              <w:left w:w="0" w:type="dxa"/>
              <w:bottom w:w="0" w:type="dxa"/>
              <w:right w:w="0" w:type="dxa"/>
            </w:tcMar>
            <w:vAlign w:val="center"/>
          </w:tcPr>
          <w:p w14:paraId="3B58FFAD">
            <w:pPr>
              <w:spacing w:before="0" w:after="0"/>
              <w:jc w:val="left"/>
            </w:pPr>
          </w:p>
        </w:tc>
        <w:tc>
          <w:tcPr>
            <w:tcW w:w="7006" w:type="dxa"/>
            <w:tcMar>
              <w:top w:w="0" w:type="dxa"/>
              <w:left w:w="0" w:type="dxa"/>
              <w:bottom w:w="0" w:type="dxa"/>
              <w:right w:w="0" w:type="dxa"/>
            </w:tcMar>
            <w:vAlign w:val="center"/>
          </w:tcPr>
          <w:p w14:paraId="135F707E">
            <w:pPr>
              <w:spacing w:before="0" w:after="0"/>
              <w:jc w:val="center"/>
            </w:pPr>
            <m:oMathPara>
              <m:oMathParaPr>
                <m:jc m:val="center"/>
              </m:oMathParaPr>
              <m:oMath>
                <m:sSub>
                  <m:sSubPr/>
                  <m:e>
                    <m:r>
                      <m:rPr/>
                      <m:t>p</m:t>
                    </m:r>
                  </m:e>
                  <m:sub>
                    <m:r>
                      <m:rPr/>
                      <m:t>S</m:t>
                    </m:r>
                    <m:r>
                      <m:rPr>
                        <m:sty m:val="p"/>
                      </m:rPr>
                      <m:t>,</m:t>
                    </m:r>
                    <m:r>
                      <m:rPr/>
                      <m:t>t</m:t>
                    </m:r>
                  </m:sub>
                </m:sSub>
                <m:r>
                  <m:rPr>
                    <m:sty m:val="p"/>
                  </m:rPr>
                  <m:t>(</m:t>
                </m:r>
                <m:r>
                  <m:rPr/>
                  <m:t>v</m:t>
                </m:r>
                <m:r>
                  <m:rPr>
                    <m:sty m:val="p"/>
                  </m:rPr>
                  <m:t>)=</m:t>
                </m:r>
                <m:sSub>
                  <m:sSubPr/>
                  <m:e>
                    <m:r>
                      <m:rPr/>
                      <m:t>π</m:t>
                    </m:r>
                  </m:e>
                  <m:sub>
                    <m:r>
                      <m:rPr/>
                      <m:t>θ</m:t>
                    </m:r>
                  </m:sub>
                </m:sSub>
                <m:r>
                  <m:rPr>
                    <m:sty m:val="p"/>
                  </m:rPr>
                  <m:t>(</m:t>
                </m:r>
                <m:r>
                  <m:rPr/>
                  <m:t>v</m:t>
                </m:r>
                <m:r>
                  <m:rPr>
                    <m:sty m:val="p"/>
                  </m:rPr>
                  <m:t>∣</m:t>
                </m:r>
                <m:r>
                  <m:rPr/>
                  <m:t>x</m:t>
                </m:r>
                <m:r>
                  <m:rPr>
                    <m:sty m:val="p"/>
                  </m:rPr>
                  <m:t>,</m:t>
                </m:r>
                <m:sSub>
                  <m:sSubPr/>
                  <m:e>
                    <m:r>
                      <m:rPr/>
                      <m:t>y</m:t>
                    </m:r>
                  </m:e>
                  <m:sub>
                    <m:r>
                      <m:rPr>
                        <m:sty m:val="p"/>
                      </m:rPr>
                      <m:t>&lt;</m:t>
                    </m:r>
                    <m:r>
                      <m:rPr/>
                      <m:t>t</m:t>
                    </m:r>
                  </m:sub>
                </m:sSub>
                <m:r>
                  <m:rPr>
                    <m:sty m:val="p"/>
                  </m:rPr>
                  <m:t>)</m:t>
                </m:r>
              </m:oMath>
            </m:oMathPara>
          </w:p>
        </w:tc>
        <w:tc>
          <w:tcPr>
            <w:tcW w:w="650" w:type="dxa"/>
            <w:tcMar>
              <w:top w:w="0" w:type="dxa"/>
              <w:left w:w="0" w:type="dxa"/>
              <w:bottom w:w="0" w:type="dxa"/>
              <w:right w:w="0" w:type="dxa"/>
            </w:tcMar>
            <w:vAlign w:val="center"/>
          </w:tcPr>
          <w:p w14:paraId="4FFF3196">
            <w:pPr>
              <w:spacing w:before="0" w:after="0"/>
              <w:jc w:val="right"/>
            </w:pPr>
          </w:p>
        </w:tc>
      </w:tr>
    </w:tbl>
    <w:p w14:paraId="23AEF243">
      <w:pPr>
        <w:ind w:firstLine="0"/>
        <w:jc w:val="both"/>
      </w:pPr>
      <w:r>
        <w:t>在监督信息粒度和散度类型给定时，本文采用统一的在线策略蒸馏目标：</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1E17804E">
        <w:trPr>
          <w:cantSplit/>
          <w:jc w:val="center"/>
        </w:trPr>
        <w:tc>
          <w:tcPr>
            <w:tcW w:w="650" w:type="dxa"/>
            <w:tcMar>
              <w:top w:w="0" w:type="dxa"/>
              <w:left w:w="0" w:type="dxa"/>
              <w:bottom w:w="0" w:type="dxa"/>
              <w:right w:w="0" w:type="dxa"/>
            </w:tcMar>
            <w:vAlign w:val="center"/>
          </w:tcPr>
          <w:p w14:paraId="0CCDE2A2">
            <w:pPr>
              <w:spacing w:before="0" w:after="0"/>
              <w:jc w:val="left"/>
            </w:pPr>
          </w:p>
        </w:tc>
        <w:tc>
          <w:tcPr>
            <w:tcW w:w="7006" w:type="dxa"/>
            <w:tcMar>
              <w:top w:w="0" w:type="dxa"/>
              <w:left w:w="0" w:type="dxa"/>
              <w:bottom w:w="0" w:type="dxa"/>
              <w:right w:w="0" w:type="dxa"/>
            </w:tcMar>
            <w:vAlign w:val="center"/>
          </w:tcPr>
          <w:p w14:paraId="34B11EA4">
            <w:pPr>
              <w:spacing w:before="0" w:after="0"/>
              <w:jc w:val="center"/>
            </w:pPr>
            <m:oMathPara>
              <m:oMathParaPr>
                <m:jc m:val="center"/>
              </m:oMathParaPr>
              <m:oMath>
                <m:sSubSup>
                  <m:sSubSupPr/>
                  <m:e>
                    <m:r>
                      <m:rPr>
                        <m:sty m:val="p"/>
                        <m:scr m:val="script"/>
                      </m:rPr>
                      <m:t>ℒ</m:t>
                    </m:r>
                  </m:e>
                  <m:sub>
                    <m:r>
                      <m:rPr>
                        <m:sty m:val="p"/>
                        <m:scr m:val="script"/>
                      </m:rPr>
                      <m:t>D</m:t>
                    </m:r>
                  </m:sub>
                  <m:sup>
                    <m:r>
                      <m:rPr>
                        <m:sty m:val="p"/>
                      </m:rPr>
                      <m:t>(</m:t>
                    </m:r>
                    <m:r>
                      <m:rPr/>
                      <m:t>g</m:t>
                    </m:r>
                    <m:r>
                      <m:rPr>
                        <m:sty m:val="p"/>
                      </m:rPr>
                      <m:t>)</m:t>
                    </m:r>
                  </m:sup>
                </m:sSubSup>
                <m:r>
                  <m:rPr>
                    <m:sty m:val="p"/>
                  </m:rPr>
                  <m:t>(</m:t>
                </m:r>
                <m:r>
                  <m:rPr/>
                  <m:t>θ</m:t>
                </m:r>
                <m:r>
                  <m:rPr>
                    <m:sty m:val="p"/>
                  </m:rPr>
                  <m:t>)=</m:t>
                </m:r>
                <m:sSub>
                  <m:sSubPr/>
                  <m:e>
                    <m:r>
                      <m:rPr>
                        <m:sty m:val="p"/>
                        <m:scr m:val="double-struck"/>
                      </m:rPr>
                      <m:t>E</m:t>
                    </m:r>
                  </m:e>
                  <m:sub>
                    <m:r>
                      <m:rPr/>
                      <m:t>x</m:t>
                    </m:r>
                    <m:r>
                      <m:rPr>
                        <m:sty m:val="p"/>
                      </m:rPr>
                      <m:t>∼</m:t>
                    </m:r>
                    <m:r>
                      <m:rPr>
                        <m:sty m:val="p"/>
                        <m:scr m:val="script"/>
                      </m:rPr>
                      <m:t>D</m:t>
                    </m:r>
                  </m:sub>
                </m:sSub>
                <m:sSub>
                  <m:sSubPr/>
                  <m:e>
                    <m:r>
                      <m:rPr>
                        <m:sty m:val="p"/>
                        <m:scr m:val="double-struck"/>
                      </m:rPr>
                      <m:t>E</m:t>
                    </m:r>
                  </m:e>
                  <m:sub>
                    <m:r>
                      <m:rPr/>
                      <m:t>y</m:t>
                    </m:r>
                    <m:r>
                      <m:rPr>
                        <m:sty m:val="p"/>
                      </m:rPr>
                      <m:t>∼</m:t>
                    </m:r>
                    <m:sSub>
                      <m:sSubPr/>
                      <m:e>
                        <m:r>
                          <m:rPr/>
                          <m:t>π</m:t>
                        </m:r>
                      </m:e>
                      <m:sub>
                        <m:r>
                          <m:rPr/>
                          <m:t>θ</m:t>
                        </m:r>
                        <m:r>
                          <m:rPr>
                            <m:sty m:val="p"/>
                          </m:rPr>
                          <m:t>,</m:t>
                        </m:r>
                        <m:r>
                          <m:rPr/>
                          <m:t>τ</m:t>
                        </m:r>
                      </m:sub>
                    </m:sSub>
                    <m:r>
                      <m:rPr>
                        <m:sty m:val="p"/>
                      </m:rPr>
                      <m:t>(⋅∣</m:t>
                    </m:r>
                    <m:r>
                      <m:rPr/>
                      <m:t>x</m:t>
                    </m:r>
                    <m:r>
                      <m:rPr>
                        <m:sty m:val="p"/>
                      </m:rPr>
                      <m:t>)</m:t>
                    </m:r>
                  </m:sub>
                </m:sSub>
                <m:d>
                  <m:dPr>
                    <m:begChr m:val="["/>
                    <m:sepChr m:val=""/>
                    <m:endChr m:val="]"/>
                  </m:dPr>
                  <m:e>
                    <m:f>
                      <m:fPr/>
                      <m:num>
                        <m:nary>
                          <m:naryPr>
                            <m:chr m:val="∑"/>
                            <m:limLoc m:val="undOvr"/>
                          </m:naryPr>
                          <m:sub>
                            <m:r>
                              <m:rPr/>
                              <m:t>t</m:t>
                            </m:r>
                            <m:r>
                              <m:rPr>
                                <m:sty m:val="p"/>
                              </m:rPr>
                              <m:t>=</m:t>
                            </m:r>
                            <m:r>
                              <m:rPr/>
                              <m:t>1</m:t>
                            </m:r>
                          </m:sub>
                          <m:sup>
                            <m:r>
                              <m:rPr/>
                              <m:t>T</m:t>
                            </m:r>
                          </m:sup>
                          <m:e>
                            <m:sSub>
                              <m:sSubPr/>
                              <m:e>
                                <m:r>
                                  <m:rPr/>
                                  <m:t>m</m:t>
                                </m:r>
                              </m:e>
                              <m:sub>
                                <m:r>
                                  <m:rPr/>
                                  <m:t>t</m:t>
                                </m:r>
                              </m:sub>
                            </m:sSub>
                          </m:e>
                        </m:nary>
                        <m:r>
                          <m:rPr/>
                          <m:t> </m:t>
                        </m:r>
                        <m:sSup>
                          <m:sSupPr/>
                          <m:e>
                            <m:acc>
                              <m:accPr/>
                              <m:e>
                                <m:r>
                                  <m:rPr>
                                    <m:sty m:val="p"/>
                                    <m:scr m:val="script"/>
                                  </m:rPr>
                                  <m:t>D</m:t>
                                </m:r>
                              </m:e>
                            </m:acc>
                          </m:e>
                          <m:sup>
                            <m:r>
                              <m:rPr>
                                <m:sty m:val="p"/>
                              </m:rPr>
                              <m:t>(</m:t>
                            </m:r>
                            <m:r>
                              <m:rPr/>
                              <m:t>g</m:t>
                            </m:r>
                            <m:r>
                              <m:rPr>
                                <m:sty m:val="p"/>
                              </m:rPr>
                              <m:t>)</m:t>
                            </m:r>
                          </m:sup>
                        </m:sSup>
                        <m:r>
                          <m:rPr>
                            <m:sty m:val="p"/>
                          </m:rPr>
                          <m:t>(</m:t>
                        </m:r>
                        <m:sSub>
                          <m:sSubPr/>
                          <m:e>
                            <m:r>
                              <m:rPr/>
                              <m:t>p</m:t>
                            </m:r>
                          </m:e>
                          <m:sub>
                            <m:r>
                              <m:rPr/>
                              <m:t>T</m:t>
                            </m:r>
                            <m:r>
                              <m:rPr>
                                <m:sty m:val="p"/>
                              </m:rPr>
                              <m:t>,</m:t>
                            </m:r>
                            <m:r>
                              <m:rPr/>
                              <m:t>t</m:t>
                            </m:r>
                          </m:sub>
                        </m:sSub>
                        <m:r>
                          <m:rPr>
                            <m:sty m:val="p"/>
                          </m:rPr>
                          <m:t>,</m:t>
                        </m:r>
                        <m:sSub>
                          <m:sSubPr/>
                          <m:e>
                            <m:r>
                              <m:rPr/>
                              <m:t>p</m:t>
                            </m:r>
                          </m:e>
                          <m:sub>
                            <m:r>
                              <m:rPr/>
                              <m:t>S</m:t>
                            </m:r>
                            <m:r>
                              <m:rPr>
                                <m:sty m:val="p"/>
                              </m:rPr>
                              <m:t>,</m:t>
                            </m:r>
                            <m:r>
                              <m:rPr/>
                              <m:t>t</m:t>
                            </m:r>
                          </m:sub>
                        </m:sSub>
                        <m:r>
                          <m:rPr>
                            <m:sty m:val="p"/>
                          </m:rPr>
                          <m:t>)</m:t>
                        </m:r>
                      </m:num>
                      <m:den>
                        <m:r>
                          <m:rPr>
                            <m:sty m:val="p"/>
                          </m:rPr>
                          <m:t>max</m:t>
                        </m:r>
                        <m:d>
                          <m:dPr>
                            <m:sepChr m:val=""/>
                          </m:dPr>
                          <m:e>
                            <m:r>
                              <m:rPr/>
                              <m:t>1</m:t>
                            </m:r>
                            <m:r>
                              <m:rPr>
                                <m:sty m:val="p"/>
                              </m:rPr>
                              <m:t>,</m:t>
                            </m:r>
                            <m:nary>
                              <m:naryPr>
                                <m:chr m:val="∑"/>
                                <m:limLoc m:val="undOvr"/>
                              </m:naryPr>
                              <m:sub>
                                <m:r>
                                  <m:rPr/>
                                  <m:t>t</m:t>
                                </m:r>
                                <m:r>
                                  <m:rPr>
                                    <m:sty m:val="p"/>
                                  </m:rPr>
                                  <m:t>=</m:t>
                                </m:r>
                                <m:r>
                                  <m:rPr/>
                                  <m:t>1</m:t>
                                </m:r>
                              </m:sub>
                              <m:sup>
                                <m:r>
                                  <m:rPr/>
                                  <m:t>T</m:t>
                                </m:r>
                              </m:sup>
                              <m:e>
                                <m:sSub>
                                  <m:sSubPr/>
                                  <m:e>
                                    <m:r>
                                      <m:rPr/>
                                      <m:t>m</m:t>
                                    </m:r>
                                  </m:e>
                                  <m:sub>
                                    <m:r>
                                      <m:rPr/>
                                      <m:t>t</m:t>
                                    </m:r>
                                  </m:sub>
                                </m:sSub>
                              </m:e>
                            </m:nary>
                          </m:e>
                        </m:d>
                      </m:den>
                    </m:f>
                  </m:e>
                </m:d>
              </m:oMath>
            </m:oMathPara>
          </w:p>
        </w:tc>
        <w:tc>
          <w:tcPr>
            <w:tcW w:w="650" w:type="dxa"/>
            <w:tcMar>
              <w:top w:w="0" w:type="dxa"/>
              <w:left w:w="0" w:type="dxa"/>
              <w:bottom w:w="0" w:type="dxa"/>
              <w:right w:w="0" w:type="dxa"/>
            </w:tcMar>
            <w:vAlign w:val="center"/>
          </w:tcPr>
          <w:p w14:paraId="4C8A6613">
            <w:pPr>
              <w:spacing w:before="0" w:after="0"/>
              <w:jc w:val="right"/>
            </w:pPr>
            <w:bookmarkStart w:id="26" w:name="_RefEq4_4"/>
            <w:r>
              <w:t>(4-</w:t>
            </w:r>
            <w:r>
              <w:fldChar w:fldCharType="begin"/>
            </w:r>
            <w:r>
              <w:instrText xml:space="preserve"> SEQ Eq4 \* ARABIC </w:instrText>
            </w:r>
            <w:r>
              <w:fldChar w:fldCharType="separate"/>
            </w:r>
            <w:r>
              <w:t>2</w:t>
            </w:r>
            <w:r>
              <w:fldChar w:fldCharType="end"/>
            </w:r>
            <w:r>
              <w:t>)</w:t>
            </w:r>
            <w:bookmarkEnd w:id="26"/>
          </w:p>
        </w:tc>
      </w:tr>
    </w:tbl>
    <w:p w14:paraId="7DD08C89">
      <w:pPr>
        <w:ind w:firstLine="0"/>
        <w:jc w:val="both"/>
      </w:pPr>
      <w:r>
        <w:t xml:space="preserve">统一目标用于定义共同的训练接口。完整词表 Reverse KL 提供信息参照，常规子集归一化 Top-K 展示截断误差，已有尾部类别方法提供直接方法基线[31]。候选方法进一步改变支持集：关键位置补入学生高概率而教师 Top-K 漏掉的合法决策 token，其余概率归入尾部类别，K 的位置分配受总反馈预算约束。离散 rollout 只提供状态，损失对学生 LoRA 参数反向传播。总体优化问题写为：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5ED6DF87">
        <w:trPr>
          <w:cantSplit/>
          <w:jc w:val="center"/>
        </w:trPr>
        <w:tc>
          <w:tcPr>
            <w:tcW w:w="650" w:type="dxa"/>
            <w:tcMar>
              <w:top w:w="0" w:type="dxa"/>
              <w:left w:w="0" w:type="dxa"/>
              <w:bottom w:w="0" w:type="dxa"/>
              <w:right w:w="0" w:type="dxa"/>
            </w:tcMar>
            <w:vAlign w:val="center"/>
          </w:tcPr>
          <w:p w14:paraId="596980FE">
            <w:pPr>
              <w:spacing w:before="0" w:after="0"/>
              <w:jc w:val="left"/>
            </w:pPr>
          </w:p>
        </w:tc>
        <w:tc>
          <w:tcPr>
            <w:tcW w:w="7006" w:type="dxa"/>
            <w:tcMar>
              <w:top w:w="0" w:type="dxa"/>
              <w:left w:w="0" w:type="dxa"/>
              <w:bottom w:w="0" w:type="dxa"/>
              <w:right w:w="0" w:type="dxa"/>
            </w:tcMar>
            <w:vAlign w:val="center"/>
          </w:tcPr>
          <w:p w14:paraId="2678586F">
            <w:pPr>
              <w:spacing w:before="0" w:after="0"/>
              <w:jc w:val="center"/>
            </w:pPr>
            <m:oMathPara>
              <m:oMathParaPr>
                <m:jc m:val="center"/>
              </m:oMathParaPr>
              <m:oMath>
                <m:sSup>
                  <m:sSupPr/>
                  <m:e>
                    <m:r>
                      <m:rPr/>
                      <m:t>θ</m:t>
                    </m:r>
                  </m:e>
                  <m:sup>
                    <m:r>
                      <m:rPr>
                        <m:sty m:val="p"/>
                      </m:rPr>
                      <m:t>⋆</m:t>
                    </m:r>
                  </m:sup>
                </m:sSup>
                <m:r>
                  <m:rPr>
                    <m:sty m:val="p"/>
                  </m:rPr>
                  <m:t>=</m:t>
                </m:r>
                <m:limLow>
                  <m:limLowPr/>
                  <m:e>
                    <m:r>
                      <m:rPr>
                        <m:sty m:val="p"/>
                      </m:rPr>
                      <m:t>argmin</m:t>
                    </m:r>
                  </m:e>
                  <m:lim>
                    <m:r>
                      <m:rPr/>
                      <m:t>θ</m:t>
                    </m:r>
                    <m:r>
                      <m:rPr>
                        <m:sty m:val="p"/>
                      </m:rPr>
                      <m:t>∈</m:t>
                    </m:r>
                    <m:sSub>
                      <m:sSubPr/>
                      <m:e>
                        <m:r>
                          <m:rPr>
                            <m:sty m:val="p"/>
                          </m:rPr>
                          <m:t>Θ</m:t>
                        </m:r>
                      </m:e>
                      <m:sub>
                        <m:r>
                          <m:rPr>
                            <m:sty m:val="p"/>
                          </m:rPr>
                          <m:t>LoRA</m:t>
                        </m:r>
                      </m:sub>
                    </m:sSub>
                  </m:lim>
                </m:limLow>
                <m:r>
                  <m:rPr/>
                  <m:t> </m:t>
                </m:r>
                <m:sSubSup>
                  <m:sSubSupPr/>
                  <m:e>
                    <m:r>
                      <m:rPr>
                        <m:sty m:val="p"/>
                        <m:scr m:val="script"/>
                      </m:rPr>
                      <m:t>ℒ</m:t>
                    </m:r>
                  </m:e>
                  <m:sub>
                    <m:r>
                      <m:rPr>
                        <m:sty m:val="p"/>
                        <m:scr m:val="script"/>
                      </m:rPr>
                      <m:t>D</m:t>
                    </m:r>
                  </m:sub>
                  <m:sup>
                    <m:r>
                      <m:rPr>
                        <m:sty m:val="p"/>
                      </m:rPr>
                      <m:t>(</m:t>
                    </m:r>
                    <m:r>
                      <m:rPr/>
                      <m:t>g</m:t>
                    </m:r>
                    <m:r>
                      <m:rPr>
                        <m:sty m:val="p"/>
                      </m:rPr>
                      <m:t>)</m:t>
                    </m:r>
                  </m:sup>
                </m:sSubSup>
                <m:r>
                  <m:rPr>
                    <m:sty m:val="p"/>
                  </m:rPr>
                  <m:t>(</m:t>
                </m:r>
                <m:r>
                  <m:rPr/>
                  <m:t>θ</m:t>
                </m:r>
                <m:r>
                  <m:rPr>
                    <m:sty m:val="p"/>
                  </m:rPr>
                  <m:t>)</m:t>
                </m:r>
              </m:oMath>
            </m:oMathPara>
          </w:p>
        </w:tc>
        <w:tc>
          <w:tcPr>
            <w:tcW w:w="650" w:type="dxa"/>
            <w:tcMar>
              <w:top w:w="0" w:type="dxa"/>
              <w:left w:w="0" w:type="dxa"/>
              <w:bottom w:w="0" w:type="dxa"/>
              <w:right w:w="0" w:type="dxa"/>
            </w:tcMar>
            <w:vAlign w:val="center"/>
          </w:tcPr>
          <w:p w14:paraId="701336D1">
            <w:pPr>
              <w:spacing w:before="0" w:after="0"/>
              <w:jc w:val="right"/>
            </w:pPr>
            <w:bookmarkStart w:id="27" w:name="_RefEq4_5"/>
            <w:r>
              <w:t>(4-</w:t>
            </w:r>
            <w:r>
              <w:fldChar w:fldCharType="begin"/>
            </w:r>
            <w:r>
              <w:instrText xml:space="preserve"> SEQ Eq4 \* ARABIC </w:instrText>
            </w:r>
            <w:r>
              <w:fldChar w:fldCharType="separate"/>
            </w:r>
            <w:r>
              <w:t>3</w:t>
            </w:r>
            <w:r>
              <w:fldChar w:fldCharType="end"/>
            </w:r>
            <w:r>
              <w:t>)</w:t>
            </w:r>
            <w:bookmarkEnd w:id="27"/>
          </w:p>
        </w:tc>
      </w:tr>
    </w:tbl>
    <w:p w14:paraId="1457368B">
      <w:pPr>
        <w:ind w:firstLine="420"/>
        <w:jc w:val="both"/>
      </w:pPr>
      <w:r>
        <w:t xml:space="preserve">实验顺序与方法构造一致：先确认尾部遗漏在工具调用中是否出现，再识别总量补偿和决策候选补入各自的作用，最后检验固定预算下的联合方案。散度方向作为机制参照，K 的位置分配属于候选方法本身。完整训练配置与原始指标用于追溯行为变化。</w:t>
      </w:r>
    </w:p>
    <w:p w14:paraId="1914937F">
      <w:pPr>
        <w:ind w:firstLine="0"/>
        <w:jc w:val="center"/>
      </w:pPr>
      <w:r>
        <w:drawing>
          <wp:inline distT="0" distB="0" distL="114300" distR="114300">
            <wp:extent cx="5806440" cy="217741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5806440" cy="2177415"/>
                    </a:xfrm>
                    <a:prstGeom prst="rect">
                      <a:avLst/>
                    </a:prstGeom>
                  </pic:spPr>
                </pic:pic>
              </a:graphicData>
            </a:graphic>
          </wp:inline>
        </w:drawing>
      </w:r>
    </w:p>
    <w:p w14:paraId="61C757E0">
      <w:pPr>
        <w:spacing w:before="0" w:after="120" w:line="240" w:lineRule="auto"/>
        <w:ind w:firstLine="0"/>
        <w:jc w:val="center"/>
      </w:pPr>
      <w:r>
        <w:rPr>
          <w:rFonts w:ascii="Times New Roman" w:hAnsi="Times New Roman" w:eastAsia="宋体"/>
          <w:sz w:val="21"/>
        </w:rPr>
        <w:t xml:space="preserve">图 </w:t>
      </w:r>
      <w:bookmarkStart w:id="28" w:name="_RefFigure1"/>
      <w:r>
        <w:rPr>
          <w:rFonts w:ascii="Times New Roman" w:hAnsi="Times New Roman" w:eastAsia="宋体"/>
          <w:sz w:val="21"/>
        </w:rPr>
        <w:fldChar w:fldCharType="begin"/>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2</w:t>
      </w:r>
      <w:r>
        <w:rPr>
          <w:rFonts w:ascii="Times New Roman" w:hAnsi="Times New Roman" w:eastAsia="宋体"/>
          <w:sz w:val="21"/>
        </w:rPr>
        <w:fldChar w:fldCharType="end"/>
      </w:r>
      <w:bookmarkEnd w:id="28"/>
      <w:r>
        <w:rPr>
          <w:rFonts w:ascii="Times New Roman" w:hAnsi="Times New Roman" w:eastAsia="宋体"/>
          <w:sz w:val="21"/>
        </w:rPr>
        <w:t xml:space="preserve">  研究总体技术路线</w:t>
      </w:r>
    </w:p>
    <w:p w14:paraId="51D0960D">
      <w:pPr>
        <w:pStyle w:val="3"/>
      </w:pPr>
      <w:bookmarkStart w:id="29" w:name="_Toc509749868"/>
      <w:r>
        <w:rPr>
          <w:rFonts w:ascii="黑体" w:hAnsi="黑体" w:eastAsia="黑体" w:cs="黑体"/>
          <w:b/>
          <w:color w:val="000000"/>
          <w:sz w:val="24"/>
        </w:rPr>
        <w:t>4.2 模型和数据准备</w:t>
      </w:r>
      <w:bookmarkEnd w:id="29"/>
    </w:p>
    <w:p w14:paraId="51F515C2">
      <w:pPr>
        <w:ind w:firstLine="420"/>
        <w:jc w:val="both"/>
      </w:pPr>
      <w:r>
        <w:t>本文选择 Qwen3-0.6B 作为学生模型、Qwen3-4B 作为教师模型。二者属于同一模型家族，便于统一 tokenizer、特殊 token、消息模板和函数调用格式；教师参数始终冻结，学生仅更新低秩适配参数。对任一线性层的基础权重，LoRA 更新写为：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1E4C8A93">
        <w:trPr>
          <w:cantSplit/>
          <w:jc w:val="center"/>
        </w:trPr>
        <w:tc>
          <w:tcPr>
            <w:tcW w:w="650" w:type="dxa"/>
            <w:tcMar>
              <w:top w:w="0" w:type="dxa"/>
              <w:left w:w="0" w:type="dxa"/>
              <w:bottom w:w="0" w:type="dxa"/>
              <w:right w:w="0" w:type="dxa"/>
            </w:tcMar>
            <w:vAlign w:val="center"/>
          </w:tcPr>
          <w:p w14:paraId="77FF61CB">
            <w:pPr>
              <w:spacing w:before="0" w:after="0"/>
              <w:jc w:val="left"/>
            </w:pPr>
          </w:p>
        </w:tc>
        <w:tc>
          <w:tcPr>
            <w:tcW w:w="7006" w:type="dxa"/>
            <w:tcMar>
              <w:top w:w="0" w:type="dxa"/>
              <w:left w:w="0" w:type="dxa"/>
              <w:bottom w:w="0" w:type="dxa"/>
              <w:right w:w="0" w:type="dxa"/>
            </w:tcMar>
            <w:vAlign w:val="center"/>
          </w:tcPr>
          <w:p w14:paraId="36CB673B">
            <w:pPr>
              <w:spacing w:before="0" w:after="0"/>
              <w:jc w:val="center"/>
            </w:pPr>
            <m:oMathPara>
              <m:oMath>
                <m:r>
                  <m:rPr/>
                  <m:t>W</m:t>
                </m:r>
                <m:r>
                  <m:rPr>
                    <m:sty m:val="p"/>
                  </m:rPr>
                  <m:t>=</m:t>
                </m:r>
                <m:sSub>
                  <m:sSubPr/>
                  <m:e>
                    <m:r>
                      <m:rPr/>
                      <m:t>W</m:t>
                    </m:r>
                  </m:e>
                  <m:sub>
                    <m:r>
                      <m:rPr/>
                      <m:t>0</m:t>
                    </m:r>
                  </m:sub>
                </m:sSub>
                <m:r>
                  <m:rPr>
                    <m:sty m:val="p"/>
                  </m:rPr>
                  <m:t>+</m:t>
                </m:r>
                <m:f>
                  <m:fPr/>
                  <m:num>
                    <m:r>
                      <m:rPr/>
                      <m:t>α</m:t>
                    </m:r>
                  </m:num>
                  <m:den>
                    <m:r>
                      <m:rPr/>
                      <m:t>r</m:t>
                    </m:r>
                  </m:den>
                </m:f>
                <m:r>
                  <m:rPr/>
                  <m:t>BA</m:t>
                </m:r>
              </m:oMath>
            </m:oMathPara>
          </w:p>
        </w:tc>
        <w:tc>
          <w:tcPr>
            <w:tcW w:w="650" w:type="dxa"/>
            <w:tcMar>
              <w:top w:w="0" w:type="dxa"/>
              <w:left w:w="0" w:type="dxa"/>
              <w:bottom w:w="0" w:type="dxa"/>
              <w:right w:w="0" w:type="dxa"/>
            </w:tcMar>
            <w:vAlign w:val="center"/>
          </w:tcPr>
          <w:p w14:paraId="6D9DEAD3">
            <w:pPr>
              <w:spacing w:before="0" w:after="0"/>
              <w:jc w:val="right"/>
            </w:pPr>
            <w:bookmarkStart w:id="30" w:name="_RefEq4_6"/>
            <w:r>
              <w:t>(4-</w:t>
            </w:r>
            <w:r>
              <w:fldChar w:fldCharType="begin"/>
            </w:r>
            <w:r>
              <w:instrText xml:space="preserve"> SEQ Eq4 \* ARABIC </w:instrText>
            </w:r>
            <w:r>
              <w:fldChar w:fldCharType="separate"/>
            </w:r>
            <w:r>
              <w:t>4</w:t>
            </w:r>
            <w:r>
              <w:fldChar w:fldCharType="end"/>
            </w:r>
            <w:r>
              <w:t>)</w:t>
            </w:r>
            <w:bookmarkEnd w:id="30"/>
          </w:p>
        </w:tc>
      </w:tr>
    </w:tbl>
    <w:p w14:paraId="369D6F6C">
      <w:pPr>
        <w:ind w:firstLine="420"/>
        <w:jc w:val="both"/>
      </w:pPr>
      <w:r>
        <w:t>式中的两个可训练矩阵均为低秩矩阵；前者的行数等于低秩维度，后者的列数等于低秩维度，且该维度远小于原线性层的输入、输出维度。该参数化减少了显存占用，也使不同散度和监督粒度能够共享同一学生初始化与优化器设置[19]。模型家族及模板约定以 Qwen3 技术报告为依据[16]。</w:t>
      </w:r>
    </w:p>
    <w:p w14:paraId="33260523">
      <w:pPr>
        <w:ind w:firstLine="420"/>
        <w:jc w:val="both"/>
      </w:pPr>
      <w:r>
        <w:t>Function Calling 样本在进入模型前统一整理为下式：</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2EF0F5AD">
        <w:trPr>
          <w:cantSplit/>
          <w:jc w:val="center"/>
        </w:trPr>
        <w:tc>
          <w:tcPr>
            <w:tcW w:w="650" w:type="dxa"/>
            <w:tcMar>
              <w:top w:w="0" w:type="dxa"/>
              <w:left w:w="0" w:type="dxa"/>
              <w:bottom w:w="0" w:type="dxa"/>
              <w:right w:w="0" w:type="dxa"/>
            </w:tcMar>
            <w:vAlign w:val="center"/>
          </w:tcPr>
          <w:p w14:paraId="7CF0FFB5">
            <w:pPr>
              <w:spacing w:before="0" w:after="0"/>
              <w:jc w:val="left"/>
            </w:pPr>
          </w:p>
        </w:tc>
        <w:tc>
          <w:tcPr>
            <w:tcW w:w="7006" w:type="dxa"/>
            <w:tcMar>
              <w:top w:w="0" w:type="dxa"/>
              <w:left w:w="0" w:type="dxa"/>
              <w:bottom w:w="0" w:type="dxa"/>
              <w:right w:w="0" w:type="dxa"/>
            </w:tcMar>
            <w:vAlign w:val="center"/>
          </w:tcPr>
          <w:p w14:paraId="7ABDAEAE">
            <w:pPr>
              <w:spacing w:before="0" w:after="0"/>
              <w:jc w:val="center"/>
            </w:pPr>
            <m:oMathPara>
              <m:oMath>
                <m:r>
                  <m:rPr/>
                  <m:t>x</m:t>
                </m:r>
                <m:r>
                  <m:rPr>
                    <m:sty m:val="p"/>
                  </m:rPr>
                  <m:t>=Template(</m:t>
                </m:r>
                <m:r>
                  <m:rPr/>
                  <m:t>u</m:t>
                </m:r>
                <m:r>
                  <m:rPr>
                    <m:sty m:val="p"/>
                  </m:rPr>
                  <m:t>,</m:t>
                </m:r>
                <m:r>
                  <m:rPr/>
                  <m:t>S</m:t>
                </m:r>
                <m:r>
                  <m:rPr>
                    <m:sty m:val="p"/>
                  </m:rPr>
                  <m:t>,</m:t>
                </m:r>
                <m:r>
                  <m:rPr/>
                  <m:t>h</m:t>
                </m:r>
                <m:r>
                  <m:rPr>
                    <m:sty m:val="p"/>
                  </m:rPr>
                  <m:t>)</m:t>
                </m:r>
              </m:oMath>
            </m:oMathPara>
          </w:p>
        </w:tc>
        <w:tc>
          <w:tcPr>
            <w:tcW w:w="650" w:type="dxa"/>
            <w:tcMar>
              <w:top w:w="0" w:type="dxa"/>
              <w:left w:w="0" w:type="dxa"/>
              <w:bottom w:w="0" w:type="dxa"/>
              <w:right w:w="0" w:type="dxa"/>
            </w:tcMar>
            <w:vAlign w:val="center"/>
          </w:tcPr>
          <w:p w14:paraId="4FC5BBE3">
            <w:pPr>
              <w:spacing w:before="0" w:after="0"/>
              <w:jc w:val="right"/>
            </w:pPr>
            <w:bookmarkStart w:id="31" w:name="_RefEq4_7"/>
            <w:r>
              <w:t>(4-</w:t>
            </w:r>
            <w:r>
              <w:fldChar w:fldCharType="begin"/>
            </w:r>
            <w:r>
              <w:instrText xml:space="preserve"> SEQ Eq4 \* ARABIC </w:instrText>
            </w:r>
            <w:r>
              <w:fldChar w:fldCharType="separate"/>
            </w:r>
            <w:r>
              <w:t>5</w:t>
            </w:r>
            <w:r>
              <w:fldChar w:fldCharType="end"/>
            </w:r>
            <w:r>
              <w:t>)</w:t>
            </w:r>
            <w:bookmarkEnd w:id="31"/>
          </w:p>
        </w:tc>
      </w:tr>
    </w:tbl>
    <w:p w14:paraId="0799E47D">
      <w:pPr>
        <w:ind w:firstLine="420"/>
        <w:jc w:val="both"/>
      </w:pPr>
      <w:r>
        <w:t>上式依次将用户请求、工具 schema、已有对话与工具返回作为模板输入。训练集、验证集和测试集采用独立划分，并满足以下互斥关系：</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556F7B85">
        <w:trPr>
          <w:cantSplit/>
          <w:jc w:val="center"/>
        </w:trPr>
        <w:tc>
          <w:tcPr>
            <w:tcW w:w="650" w:type="dxa"/>
            <w:tcMar>
              <w:top w:w="0" w:type="dxa"/>
              <w:left w:w="0" w:type="dxa"/>
              <w:bottom w:w="0" w:type="dxa"/>
              <w:right w:w="0" w:type="dxa"/>
            </w:tcMar>
            <w:vAlign w:val="center"/>
          </w:tcPr>
          <w:p w14:paraId="2E819B93">
            <w:pPr>
              <w:spacing w:before="0" w:after="0"/>
              <w:jc w:val="left"/>
            </w:pPr>
          </w:p>
        </w:tc>
        <w:tc>
          <w:tcPr>
            <w:tcW w:w="7006" w:type="dxa"/>
            <w:tcMar>
              <w:top w:w="0" w:type="dxa"/>
              <w:left w:w="0" w:type="dxa"/>
              <w:bottom w:w="0" w:type="dxa"/>
              <w:right w:w="0" w:type="dxa"/>
            </w:tcMar>
            <w:vAlign w:val="center"/>
          </w:tcPr>
          <w:p w14:paraId="7E24CE06">
            <w:pPr>
              <w:spacing w:before="0" w:after="0"/>
              <w:jc w:val="center"/>
              <w:rPr>
                <w:rFonts w:hint="default" w:eastAsia="宋体"/>
                <w:lang w:val="en-US" w:eastAsia="zh-CN"/>
              </w:rPr>
            </w:pPr>
            <m:oMathPara>
              <m:oMath>
                <m:sSub>
                  <m:sSubPr/>
                  <m:e>
                    <m:r>
                      <m:rPr/>
                      <m:t>D</m:t>
                    </m:r>
                  </m:e>
                  <m:sub>
                    <m:r>
                      <m:rPr>
                        <m:sty m:val="p"/>
                      </m:rPr>
                      <m:t>tr</m:t>
                    </m:r>
                  </m:sub>
                </m:sSub>
                <m:r>
                  <m:rPr>
                    <m:sty m:val="p"/>
                  </m:rPr>
                  <m:t>∩</m:t>
                </m:r>
                <m:sSub>
                  <m:sSubPr/>
                  <m:e>
                    <m:r>
                      <m:rPr/>
                      <m:t>D</m:t>
                    </m:r>
                  </m:e>
                  <m:sub>
                    <m:r>
                      <m:rPr>
                        <m:sty m:val="p"/>
                      </m:rPr>
                      <m:t>val</m:t>
                    </m:r>
                  </m:sub>
                </m:sSub>
                <m:r>
                  <m:rPr>
                    <m:sty m:val="p"/>
                  </m:rPr>
                  <m:t>=⌀</m:t>
                </m:r>
                <m:r>
                  <m:rPr>
                    <m:sty m:val="p"/>
                  </m:rPr>
                  <w:rPr>
                    <w:rFonts w:hint="default"/>
                    <w:lang w:val="en-US"/>
                  </w:rPr>
                  <m:t>,</m:t>
                </m:r>
                <m:sSub>
                  <m:sSubPr/>
                  <m:e>
                    <m:r>
                      <m:rPr/>
                      <m:t>D</m:t>
                    </m:r>
                  </m:e>
                  <m:sub>
                    <m:r>
                      <m:rPr>
                        <m:sty m:val="p"/>
                      </m:rPr>
                      <m:t>tr</m:t>
                    </m:r>
                  </m:sub>
                </m:sSub>
                <m:r>
                  <m:rPr>
                    <m:sty m:val="p"/>
                  </m:rPr>
                  <m:t>∩</m:t>
                </m:r>
                <m:sSub>
                  <m:sSubPr/>
                  <m:e>
                    <m:r>
                      <m:rPr/>
                      <m:t>D</m:t>
                    </m:r>
                  </m:e>
                  <m:sub>
                    <m:r>
                      <m:rPr>
                        <m:sty m:val="p"/>
                      </m:rPr>
                      <m:t>te</m:t>
                    </m:r>
                  </m:sub>
                </m:sSub>
                <m:r>
                  <m:rPr>
                    <m:sty m:val="p"/>
                  </m:rPr>
                  <m:t>=⌀</m:t>
                </m:r>
                <m:r>
                  <m:rPr>
                    <m:sty m:val="p"/>
                  </m:rPr>
                  <w:rPr>
                    <w:rFonts w:hint="default"/>
                    <w:lang w:val="en-US"/>
                  </w:rPr>
                  <m:t>,</m:t>
                </m:r>
                <m:sSub>
                  <m:sSubPr/>
                  <m:e>
                    <m:r>
                      <m:rPr/>
                      <m:t>D</m:t>
                    </m:r>
                  </m:e>
                  <m:sub>
                    <m:r>
                      <m:rPr>
                        <m:sty m:val="p"/>
                      </m:rPr>
                      <m:t>val</m:t>
                    </m:r>
                  </m:sub>
                </m:sSub>
                <m:r>
                  <m:rPr>
                    <m:sty m:val="p"/>
                  </m:rPr>
                  <m:t>∩</m:t>
                </m:r>
                <m:sSub>
                  <m:sSubPr/>
                  <m:e>
                    <m:r>
                      <m:rPr/>
                      <m:t>D</m:t>
                    </m:r>
                  </m:e>
                  <m:sub>
                    <m:r>
                      <m:rPr>
                        <m:sty m:val="p"/>
                      </m:rPr>
                      <m:t>te</m:t>
                    </m:r>
                  </m:sub>
                </m:sSub>
                <m:r>
                  <m:rPr>
                    <m:sty m:val="p"/>
                  </m:rPr>
                  <m:t>=⌀</m:t>
                </m:r>
              </m:oMath>
            </m:oMathPara>
          </w:p>
        </w:tc>
        <w:tc>
          <w:tcPr>
            <w:tcW w:w="650" w:type="dxa"/>
            <w:tcMar>
              <w:top w:w="0" w:type="dxa"/>
              <w:left w:w="0" w:type="dxa"/>
              <w:bottom w:w="0" w:type="dxa"/>
              <w:right w:w="0" w:type="dxa"/>
            </w:tcMar>
            <w:vAlign w:val="center"/>
          </w:tcPr>
          <w:p w14:paraId="23C5A6F7">
            <w:pPr>
              <w:spacing w:before="0" w:after="0"/>
              <w:jc w:val="right"/>
            </w:pPr>
            <w:bookmarkStart w:id="32" w:name="_RefEq4_8"/>
            <w:r>
              <w:t>(4-</w:t>
            </w:r>
            <w:r>
              <w:fldChar w:fldCharType="begin"/>
            </w:r>
            <w:r>
              <w:instrText xml:space="preserve"> SEQ Eq4 \* ARABIC </w:instrText>
            </w:r>
            <w:r>
              <w:fldChar w:fldCharType="separate"/>
            </w:r>
            <w:r>
              <w:t>6</w:t>
            </w:r>
            <w:r>
              <w:fldChar w:fldCharType="end"/>
            </w:r>
            <w:r>
              <w:t>)</w:t>
            </w:r>
            <w:bookmarkEnd w:id="32"/>
          </w:p>
        </w:tc>
      </w:tr>
    </w:tbl>
    <w:p w14:paraId="2AF1A54E">
      <w:pPr>
        <w:ind w:firstLine="420"/>
        <w:jc w:val="both"/>
      </w:pPr>
      <w:r>
        <w:t>本文按照数据来源、接口模板和目标调用联合去重，避免同一工具定义或问题模板跨集合泄漏。API-Bank、ToolLLM/ToolBench、APIGen 和 ToolACE 为字段统一与样本筛选提供参考[23][24][25][26]。</w:t>
      </w:r>
    </w:p>
    <w:p w14:paraId="1EA2CC71">
      <w:pPr>
        <w:ind w:firstLine="420"/>
        <w:jc w:val="both"/>
      </w:pPr>
      <w:r>
        <w:t>数据审计围绕结构、语义和执行三层展开。结构层检查 JSON 与 schema 约束，语义层核对用户意图和目标函数，执行层在本地模拟工具中验证参数能否产生有效返回。只有同时通过三层检查的样本才进入正式训练；无法自动判定的样本保留原始内容和失败原因，并进行人工抽查。</w:t>
      </w:r>
    </w:p>
    <w:p w14:paraId="681BB8C6">
      <w:pPr>
        <w:pStyle w:val="3"/>
      </w:pPr>
      <w:bookmarkStart w:id="33" w:name="_Toc1053763593"/>
      <w:r>
        <w:rPr>
          <w:rFonts w:ascii="黑体" w:hAnsi="黑体" w:eastAsia="黑体" w:cs="黑体"/>
          <w:b/>
          <w:color w:val="000000"/>
          <w:sz w:val="24"/>
        </w:rPr>
        <w:t>4.3 学生 rollout 和教师反馈</w:t>
      </w:r>
      <w:bookmarkEnd w:id="33"/>
    </w:p>
    <w:p w14:paraId="343B3713">
      <w:pPr>
        <w:spacing w:before="0" w:after="0" w:line="360" w:lineRule="auto"/>
        <w:ind w:firstLine="420"/>
        <w:jc w:val="both"/>
      </w:pPr>
      <w:r>
        <w:rPr>
          <w:rFonts w:ascii="Times New Roman" w:hAnsi="Times New Roman" w:eastAsia="宋体"/>
          <w:sz w:val="24"/>
        </w:rPr>
        <w:t xml:space="preserve">在线策略蒸馏的训练、反馈与评测关系如图 </w:t>
      </w:r>
      <w:r>
        <w:rPr>
          <w:rFonts w:ascii="Times New Roman" w:hAnsi="Times New Roman" w:eastAsia="宋体"/>
          <w:sz w:val="24"/>
        </w:rPr>
        <w:fldChar w:fldCharType="begin"/>
      </w:r>
      <w:r>
        <w:rPr>
          <w:rFonts w:ascii="Times New Roman" w:hAnsi="Times New Roman" w:eastAsia="宋体"/>
          <w:sz w:val="24"/>
        </w:rPr>
        <w:instrText xml:space="preserve"> REF _RefFigure2 \h </w:instrText>
      </w:r>
      <w:r>
        <w:rPr>
          <w:rFonts w:ascii="Times New Roman" w:hAnsi="Times New Roman" w:eastAsia="宋体"/>
          <w:sz w:val="24"/>
        </w:rPr>
        <w:fldChar w:fldCharType="separate"/>
      </w:r>
      <w:r>
        <w:rPr>
          <w:rFonts w:ascii="Times New Roman" w:hAnsi="Times New Roman" w:eastAsia="宋体"/>
          <w:sz w:val="21"/>
        </w:rPr>
        <w:t>3</w:t>
      </w:r>
      <w:r>
        <w:rPr>
          <w:rFonts w:ascii="Times New Roman" w:hAnsi="Times New Roman" w:eastAsia="宋体"/>
          <w:sz w:val="24"/>
        </w:rPr>
        <w:fldChar w:fldCharType="end"/>
      </w:r>
      <w:r>
        <w:rPr>
          <w:rFonts w:ascii="Times New Roman" w:hAnsi="Times New Roman" w:eastAsia="宋体"/>
          <w:sz w:val="24"/>
        </w:rPr>
        <w:t xml:space="preserve"> 所示。</w:t>
      </w:r>
    </w:p>
    <w:p w14:paraId="03869395">
      <w:pPr>
        <w:ind w:firstLine="420"/>
        <w:jc w:val="both"/>
      </w:pPr>
      <w:r>
        <w:t>对每个输入，学生按照固定温度、最大长度和停止条件进行 rollout。将当前生成位置的未归一化输出经过温度缩放后，实际采样策略写为：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5E6949ED">
        <w:trPr>
          <w:cantSplit/>
          <w:jc w:val="center"/>
        </w:trPr>
        <w:tc>
          <w:tcPr>
            <w:tcW w:w="650" w:type="dxa"/>
            <w:tcMar>
              <w:top w:w="0" w:type="dxa"/>
              <w:left w:w="0" w:type="dxa"/>
              <w:bottom w:w="0" w:type="dxa"/>
              <w:right w:w="0" w:type="dxa"/>
            </w:tcMar>
            <w:vAlign w:val="center"/>
          </w:tcPr>
          <w:p w14:paraId="28B19E56">
            <w:pPr>
              <w:spacing w:before="0" w:after="0"/>
              <w:jc w:val="left"/>
            </w:pPr>
          </w:p>
        </w:tc>
        <w:tc>
          <w:tcPr>
            <w:tcW w:w="7006" w:type="dxa"/>
            <w:tcMar>
              <w:top w:w="0" w:type="dxa"/>
              <w:left w:w="0" w:type="dxa"/>
              <w:bottom w:w="0" w:type="dxa"/>
              <w:right w:w="0" w:type="dxa"/>
            </w:tcMar>
            <w:vAlign w:val="center"/>
          </w:tcPr>
          <w:p w14:paraId="222E2BA7">
            <w:pPr>
              <w:spacing w:before="0" w:after="0"/>
              <w:jc w:val="center"/>
            </w:pPr>
            <m:oMathPara>
              <m:oMath>
                <m:sSub>
                  <m:sSubPr/>
                  <m:e>
                    <m:r>
                      <m:rPr/>
                      <m:t>π</m:t>
                    </m:r>
                  </m:e>
                  <m:sub>
                    <m:r>
                      <m:rPr/>
                      <m:t>θ</m:t>
                    </m:r>
                    <m:r>
                      <m:rPr>
                        <m:sty m:val="p"/>
                      </m:rPr>
                      <m:t>,</m:t>
                    </m:r>
                    <m:r>
                      <m:rPr/>
                      <m:t>τ</m:t>
                    </m:r>
                  </m:sub>
                </m:sSub>
                <m:r>
                  <m:rPr>
                    <m:sty m:val="p"/>
                  </m:rPr>
                  <m:t>(</m:t>
                </m:r>
                <m:r>
                  <m:rPr/>
                  <m:t>v</m:t>
                </m:r>
                <m:r>
                  <m:rPr>
                    <m:sty m:val="p"/>
                  </m:rPr>
                  <m:t>∣</m:t>
                </m:r>
                <m:r>
                  <m:rPr/>
                  <m:t>x</m:t>
                </m:r>
                <m:r>
                  <m:rPr>
                    <m:sty m:val="p"/>
                  </m:rPr>
                  <m:t>,</m:t>
                </m:r>
                <m:sSub>
                  <m:sSubPr/>
                  <m:e>
                    <m:r>
                      <m:rPr/>
                      <m:t>y</m:t>
                    </m:r>
                  </m:e>
                  <m:sub>
                    <m:r>
                      <m:rPr>
                        <m:sty m:val="p"/>
                      </m:rPr>
                      <m:t>&lt;</m:t>
                    </m:r>
                    <m:r>
                      <m:rPr/>
                      <m:t>t</m:t>
                    </m:r>
                  </m:sub>
                </m:sSub>
                <m:r>
                  <m:rPr>
                    <m:sty m:val="p"/>
                  </m:rPr>
                  <m:t>)=</m:t>
                </m:r>
                <m:f>
                  <m:fPr/>
                  <m:num>
                    <m:r>
                      <m:rPr>
                        <m:sty m:val="p"/>
                      </m:rPr>
                      <m:t>exp</m:t>
                    </m:r>
                    <m:d>
                      <m:dPr>
                        <m:sepChr m:val=""/>
                      </m:dPr>
                      <m:e>
                        <m:sSub>
                          <m:sSubPr/>
                          <m:e>
                            <m:r>
                              <m:rPr/>
                              <m:t>z</m:t>
                            </m:r>
                          </m:e>
                          <m:sub>
                            <m:r>
                              <m:rPr/>
                              <m:t>θ</m:t>
                            </m:r>
                            <m:r>
                              <m:rPr>
                                <m:sty m:val="p"/>
                              </m:rPr>
                              <m:t>,</m:t>
                            </m:r>
                            <m:r>
                              <m:rPr/>
                              <m:t>t</m:t>
                            </m:r>
                          </m:sub>
                        </m:sSub>
                        <m:r>
                          <m:rPr>
                            <m:sty m:val="p"/>
                          </m:rPr>
                          <m:t>(</m:t>
                        </m:r>
                        <m:r>
                          <m:rPr/>
                          <m:t>v</m:t>
                        </m:r>
                        <m:r>
                          <m:rPr>
                            <m:sty m:val="p"/>
                          </m:rPr>
                          <m:t>)/</m:t>
                        </m:r>
                        <m:r>
                          <m:rPr/>
                          <m:t>τ</m:t>
                        </m:r>
                      </m:e>
                    </m:d>
                  </m:num>
                  <m:den>
                    <m:nary>
                      <m:naryPr>
                        <m:chr m:val="∑"/>
                        <m:limLoc m:val="undOvr"/>
                        <m:supHide m:val="1"/>
                      </m:naryPr>
                      <m:sub>
                        <m:r>
                          <m:rPr/>
                          <m:t>u</m:t>
                        </m:r>
                        <m:r>
                          <m:rPr>
                            <m:sty m:val="p"/>
                          </m:rPr>
                          <m:t>∈</m:t>
                        </m:r>
                        <m:r>
                          <m:rPr>
                            <m:sty m:val="p"/>
                            <m:scr m:val="script"/>
                          </m:rPr>
                          <m:t>V</m:t>
                        </m:r>
                      </m:sub>
                      <m:sup>
                        <m:r>
                          <m:rPr/>
                          <m:t>​</m:t>
                        </m:r>
                      </m:sup>
                      <m:e>
                        <m:r>
                          <m:rPr>
                            <m:sty m:val="p"/>
                          </m:rPr>
                          <m:t>exp</m:t>
                        </m:r>
                      </m:e>
                    </m:nary>
                    <m:d>
                      <m:dPr>
                        <m:sepChr m:val=""/>
                      </m:dPr>
                      <m:e>
                        <m:sSub>
                          <m:sSubPr/>
                          <m:e>
                            <m:r>
                              <m:rPr/>
                              <m:t>z</m:t>
                            </m:r>
                          </m:e>
                          <m:sub>
                            <m:r>
                              <m:rPr/>
                              <m:t>θ</m:t>
                            </m:r>
                            <m:r>
                              <m:rPr>
                                <m:sty m:val="p"/>
                              </m:rPr>
                              <m:t>,</m:t>
                            </m:r>
                            <m:r>
                              <m:rPr/>
                              <m:t>t</m:t>
                            </m:r>
                          </m:sub>
                        </m:sSub>
                        <m:r>
                          <m:rPr>
                            <m:sty m:val="p"/>
                          </m:rPr>
                          <m:t>(</m:t>
                        </m:r>
                        <m:r>
                          <m:rPr/>
                          <m:t>u</m:t>
                        </m:r>
                        <m:r>
                          <m:rPr>
                            <m:sty m:val="p"/>
                          </m:rPr>
                          <m:t>)/</m:t>
                        </m:r>
                        <m:r>
                          <m:rPr/>
                          <m:t>τ</m:t>
                        </m:r>
                      </m:e>
                    </m:d>
                  </m:den>
                </m:f>
              </m:oMath>
            </m:oMathPara>
          </w:p>
        </w:tc>
        <w:tc>
          <w:tcPr>
            <w:tcW w:w="650" w:type="dxa"/>
            <w:tcMar>
              <w:top w:w="0" w:type="dxa"/>
              <w:left w:w="0" w:type="dxa"/>
              <w:bottom w:w="0" w:type="dxa"/>
              <w:right w:w="0" w:type="dxa"/>
            </w:tcMar>
            <w:vAlign w:val="center"/>
          </w:tcPr>
          <w:p w14:paraId="22654C18">
            <w:pPr>
              <w:spacing w:before="0" w:after="0"/>
              <w:jc w:val="right"/>
            </w:pPr>
            <w:bookmarkStart w:id="34" w:name="_RefEq4_11"/>
            <w:r>
              <w:t>(4-</w:t>
            </w:r>
            <w:r>
              <w:fldChar w:fldCharType="begin"/>
            </w:r>
            <w:r>
              <w:instrText xml:space="preserve"> SEQ Eq4 \* ARABIC </w:instrText>
            </w:r>
            <w:r>
              <w:fldChar w:fldCharType="separate"/>
            </w:r>
            <w:r>
              <w:t>7</w:t>
            </w:r>
            <w:r>
              <w:fldChar w:fldCharType="end"/>
            </w:r>
            <w:r>
              <w:t>)</w:t>
            </w:r>
            <w:bookmarkEnd w:id="34"/>
          </w:p>
        </w:tc>
      </w:tr>
      <w:tr w14:paraId="56FBEEFA">
        <w:trPr>
          <w:cantSplit/>
          <w:jc w:val="center"/>
        </w:trPr>
        <w:tc>
          <w:tcPr>
            <w:tcW w:w="650" w:type="dxa"/>
            <w:tcMar>
              <w:top w:w="0" w:type="dxa"/>
              <w:left w:w="0" w:type="dxa"/>
              <w:bottom w:w="0" w:type="dxa"/>
              <w:right w:w="0" w:type="dxa"/>
            </w:tcMar>
            <w:vAlign w:val="center"/>
          </w:tcPr>
          <w:p w14:paraId="47DF2CCF">
            <w:pPr>
              <w:spacing w:before="0" w:after="0"/>
              <w:jc w:val="left"/>
            </w:pPr>
          </w:p>
        </w:tc>
        <w:tc>
          <w:tcPr>
            <w:tcW w:w="7006" w:type="dxa"/>
            <w:tcMar>
              <w:top w:w="0" w:type="dxa"/>
              <w:left w:w="0" w:type="dxa"/>
              <w:bottom w:w="0" w:type="dxa"/>
              <w:right w:w="0" w:type="dxa"/>
            </w:tcMar>
            <w:vAlign w:val="center"/>
          </w:tcPr>
          <w:p w14:paraId="53B8B744">
            <w:pPr>
              <w:spacing w:before="0" w:after="0"/>
              <w:jc w:val="center"/>
            </w:pPr>
            <m:oMathPara>
              <m:oMath>
                <m:sSub>
                  <m:sSubPr/>
                  <m:e>
                    <m:r>
                      <m:rPr/>
                      <m:t>π</m:t>
                    </m:r>
                  </m:e>
                  <m:sub>
                    <m:r>
                      <m:rPr/>
                      <m:t>θ</m:t>
                    </m:r>
                    <m:r>
                      <m:rPr>
                        <m:sty m:val="p"/>
                      </m:rPr>
                      <m:t>,</m:t>
                    </m:r>
                    <m:r>
                      <m:rPr/>
                      <m:t>τ</m:t>
                    </m:r>
                  </m:sub>
                </m:sSub>
                <m:r>
                  <m:rPr>
                    <m:sty m:val="p"/>
                  </m:rPr>
                  <m:t>(</m:t>
                </m:r>
                <m:r>
                  <m:rPr/>
                  <m:t>y</m:t>
                </m:r>
                <m:r>
                  <m:rPr>
                    <m:sty m:val="p"/>
                  </m:rPr>
                  <m:t>∣</m:t>
                </m:r>
                <m:r>
                  <m:rPr/>
                  <m:t>x</m:t>
                </m:r>
                <m:r>
                  <m:rPr>
                    <m:sty m:val="p"/>
                  </m:rPr>
                  <m:t>)=</m:t>
                </m:r>
                <m:nary>
                  <m:naryPr>
                    <m:chr m:val="∏"/>
                    <m:limLoc m:val="undOvr"/>
                  </m:naryPr>
                  <m:sub>
                    <m:r>
                      <m:rPr/>
                      <m:t>t</m:t>
                    </m:r>
                    <m:r>
                      <m:rPr>
                        <m:sty m:val="p"/>
                      </m:rPr>
                      <m:t>=</m:t>
                    </m:r>
                    <m:r>
                      <m:rPr/>
                      <m:t>1</m:t>
                    </m:r>
                  </m:sub>
                  <m:sup>
                    <m:r>
                      <m:rPr/>
                      <m:t>T</m:t>
                    </m:r>
                  </m:sup>
                  <m:e>
                    <m:sSub>
                      <m:sSubPr/>
                      <m:e>
                        <m:r>
                          <m:rPr/>
                          <m:t>π</m:t>
                        </m:r>
                      </m:e>
                      <m:sub>
                        <m:r>
                          <m:rPr/>
                          <m:t>θ</m:t>
                        </m:r>
                        <m:r>
                          <m:rPr>
                            <m:sty m:val="p"/>
                          </m:rPr>
                          <m:t>,</m:t>
                        </m:r>
                        <m:r>
                          <m:rPr/>
                          <m:t>τ</m:t>
                        </m:r>
                      </m:sub>
                    </m:sSub>
                  </m:e>
                </m:nary>
                <m:r>
                  <m:rPr>
                    <m:sty m:val="p"/>
                  </m:rPr>
                  <m:t>(</m:t>
                </m:r>
                <m:sSub>
                  <m:sSubPr/>
                  <m:e>
                    <m:r>
                      <m:rPr/>
                      <m:t>y</m:t>
                    </m:r>
                  </m:e>
                  <m:sub>
                    <m:r>
                      <m:rPr/>
                      <m:t>t</m:t>
                    </m:r>
                  </m:sub>
                </m:sSub>
                <m:r>
                  <m:rPr>
                    <m:sty m:val="p"/>
                  </m:rPr>
                  <m:t>∣</m:t>
                </m:r>
                <m:r>
                  <m:rPr/>
                  <m:t>x</m:t>
                </m:r>
                <m:r>
                  <m:rPr>
                    <m:sty m:val="p"/>
                  </m:rPr>
                  <m:t>,</m:t>
                </m:r>
                <m:sSub>
                  <m:sSubPr/>
                  <m:e>
                    <m:r>
                      <m:rPr/>
                      <m:t>y</m:t>
                    </m:r>
                  </m:e>
                  <m:sub>
                    <m:r>
                      <m:rPr>
                        <m:sty m:val="p"/>
                      </m:rPr>
                      <m:t>&lt;</m:t>
                    </m:r>
                    <m:r>
                      <m:rPr/>
                      <m:t>t</m:t>
                    </m:r>
                  </m:sub>
                </m:sSub>
                <m:r>
                  <m:rPr>
                    <m:sty m:val="p"/>
                  </m:rPr>
                  <m:t>)</m:t>
                </m:r>
              </m:oMath>
            </m:oMathPara>
          </w:p>
        </w:tc>
        <w:tc>
          <w:tcPr>
            <w:tcW w:w="650" w:type="dxa"/>
            <w:tcMar>
              <w:top w:w="0" w:type="dxa"/>
              <w:left w:w="0" w:type="dxa"/>
              <w:bottom w:w="0" w:type="dxa"/>
              <w:right w:w="0" w:type="dxa"/>
            </w:tcMar>
            <w:vAlign w:val="center"/>
          </w:tcPr>
          <w:p w14:paraId="62E2B017">
            <w:pPr>
              <w:spacing w:before="0" w:after="0"/>
              <w:jc w:val="right"/>
            </w:pPr>
            <w:bookmarkStart w:id="35" w:name="_RefEq4_12"/>
            <w:r>
              <w:t>(4-</w:t>
            </w:r>
            <w:r>
              <w:fldChar w:fldCharType="begin"/>
            </w:r>
            <w:r>
              <w:instrText xml:space="preserve"> SEQ Eq4 \* ARABIC </w:instrText>
            </w:r>
            <w:r>
              <w:fldChar w:fldCharType="separate"/>
            </w:r>
            <w:r>
              <w:t>8</w:t>
            </w:r>
            <w:r>
              <w:fldChar w:fldCharType="end"/>
            </w:r>
            <w:r>
              <w:t>)</w:t>
            </w:r>
            <w:bookmarkEnd w:id="35"/>
          </w:p>
        </w:tc>
      </w:tr>
    </w:tbl>
    <w:p w14:paraId="516744BC">
      <w:pPr>
        <w:ind w:firstLine="420"/>
        <w:jc w:val="both"/>
      </w:pPr>
      <w:r>
        <w:t>教师不重新生成替代答案，而是在学生已经到达的前缀上评分，使监督对应学生可能实际访问的状态。对同一前缀，师生两侧分别计算 logits 并通过 softmax 得到条件概率分布。状态另按函数选择、参数键、参数值和结构标记分类；无法根据 schema 与解析规则可靠分类的位置单独记录，不把推测的错误位置当作已验证标签。</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7BFC19BA">
        <w:trPr>
          <w:cantSplit/>
          <w:jc w:val="center"/>
        </w:trPr>
        <w:tc>
          <w:tcPr>
            <w:tcW w:w="650" w:type="dxa"/>
            <w:tcMar>
              <w:top w:w="0" w:type="dxa"/>
              <w:left w:w="0" w:type="dxa"/>
              <w:bottom w:w="0" w:type="dxa"/>
              <w:right w:w="0" w:type="dxa"/>
            </w:tcMar>
            <w:vAlign w:val="center"/>
          </w:tcPr>
          <w:p w14:paraId="1976E4FE">
            <w:pPr>
              <w:spacing w:before="0" w:after="0"/>
              <w:jc w:val="left"/>
            </w:pPr>
          </w:p>
        </w:tc>
        <w:tc>
          <w:tcPr>
            <w:tcW w:w="7006" w:type="dxa"/>
            <w:tcMar>
              <w:top w:w="0" w:type="dxa"/>
              <w:left w:w="0" w:type="dxa"/>
              <w:bottom w:w="0" w:type="dxa"/>
              <w:right w:w="0" w:type="dxa"/>
            </w:tcMar>
            <w:vAlign w:val="center"/>
          </w:tcPr>
          <w:p w14:paraId="02F7125C">
            <w:pPr>
              <w:spacing w:before="0" w:after="0"/>
              <w:jc w:val="center"/>
            </w:pPr>
            <m:oMathPara>
              <m:oMath>
                <m:sSub>
                  <m:sSubPr/>
                  <m:e>
                    <m:r>
                      <m:rPr/>
                      <m:t>p</m:t>
                    </m:r>
                  </m:e>
                  <m:sub>
                    <m:r>
                      <m:rPr/>
                      <m:t>T</m:t>
                    </m:r>
                    <m:r>
                      <m:rPr>
                        <m:sty m:val="p"/>
                      </m:rPr>
                      <m:t>,</m:t>
                    </m:r>
                    <m:r>
                      <m:rPr/>
                      <m:t>t</m:t>
                    </m:r>
                  </m:sub>
                </m:sSub>
                <m:r>
                  <m:rPr>
                    <m:sty m:val="p"/>
                  </m:rPr>
                  <m:t>=softmax</m:t>
                </m:r>
                <m:d>
                  <m:dPr>
                    <m:sepChr m:val=""/>
                  </m:dPr>
                  <m:e>
                    <m:sSub>
                      <m:sSubPr/>
                      <m:e>
                        <m:r>
                          <m:rPr/>
                          <m:t>z</m:t>
                        </m:r>
                      </m:e>
                      <m:sub>
                        <m:r>
                          <m:rPr/>
                          <m:t>ϕ</m:t>
                        </m:r>
                        <m:r>
                          <m:rPr>
                            <m:sty m:val="p"/>
                          </m:rPr>
                          <m:t>,</m:t>
                        </m:r>
                        <m:r>
                          <m:rPr/>
                          <m:t>t</m:t>
                        </m:r>
                      </m:sub>
                    </m:sSub>
                    <m:r>
                      <m:rPr>
                        <m:sty m:val="p"/>
                      </m:rPr>
                      <m:t>/</m:t>
                    </m:r>
                    <m:sSub>
                      <m:sSubPr/>
                      <m:e>
                        <m:r>
                          <m:rPr/>
                          <m:t>τ</m:t>
                        </m:r>
                      </m:e>
                      <m:sub>
                        <m:r>
                          <m:rPr/>
                          <m:t>T</m:t>
                        </m:r>
                      </m:sub>
                    </m:sSub>
                  </m:e>
                </m:d>
              </m:oMath>
            </m:oMathPara>
          </w:p>
        </w:tc>
        <w:tc>
          <w:tcPr>
            <w:tcW w:w="650" w:type="dxa"/>
            <w:tcMar>
              <w:top w:w="0" w:type="dxa"/>
              <w:left w:w="0" w:type="dxa"/>
              <w:bottom w:w="0" w:type="dxa"/>
              <w:right w:w="0" w:type="dxa"/>
            </w:tcMar>
            <w:vAlign w:val="center"/>
          </w:tcPr>
          <w:p w14:paraId="4D24ED7C">
            <w:pPr>
              <w:spacing w:before="0" w:after="0"/>
              <w:jc w:val="right"/>
            </w:pPr>
            <w:bookmarkStart w:id="36" w:name="_RefEq4_13"/>
            <w:r>
              <w:t>(4-</w:t>
            </w:r>
            <w:r>
              <w:fldChar w:fldCharType="begin"/>
            </w:r>
            <w:r>
              <w:instrText xml:space="preserve"> SEQ Eq4 \* ARABIC </w:instrText>
            </w:r>
            <w:r>
              <w:fldChar w:fldCharType="separate"/>
            </w:r>
            <w:r>
              <w:t>9</w:t>
            </w:r>
            <w:r>
              <w:fldChar w:fldCharType="end"/>
            </w:r>
            <w:r>
              <w:t>)</w:t>
            </w:r>
            <w:bookmarkEnd w:id="36"/>
          </w:p>
        </w:tc>
      </w:tr>
      <w:tr w14:paraId="15BE7EF7">
        <w:trPr>
          <w:cantSplit/>
          <w:jc w:val="center"/>
        </w:trPr>
        <w:tc>
          <w:tcPr>
            <w:tcW w:w="650" w:type="dxa"/>
            <w:tcMar>
              <w:top w:w="0" w:type="dxa"/>
              <w:left w:w="0" w:type="dxa"/>
              <w:bottom w:w="0" w:type="dxa"/>
              <w:right w:w="0" w:type="dxa"/>
            </w:tcMar>
            <w:vAlign w:val="center"/>
          </w:tcPr>
          <w:p w14:paraId="2CB5A4FD">
            <w:pPr>
              <w:spacing w:before="0" w:after="0"/>
              <w:jc w:val="left"/>
            </w:pPr>
          </w:p>
        </w:tc>
        <w:tc>
          <w:tcPr>
            <w:tcW w:w="7006" w:type="dxa"/>
            <w:tcMar>
              <w:top w:w="0" w:type="dxa"/>
              <w:left w:w="0" w:type="dxa"/>
              <w:bottom w:w="0" w:type="dxa"/>
              <w:right w:w="0" w:type="dxa"/>
            </w:tcMar>
            <w:vAlign w:val="center"/>
          </w:tcPr>
          <w:p w14:paraId="6CAA0D15">
            <w:pPr>
              <w:spacing w:before="0" w:after="0"/>
              <w:jc w:val="center"/>
            </w:pPr>
            <m:oMathPara>
              <m:oMath>
                <m:sSub>
                  <m:sSubPr/>
                  <m:e>
                    <m:r>
                      <m:rPr/>
                      <m:t>p</m:t>
                    </m:r>
                  </m:e>
                  <m:sub>
                    <m:r>
                      <m:rPr/>
                      <m:t>S</m:t>
                    </m:r>
                    <m:r>
                      <m:rPr>
                        <m:sty m:val="p"/>
                      </m:rPr>
                      <m:t>,</m:t>
                    </m:r>
                    <m:r>
                      <m:rPr/>
                      <m:t>t</m:t>
                    </m:r>
                  </m:sub>
                </m:sSub>
                <m:r>
                  <m:rPr>
                    <m:sty m:val="p"/>
                  </m:rPr>
                  <m:t>=softmax</m:t>
                </m:r>
                <m:d>
                  <m:dPr>
                    <m:sepChr m:val=""/>
                  </m:dPr>
                  <m:e>
                    <m:sSub>
                      <m:sSubPr/>
                      <m:e>
                        <m:r>
                          <m:rPr/>
                          <m:t>z</m:t>
                        </m:r>
                      </m:e>
                      <m:sub>
                        <m:r>
                          <m:rPr/>
                          <m:t>θ</m:t>
                        </m:r>
                        <m:r>
                          <m:rPr>
                            <m:sty m:val="p"/>
                          </m:rPr>
                          <m:t>,</m:t>
                        </m:r>
                        <m:r>
                          <m:rPr/>
                          <m:t>t</m:t>
                        </m:r>
                      </m:sub>
                    </m:sSub>
                    <m:r>
                      <m:rPr>
                        <m:sty m:val="p"/>
                      </m:rPr>
                      <m:t>/</m:t>
                    </m:r>
                    <m:sSub>
                      <m:sSubPr/>
                      <m:e>
                        <m:r>
                          <m:rPr/>
                          <m:t>τ</m:t>
                        </m:r>
                      </m:e>
                      <m:sub>
                        <m:r>
                          <m:rPr/>
                          <m:t>S</m:t>
                        </m:r>
                      </m:sub>
                    </m:sSub>
                  </m:e>
                </m:d>
              </m:oMath>
            </m:oMathPara>
          </w:p>
        </w:tc>
        <w:tc>
          <w:tcPr>
            <w:tcW w:w="650" w:type="dxa"/>
            <w:tcMar>
              <w:top w:w="0" w:type="dxa"/>
              <w:left w:w="0" w:type="dxa"/>
              <w:bottom w:w="0" w:type="dxa"/>
              <w:right w:w="0" w:type="dxa"/>
            </w:tcMar>
            <w:vAlign w:val="center"/>
          </w:tcPr>
          <w:p w14:paraId="49910016">
            <w:pPr>
              <w:spacing w:before="0" w:after="0"/>
              <w:jc w:val="right"/>
            </w:pPr>
          </w:p>
        </w:tc>
      </w:tr>
    </w:tbl>
    <w:p w14:paraId="12A643D7">
      <w:pPr>
        <w:ind w:firstLine="420"/>
        <w:jc w:val="both"/>
      </w:pPr>
      <w:r>
        <w:t>有效位置由消息边界和工具调用边界共同确定。监督掩码同时检查当前位置是否属于 assistant 或 function-call 区域，以及该位置是否未被 padding 或截断排除，定义如下：</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547D7102">
        <w:trPr>
          <w:cantSplit/>
          <w:jc w:val="center"/>
        </w:trPr>
        <w:tc>
          <w:tcPr>
            <w:tcW w:w="650" w:type="dxa"/>
            <w:tcMar>
              <w:top w:w="0" w:type="dxa"/>
              <w:left w:w="0" w:type="dxa"/>
              <w:bottom w:w="0" w:type="dxa"/>
              <w:right w:w="0" w:type="dxa"/>
            </w:tcMar>
            <w:vAlign w:val="center"/>
          </w:tcPr>
          <w:p w14:paraId="1C7958E3">
            <w:pPr>
              <w:spacing w:before="0" w:after="0"/>
              <w:jc w:val="left"/>
            </w:pPr>
          </w:p>
        </w:tc>
        <w:tc>
          <w:tcPr>
            <w:tcW w:w="7006" w:type="dxa"/>
            <w:tcMar>
              <w:top w:w="0" w:type="dxa"/>
              <w:left w:w="0" w:type="dxa"/>
              <w:bottom w:w="0" w:type="dxa"/>
              <w:right w:w="0" w:type="dxa"/>
            </w:tcMar>
            <w:vAlign w:val="center"/>
          </w:tcPr>
          <w:p w14:paraId="16AFEE9A">
            <w:pPr>
              <w:spacing w:before="0" w:after="0"/>
              <w:jc w:val="center"/>
            </w:pPr>
            <m:oMathPara>
              <m:oMath>
                <m:sSub>
                  <m:sSubPr/>
                  <m:e>
                    <m:r>
                      <m:rPr/>
                      <m:t>m</m:t>
                    </m:r>
                  </m:e>
                  <m:sub>
                    <m:r>
                      <m:rPr/>
                      <m:t>t</m:t>
                    </m:r>
                  </m:sub>
                </m:sSub>
                <m:r>
                  <m:rPr>
                    <m:sty m:val="p"/>
                  </m:rPr>
                  <m:t>=</m:t>
                </m:r>
                <m:r>
                  <m:rPr>
                    <m:sty m:val="b"/>
                  </m:rPr>
                  <m:t>1</m:t>
                </m:r>
                <m:r>
                  <m:rPr>
                    <m:sty m:val="b"/>
                  </m:rPr>
                  <w:rPr>
                    <w:rFonts w:hint="default" w:ascii="DejaVu Math TeX Gyre" w:hAnsi="DejaVu Math TeX Gyre"/>
                    <w:lang w:val="en-US"/>
                  </w:rPr>
                  <m:t xml:space="preserve">  </m:t>
                </m:r>
                <m:d>
                  <m:dPr>
                    <m:begChr m:val="{"/>
                    <m:sepChr m:val=""/>
                    <m:endChr m:val="}"/>
                  </m:dPr>
                  <m:e>
                    <m:r>
                      <m:rPr>
                        <m:sty m:val="p"/>
                      </m:rPr>
                      <m:t>(</m:t>
                    </m:r>
                    <m:sSub>
                      <m:sSubPr/>
                      <m:e>
                        <m:r>
                          <m:rPr/>
                          <m:t>a</m:t>
                        </m:r>
                      </m:e>
                      <m:sub>
                        <m:r>
                          <m:rPr/>
                          <m:t>t</m:t>
                        </m:r>
                      </m:sub>
                    </m:sSub>
                    <m:r>
                      <m:rPr>
                        <m:sty m:val="p"/>
                      </m:rPr>
                      <m:t>∨</m:t>
                    </m:r>
                    <m:sSub>
                      <m:sSubPr/>
                      <m:e>
                        <m:r>
                          <m:rPr/>
                          <m:t>c</m:t>
                        </m:r>
                      </m:e>
                      <m:sub>
                        <m:r>
                          <m:rPr/>
                          <m:t>t</m:t>
                        </m:r>
                      </m:sub>
                    </m:sSub>
                    <m:r>
                      <m:rPr>
                        <m:sty m:val="p"/>
                      </m:rPr>
                      <m:t>)∧</m:t>
                    </m:r>
                    <m:sSub>
                      <m:sSubPr/>
                      <m:e>
                        <m:r>
                          <m:rPr/>
                          <m:t>r</m:t>
                        </m:r>
                      </m:e>
                      <m:sub>
                        <m:r>
                          <m:rPr/>
                          <m:t>t</m:t>
                        </m:r>
                      </m:sub>
                    </m:sSub>
                  </m:e>
                </m:d>
              </m:oMath>
            </m:oMathPara>
          </w:p>
        </w:tc>
        <w:tc>
          <w:tcPr>
            <w:tcW w:w="650" w:type="dxa"/>
            <w:tcMar>
              <w:top w:w="0" w:type="dxa"/>
              <w:left w:w="0" w:type="dxa"/>
              <w:bottom w:w="0" w:type="dxa"/>
              <w:right w:w="0" w:type="dxa"/>
            </w:tcMar>
            <w:vAlign w:val="center"/>
          </w:tcPr>
          <w:p w14:paraId="34A630B7">
            <w:pPr>
              <w:spacing w:before="0" w:after="0"/>
              <w:jc w:val="right"/>
            </w:pPr>
            <w:bookmarkStart w:id="37" w:name="_RefEq4_15"/>
            <w:r>
              <w:t>(4-</w:t>
            </w:r>
            <w:r>
              <w:fldChar w:fldCharType="begin"/>
            </w:r>
            <w:r>
              <w:instrText xml:space="preserve"> SEQ Eq4 \* ARABIC </w:instrText>
            </w:r>
            <w:r>
              <w:fldChar w:fldCharType="separate"/>
            </w:r>
            <w:r>
              <w:t>10</w:t>
            </w:r>
            <w:r>
              <w:fldChar w:fldCharType="end"/>
            </w:r>
            <w:r>
              <w:t>)</w:t>
            </w:r>
            <w:bookmarkEnd w:id="37"/>
          </w:p>
        </w:tc>
      </w:tr>
      <w:tr w14:paraId="7D479272">
        <w:trPr>
          <w:cantSplit/>
          <w:jc w:val="center"/>
        </w:trPr>
        <w:tc>
          <w:tcPr>
            <w:tcW w:w="650" w:type="dxa"/>
            <w:tcMar>
              <w:top w:w="0" w:type="dxa"/>
              <w:left w:w="0" w:type="dxa"/>
              <w:bottom w:w="0" w:type="dxa"/>
              <w:right w:w="0" w:type="dxa"/>
            </w:tcMar>
            <w:vAlign w:val="center"/>
          </w:tcPr>
          <w:p w14:paraId="72D63CD7">
            <w:pPr>
              <w:spacing w:before="0" w:after="0"/>
              <w:jc w:val="left"/>
            </w:pPr>
          </w:p>
        </w:tc>
        <w:tc>
          <w:tcPr>
            <w:tcW w:w="7006" w:type="dxa"/>
            <w:tcMar>
              <w:top w:w="0" w:type="dxa"/>
              <w:left w:w="0" w:type="dxa"/>
              <w:bottom w:w="0" w:type="dxa"/>
              <w:right w:w="0" w:type="dxa"/>
            </w:tcMar>
            <w:vAlign w:val="center"/>
          </w:tcPr>
          <w:p w14:paraId="3ACC4281">
            <w:pPr>
              <w:spacing w:before="0" w:after="0"/>
              <w:jc w:val="center"/>
            </w:pPr>
            <m:oMathPara>
              <m:oMath>
                <m:r>
                  <m:rPr>
                    <m:sty m:val="p"/>
                    <m:scr m:val="script"/>
                  </m:rPr>
                  <m:t>ℒ</m:t>
                </m:r>
                <m:r>
                  <m:rPr>
                    <m:sty m:val="p"/>
                  </m:rPr>
                  <m:t>(</m:t>
                </m:r>
                <m:r>
                  <m:rPr/>
                  <m:t>y</m:t>
                </m:r>
                <m:r>
                  <m:rPr>
                    <m:sty m:val="p"/>
                  </m:rPr>
                  <m:t>)=</m:t>
                </m:r>
                <m:f>
                  <m:fPr/>
                  <m:num>
                    <m:nary>
                      <m:naryPr>
                        <m:chr m:val="∑"/>
                        <m:limLoc m:val="undOvr"/>
                      </m:naryPr>
                      <m:sub>
                        <m:r>
                          <m:rPr/>
                          <m:t>t</m:t>
                        </m:r>
                        <m:r>
                          <m:rPr>
                            <m:sty m:val="p"/>
                          </m:rPr>
                          <m:t>=</m:t>
                        </m:r>
                        <m:r>
                          <m:rPr/>
                          <m:t>1</m:t>
                        </m:r>
                      </m:sub>
                      <m:sup>
                        <m:r>
                          <m:rPr/>
                          <m:t>T</m:t>
                        </m:r>
                      </m:sup>
                      <m:e>
                        <m:sSub>
                          <m:sSubPr/>
                          <m:e>
                            <m:r>
                              <m:rPr/>
                              <m:t>m</m:t>
                            </m:r>
                          </m:e>
                          <m:sub>
                            <m:r>
                              <m:rPr/>
                              <m:t>t</m:t>
                            </m:r>
                          </m:sub>
                        </m:sSub>
                      </m:e>
                    </m:nary>
                    <m:sSub>
                      <m:sSubPr/>
                      <m:e>
                        <m:r>
                          <m:rPr>
                            <m:sty m:val="p"/>
                            <m:scr m:val="script"/>
                          </m:rPr>
                          <m:t>ℒ</m:t>
                        </m:r>
                      </m:e>
                      <m:sub>
                        <m:r>
                          <m:rPr/>
                          <m:t>t</m:t>
                        </m:r>
                      </m:sub>
                    </m:sSub>
                  </m:num>
                  <m:den>
                    <m:r>
                      <m:rPr>
                        <m:sty m:val="p"/>
                      </m:rPr>
                      <m:t>max</m:t>
                    </m:r>
                    <m:r>
                      <m:rPr/>
                      <m:t>​</m:t>
                    </m:r>
                    <m:d>
                      <m:dPr>
                        <m:sepChr m:val=""/>
                      </m:dPr>
                      <m:e>
                        <m:r>
                          <m:rPr/>
                          <m:t>1</m:t>
                        </m:r>
                        <m:r>
                          <m:rPr>
                            <m:sty m:val="p"/>
                          </m:rPr>
                          <m:t>,</m:t>
                        </m:r>
                        <m:nary>
                          <m:naryPr>
                            <m:chr m:val="∑"/>
                            <m:limLoc m:val="undOvr"/>
                          </m:naryPr>
                          <m:sub>
                            <m:r>
                              <m:rPr/>
                              <m:t>t</m:t>
                            </m:r>
                            <m:r>
                              <m:rPr>
                                <m:sty m:val="p"/>
                              </m:rPr>
                              <m:t>=</m:t>
                            </m:r>
                            <m:r>
                              <m:rPr/>
                              <m:t>1</m:t>
                            </m:r>
                          </m:sub>
                          <m:sup>
                            <m:r>
                              <m:rPr/>
                              <m:t>T</m:t>
                            </m:r>
                          </m:sup>
                          <m:e>
                            <m:sSub>
                              <m:sSubPr/>
                              <m:e>
                                <m:r>
                                  <m:rPr/>
                                  <m:t>m</m:t>
                                </m:r>
                              </m:e>
                              <m:sub>
                                <m:r>
                                  <m:rPr/>
                                  <m:t>t</m:t>
                                </m:r>
                              </m:sub>
                            </m:sSub>
                          </m:e>
                        </m:nary>
                      </m:e>
                    </m:d>
                  </m:den>
                </m:f>
              </m:oMath>
            </m:oMathPara>
          </w:p>
        </w:tc>
        <w:tc>
          <w:tcPr>
            <w:tcW w:w="650" w:type="dxa"/>
            <w:tcMar>
              <w:top w:w="0" w:type="dxa"/>
              <w:left w:w="0" w:type="dxa"/>
              <w:bottom w:w="0" w:type="dxa"/>
              <w:right w:w="0" w:type="dxa"/>
            </w:tcMar>
            <w:vAlign w:val="center"/>
          </w:tcPr>
          <w:p w14:paraId="4DC4BE71">
            <w:pPr>
              <w:spacing w:before="0" w:after="0"/>
              <w:jc w:val="right"/>
            </w:pPr>
            <w:bookmarkStart w:id="38" w:name="_RefEq4_16"/>
            <w:r>
              <w:t>(4-</w:t>
            </w:r>
            <w:r>
              <w:fldChar w:fldCharType="begin"/>
            </w:r>
            <w:r>
              <w:instrText xml:space="preserve"> SEQ Eq4 \* ARABIC </w:instrText>
            </w:r>
            <w:r>
              <w:fldChar w:fldCharType="separate"/>
            </w:r>
            <w:r>
              <w:t>11</w:t>
            </w:r>
            <w:r>
              <w:fldChar w:fldCharType="end"/>
            </w:r>
            <w:r>
              <w:t>)</w:t>
            </w:r>
            <w:bookmarkEnd w:id="38"/>
          </w:p>
        </w:tc>
      </w:tr>
    </w:tbl>
    <w:p w14:paraId="5CF6615E">
      <w:pPr>
        <w:ind w:firstLine="420"/>
        <w:jc w:val="both"/>
        <w:rPr>
          <w:rFonts w:hint="default" w:eastAsia="宋体"/>
          <w:i w:val="0"/>
          <w:lang w:val="en-US" w:eastAsia="zh-CN"/>
        </w:rPr>
      </w:pPr>
      <w:r>
        <w:rPr>
          <w:rFonts w:hint="default" w:eastAsia="宋体"/>
          <w:i w:val="0"/>
          <w:lang w:val="en-US" w:eastAsia="zh-CN"/>
        </w:rPr>
        <w:t>其中，</w:t>
      </w:r>
      <m:oMath>
        <m:r>
          <m:rPr/>
          <w:rPr>
            <w:rFonts w:hint="default" w:ascii="DejaVu Math TeX Gyre" w:hAnsi="DejaVu Math TeX Gyre" w:eastAsia="宋体"/>
            <w:sz w:val="24"/>
          </w:rPr>
          <m:t>(</m:t>
        </m:r>
        <m:r>
          <m:rPr>
            <m:sty m:val="b"/>
          </m:rPr>
          <w:rPr>
            <w:rFonts w:hint="default" w:ascii="DejaVu Math TeX Gyre" w:hAnsi="DejaVu Math TeX Gyre" w:eastAsia="宋体"/>
            <w:sz w:val="24"/>
          </w:rPr>
          <m:t>1</m:t>
        </m:r>
        <m:r>
          <m:rPr/>
          <w:rPr>
            <w:rFonts w:hint="default" w:ascii="DejaVu Math TeX Gyre" w:hAnsi="DejaVu Math TeX Gyre" w:eastAsia="宋体"/>
            <w:sz w:val="24"/>
          </w:rPr>
          <m:t>{⋅})</m:t>
        </m:r>
      </m:oMath>
      <w:r>
        <w:rPr>
          <w:rFonts w:hint="default" w:eastAsia="宋体"/>
          <w:i w:val="0"/>
          <w:lang w:val="en-US" w:eastAsia="zh-CN"/>
        </w:rPr>
        <w:t xml:space="preserve"> 为示性函数，条件成立时取 1，否则取 0。</w:t>
      </w:r>
    </w:p>
    <w:p w14:paraId="1BA6CEF5">
      <w:pPr>
        <w:ind w:firstLine="420"/>
        <w:jc w:val="left"/>
        <w:rPr>
          <w:rFonts w:hint="default" w:eastAsia="宋体"/>
          <w:i w:val="0"/>
          <w:lang w:val="en-US" w:eastAsia="zh-CN"/>
        </w:rPr>
      </w:pPr>
    </w:p>
    <w:p w14:paraId="34612BD4">
      <w:pPr>
        <w:keepNext/>
        <w:spacing w:before="80" w:after="80" w:line="240" w:lineRule="auto"/>
        <w:ind w:left="0" w:right="0" w:firstLine="0"/>
        <w:jc w:val="center"/>
      </w:pPr>
      <w:r>
        <w:rPr>
          <w:rFonts w:ascii="Times New Roman" w:hAnsi="Times New Roman" w:eastAsia="Songti SC"/>
          <w:sz w:val="21"/>
        </w:rPr>
        <w:t xml:space="preserve">表 </w:t>
      </w:r>
      <w:bookmarkStart w:id="39" w:name="_RefTable4_1"/>
      <w:r>
        <w:rPr>
          <w:rFonts w:ascii="Times New Roman" w:hAnsi="Times New Roman" w:eastAsia="Songti SC"/>
          <w:sz w:val="21"/>
        </w:rPr>
        <w:t>4-</w:t>
      </w:r>
      <w:r>
        <w:rPr>
          <w:rFonts w:ascii="Times New Roman" w:hAnsi="Times New Roman" w:eastAsia="Songti SC"/>
          <w:sz w:val="21"/>
        </w:rPr>
        <w:fldChar w:fldCharType="begin"/>
      </w:r>
      <w:r>
        <w:rPr>
          <w:rFonts w:ascii="Times New Roman" w:hAnsi="Times New Roman" w:eastAsia="Songti SC"/>
          <w:sz w:val="21"/>
        </w:rPr>
        <w:instrText xml:space="preserve"> SEQ TableCh4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39"/>
      <w:r>
        <w:rPr>
          <w:rFonts w:ascii="Times New Roman" w:hAnsi="Times New Roman" w:eastAsia="Songti SC"/>
          <w:sz w:val="21"/>
        </w:rPr>
        <w:t xml:space="preserve">  在线策略蒸馏各环节的统一与记录要求</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16"/>
        <w:gridCol w:w="2996"/>
        <w:gridCol w:w="2810"/>
      </w:tblGrid>
      <w:tr w14:paraId="50064079">
        <w:trPr>
          <w:tblHeader/>
        </w:trPr>
        <w:tc>
          <w:tcPr>
            <w:tcW w:w="4148" w:type="dxa"/>
          </w:tcPr>
          <w:p w14:paraId="0C49D226">
            <w:pPr>
              <w:ind w:firstLine="0"/>
              <w:jc w:val="left"/>
            </w:pPr>
            <w:r>
              <w:rPr>
                <w:b/>
              </w:rPr>
              <w:t>环节</w:t>
            </w:r>
          </w:p>
        </w:tc>
        <w:tc>
          <w:tcPr>
            <w:tcW w:w="4148" w:type="dxa"/>
          </w:tcPr>
          <w:p w14:paraId="336AD755">
            <w:pPr>
              <w:ind w:firstLine="0"/>
              <w:jc w:val="left"/>
            </w:pPr>
            <w:r>
              <w:rPr>
                <w:b/>
              </w:rPr>
              <w:t>需要统一的对象</w:t>
            </w:r>
          </w:p>
        </w:tc>
        <w:tc>
          <w:tcPr>
            <w:tcW w:w="4148" w:type="dxa"/>
          </w:tcPr>
          <w:p w14:paraId="31867045">
            <w:pPr>
              <w:ind w:firstLine="0"/>
              <w:jc w:val="left"/>
            </w:pPr>
            <w:r>
              <w:rPr>
                <w:b/>
              </w:rPr>
              <w:t>需要单独记录的内容</w:t>
            </w:r>
          </w:p>
        </w:tc>
      </w:tr>
      <w:tr w14:paraId="01332DD2">
        <w:tc>
          <w:tcPr>
            <w:tcW w:w="4148" w:type="dxa"/>
          </w:tcPr>
          <w:p w14:paraId="09B52528">
            <w:pPr>
              <w:ind w:firstLine="0"/>
              <w:jc w:val="left"/>
            </w:pPr>
            <w:r>
              <w:t>学生生成</w:t>
            </w:r>
          </w:p>
        </w:tc>
        <w:tc>
          <w:tcPr>
            <w:tcW w:w="4148" w:type="dxa"/>
          </w:tcPr>
          <w:p w14:paraId="3826A6F6">
            <w:pPr>
              <w:ind w:firstLine="0"/>
              <w:jc w:val="left"/>
            </w:pPr>
            <w:r>
              <w:t>输入消息、工具 schema、停止条件和采样规则</w:t>
            </w:r>
          </w:p>
        </w:tc>
        <w:tc>
          <w:tcPr>
            <w:tcW w:w="4148" w:type="dxa"/>
          </w:tcPr>
          <w:p w14:paraId="354CD563">
            <w:pPr>
              <w:ind w:firstLine="0"/>
              <w:jc w:val="left"/>
            </w:pPr>
            <w:r>
              <w:t>生成长度、结束原因、格式解析状态</w:t>
            </w:r>
          </w:p>
        </w:tc>
      </w:tr>
      <w:tr w14:paraId="66AC128B">
        <w:tc>
          <w:tcPr>
            <w:tcW w:w="4148" w:type="dxa"/>
          </w:tcPr>
          <w:p w14:paraId="3B8D2172">
            <w:pPr>
              <w:ind w:firstLine="0"/>
              <w:jc w:val="left"/>
            </w:pPr>
            <w:r>
              <w:t>教师反馈</w:t>
            </w:r>
          </w:p>
        </w:tc>
        <w:tc>
          <w:tcPr>
            <w:tcW w:w="4148" w:type="dxa"/>
          </w:tcPr>
          <w:p w14:paraId="446F33C3">
            <w:pPr>
              <w:ind w:firstLine="0"/>
              <w:jc w:val="left"/>
            </w:pPr>
            <w:r>
              <w:t>学生前缀、教师模型与 token 对齐关系</w:t>
            </w:r>
          </w:p>
        </w:tc>
        <w:tc>
          <w:tcPr>
            <w:tcW w:w="4148" w:type="dxa"/>
          </w:tcPr>
          <w:p w14:paraId="35BEDF60">
            <w:pPr>
              <w:ind w:firstLine="0"/>
              <w:jc w:val="left"/>
            </w:pPr>
            <w:r>
              <w:t>反馈粒度、支持集和教师计算量</w:t>
            </w:r>
          </w:p>
        </w:tc>
      </w:tr>
      <w:tr w14:paraId="2B2B9D61">
        <w:tc>
          <w:tcPr>
            <w:tcW w:w="4148" w:type="dxa"/>
          </w:tcPr>
          <w:p w14:paraId="39CF59A9">
            <w:pPr>
              <w:ind w:firstLine="0"/>
              <w:jc w:val="left"/>
            </w:pPr>
            <w:r>
              <w:t>学生更新</w:t>
            </w:r>
          </w:p>
        </w:tc>
        <w:tc>
          <w:tcPr>
            <w:tcW w:w="4148" w:type="dxa"/>
          </w:tcPr>
          <w:p w14:paraId="254427D2">
            <w:pPr>
              <w:ind w:firstLine="0"/>
              <w:jc w:val="left"/>
            </w:pPr>
            <w:r>
              <w:t>学生 logits、LoRA 参数和 mask</w:t>
            </w:r>
          </w:p>
        </w:tc>
        <w:tc>
          <w:tcPr>
            <w:tcW w:w="4148" w:type="dxa"/>
          </w:tcPr>
          <w:p w14:paraId="5442D8FD">
            <w:pPr>
              <w:ind w:firstLine="0"/>
              <w:jc w:val="left"/>
            </w:pPr>
            <w:r>
              <w:t>散度设置、梯度处理和异常损失</w:t>
            </w:r>
          </w:p>
        </w:tc>
      </w:tr>
      <w:tr w14:paraId="736CFA89">
        <w:tc>
          <w:tcPr>
            <w:tcW w:w="4148" w:type="dxa"/>
          </w:tcPr>
          <w:p w14:paraId="44613D10">
            <w:pPr>
              <w:ind w:firstLine="0"/>
              <w:jc w:val="left"/>
            </w:pPr>
            <w:r>
              <w:t>最终评测</w:t>
            </w:r>
          </w:p>
        </w:tc>
        <w:tc>
          <w:tcPr>
            <w:tcW w:w="4148" w:type="dxa"/>
          </w:tcPr>
          <w:p w14:paraId="14EEC403">
            <w:pPr>
              <w:ind w:firstLine="0"/>
              <w:jc w:val="left"/>
            </w:pPr>
            <w:r>
              <w:t>输入、工具和解析规则</w:t>
            </w:r>
          </w:p>
        </w:tc>
        <w:tc>
          <w:tcPr>
            <w:tcW w:w="4148" w:type="dxa"/>
          </w:tcPr>
          <w:p w14:paraId="1D018489">
            <w:pPr>
              <w:ind w:firstLine="0"/>
              <w:jc w:val="left"/>
            </w:pPr>
            <w:r>
              <w:t>函数、参数、执行及端到端调用结果</w:t>
            </w:r>
          </w:p>
        </w:tc>
      </w:tr>
    </w:tbl>
    <w:p w14:paraId="1A4B1F6D">
      <w:pPr>
        <w:ind w:firstLine="420"/>
        <w:jc w:val="both"/>
      </w:pPr>
      <w:r>
        <w:t>表 4-1 给出各环节固定与记录的变量。所有对照组共享输入、生成协议、数据划分和有效位置定义；状态分层实验仅改变同预算下所使用的位置，损失实验则固定轨迹与位置后再切换目标。教师反馈同时记录 Top-K 累计概率、残余质量及所选 K，使后续结果能够区分状态选择、目标定义和反馈粒度的影响。训练、反馈与评测关系见图 3。</w:t>
      </w:r>
    </w:p>
    <w:p w14:paraId="06023151">
      <w:pPr>
        <w:ind w:firstLine="0"/>
        <w:jc w:val="center"/>
      </w:pPr>
      <w:r>
        <w:drawing>
          <wp:inline distT="0" distB="0" distL="114300" distR="114300">
            <wp:extent cx="5669280" cy="28816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5669280" cy="2881884"/>
                    </a:xfrm>
                    <a:prstGeom prst="rect">
                      <a:avLst/>
                    </a:prstGeom>
                  </pic:spPr>
                </pic:pic>
              </a:graphicData>
            </a:graphic>
          </wp:inline>
        </w:drawing>
      </w:r>
    </w:p>
    <w:p w14:paraId="35FC3DD0">
      <w:pPr>
        <w:spacing w:before="0" w:after="120" w:line="240" w:lineRule="auto"/>
        <w:ind w:firstLine="0"/>
        <w:jc w:val="center"/>
      </w:pPr>
      <w:r>
        <w:rPr>
          <w:rFonts w:ascii="Times New Roman" w:hAnsi="Times New Roman" w:eastAsia="宋体"/>
          <w:sz w:val="21"/>
        </w:rPr>
        <w:t xml:space="preserve">图 </w:t>
      </w:r>
      <w:bookmarkStart w:id="40" w:name="_RefFigure2"/>
      <w:r>
        <w:rPr>
          <w:rFonts w:ascii="Times New Roman" w:hAnsi="Times New Roman" w:eastAsia="宋体"/>
          <w:sz w:val="21"/>
        </w:rPr>
        <w:fldChar w:fldCharType="begin"/>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3</w:t>
      </w:r>
      <w:r>
        <w:rPr>
          <w:rFonts w:ascii="Times New Roman" w:hAnsi="Times New Roman" w:eastAsia="宋体"/>
          <w:sz w:val="21"/>
        </w:rPr>
        <w:fldChar w:fldCharType="end"/>
      </w:r>
      <w:bookmarkEnd w:id="40"/>
      <w:r>
        <w:rPr>
          <w:rFonts w:ascii="Times New Roman" w:hAnsi="Times New Roman" w:eastAsia="宋体"/>
          <w:sz w:val="21"/>
        </w:rPr>
        <w:t xml:space="preserve">  在线策略蒸馏训练与性能评测流程</w:t>
      </w:r>
    </w:p>
    <w:p w14:paraId="5E2DE293">
      <w:pPr>
        <w:pStyle w:val="3"/>
      </w:pPr>
      <w:bookmarkStart w:id="41" w:name="_Toc307070742"/>
      <w:r>
        <w:rPr>
          <w:rFonts w:ascii="黑体" w:hAnsi="黑体" w:eastAsia="黑体" w:cs="黑体"/>
          <w:b/>
          <w:color w:val="000000"/>
          <w:sz w:val="24"/>
        </w:rPr>
        <w:t>4.4 散度基线与稀疏反馈目标的定义</w:t>
      </w:r>
      <w:bookmarkEnd w:id="41"/>
    </w:p>
    <w:p w14:paraId="01830904">
      <w:pPr>
        <w:ind w:firstLine="420"/>
        <w:jc w:val="both"/>
      </w:pPr>
      <w:r>
        <w:t>在完整词表上，Forward KL 以教师概率作为权重，衡量学生是否覆盖教师认为合理的 token；其单位置形式为：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0283DFCE">
        <w:trPr>
          <w:cantSplit/>
          <w:jc w:val="center"/>
        </w:trPr>
        <w:tc>
          <w:tcPr>
            <w:tcW w:w="650" w:type="dxa"/>
            <w:tcMar>
              <w:top w:w="0" w:type="dxa"/>
              <w:left w:w="0" w:type="dxa"/>
              <w:bottom w:w="0" w:type="dxa"/>
              <w:right w:w="0" w:type="dxa"/>
            </w:tcMar>
            <w:vAlign w:val="center"/>
          </w:tcPr>
          <w:p w14:paraId="6FA87C86">
            <w:pPr>
              <w:spacing w:before="0" w:after="0"/>
              <w:jc w:val="left"/>
            </w:pPr>
          </w:p>
        </w:tc>
        <w:tc>
          <w:tcPr>
            <w:tcW w:w="7006" w:type="dxa"/>
            <w:tcMar>
              <w:top w:w="0" w:type="dxa"/>
              <w:left w:w="0" w:type="dxa"/>
              <w:bottom w:w="0" w:type="dxa"/>
              <w:right w:w="0" w:type="dxa"/>
            </w:tcMar>
            <w:vAlign w:val="center"/>
          </w:tcPr>
          <w:p w14:paraId="3F4E0287">
            <w:pPr>
              <w:spacing w:before="0" w:after="0"/>
              <w:jc w:val="center"/>
            </w:pPr>
            <m:oMathPara>
              <m:oMath>
                <m:sSub>
                  <m:sSubPr/>
                  <m:e>
                    <m:r>
                      <m:rPr/>
                      <m:t>D</m:t>
                    </m:r>
                  </m:e>
                  <m:sub>
                    <m:r>
                      <m:rPr>
                        <m:sty m:val="p"/>
                      </m:rPr>
                      <m:t>FKL</m:t>
                    </m:r>
                  </m:sub>
                </m:sSub>
                <m:r>
                  <m:rPr>
                    <m:sty m:val="p"/>
                  </m:rPr>
                  <m:t>(</m:t>
                </m:r>
                <m:sSub>
                  <m:sSubPr/>
                  <m:e>
                    <m:r>
                      <m:rPr/>
                      <m:t>p</m:t>
                    </m:r>
                  </m:e>
                  <m:sub>
                    <m:r>
                      <m:rPr/>
                      <m:t>T</m:t>
                    </m:r>
                  </m:sub>
                </m:sSub>
                <m:r>
                  <m:rPr>
                    <m:sty m:val="p"/>
                  </m:rPr>
                  <m:t>∥</m:t>
                </m:r>
                <m:sSub>
                  <m:sSubPr/>
                  <m:e>
                    <m:r>
                      <m:rPr/>
                      <m:t>p</m:t>
                    </m:r>
                  </m:e>
                  <m:sub>
                    <m:r>
                      <m:rPr/>
                      <m:t>S</m:t>
                    </m:r>
                  </m:sub>
                </m:sSub>
                <m:r>
                  <m:rPr>
                    <m:sty m:val="p"/>
                  </m:rPr>
                  <m:t>)=</m:t>
                </m:r>
                <m:nary>
                  <m:naryPr>
                    <m:chr m:val="∑"/>
                    <m:limLoc m:val="undOvr"/>
                    <m:supHide m:val="1"/>
                  </m:naryPr>
                  <m:sub>
                    <m:r>
                      <m:rPr/>
                      <m:t>v</m:t>
                    </m:r>
                    <m:r>
                      <m:rPr>
                        <m:sty m:val="p"/>
                      </m:rPr>
                      <m:t>∈</m:t>
                    </m:r>
                    <m:r>
                      <m:rPr>
                        <m:sty m:val="p"/>
                        <m:scr m:val="script"/>
                      </m:rPr>
                      <m:t>V</m:t>
                    </m:r>
                  </m:sub>
                  <m:sup>
                    <m:r>
                      <m:rPr/>
                      <m:t>​</m:t>
                    </m:r>
                  </m:sup>
                  <m:e>
                    <m:sSub>
                      <m:sSubPr/>
                      <m:e>
                        <m:r>
                          <m:rPr/>
                          <m:t>p</m:t>
                        </m:r>
                      </m:e>
                      <m:sub>
                        <m:r>
                          <m:rPr/>
                          <m:t>T</m:t>
                        </m:r>
                      </m:sub>
                    </m:sSub>
                  </m:e>
                </m:nary>
                <m:r>
                  <m:rPr>
                    <m:sty m:val="p"/>
                  </m:rPr>
                  <m:t>(</m:t>
                </m:r>
                <m:r>
                  <m:rPr/>
                  <m:t>v</m:t>
                </m:r>
                <m:r>
                  <m:rPr>
                    <m:sty m:val="p"/>
                  </m:rPr>
                  <m:t>)log</m:t>
                </m:r>
                <m:f>
                  <m:fPr/>
                  <m:num>
                    <m:sSub>
                      <m:sSubPr/>
                      <m:e>
                        <m:r>
                          <m:rPr/>
                          <m:t>p</m:t>
                        </m:r>
                      </m:e>
                      <m:sub>
                        <m:r>
                          <m:rPr/>
                          <m:t>T</m:t>
                        </m:r>
                      </m:sub>
                    </m:sSub>
                    <m:r>
                      <m:rPr>
                        <m:sty m:val="p"/>
                      </m:rPr>
                      <m:t>(</m:t>
                    </m:r>
                    <m:r>
                      <m:rPr/>
                      <m:t>v</m:t>
                    </m:r>
                    <m:r>
                      <m:rPr>
                        <m:sty m:val="p"/>
                      </m:rPr>
                      <m:t>)</m:t>
                    </m:r>
                  </m:num>
                  <m:den>
                    <m:sSub>
                      <m:sSubPr/>
                      <m:e>
                        <m:r>
                          <m:rPr/>
                          <m:t>p</m:t>
                        </m:r>
                      </m:e>
                      <m:sub>
                        <m:r>
                          <m:rPr/>
                          <m:t>S</m:t>
                        </m:r>
                      </m:sub>
                    </m:sSub>
                    <m:r>
                      <m:rPr>
                        <m:sty m:val="p"/>
                      </m:rPr>
                      <m:t>(</m:t>
                    </m:r>
                    <m:r>
                      <m:rPr/>
                      <m:t>v</m:t>
                    </m:r>
                    <m:r>
                      <m:rPr>
                        <m:sty m:val="p"/>
                      </m:rPr>
                      <m:t>)</m:t>
                    </m:r>
                  </m:den>
                </m:f>
              </m:oMath>
            </m:oMathPara>
          </w:p>
        </w:tc>
        <w:tc>
          <w:tcPr>
            <w:tcW w:w="650" w:type="dxa"/>
            <w:tcMar>
              <w:top w:w="0" w:type="dxa"/>
              <w:left w:w="0" w:type="dxa"/>
              <w:bottom w:w="0" w:type="dxa"/>
              <w:right w:w="0" w:type="dxa"/>
            </w:tcMar>
            <w:vAlign w:val="center"/>
          </w:tcPr>
          <w:p w14:paraId="0AC5975C">
            <w:pPr>
              <w:spacing w:before="0" w:after="0"/>
              <w:jc w:val="right"/>
            </w:pPr>
            <w:bookmarkStart w:id="42" w:name="_RefEq4_17"/>
            <w:r>
              <w:t>(4-</w:t>
            </w:r>
            <w:r>
              <w:fldChar w:fldCharType="begin"/>
            </w:r>
            <w:r>
              <w:instrText xml:space="preserve"> SEQ Eq4 \* ARABIC </w:instrText>
            </w:r>
            <w:r>
              <w:fldChar w:fldCharType="separate"/>
            </w:r>
            <w:r>
              <w:t>12</w:t>
            </w:r>
            <w:r>
              <w:fldChar w:fldCharType="end"/>
            </w:r>
            <w:r>
              <w:t>)</w:t>
            </w:r>
            <w:bookmarkEnd w:id="42"/>
          </w:p>
        </w:tc>
      </w:tr>
    </w:tbl>
    <w:p w14:paraId="6E53B4B0">
      <w:pPr>
        <w:ind w:firstLine="420"/>
        <w:jc w:val="both"/>
      </w:pPr>
      <w:r>
        <w:t>Reverse KL 以学生概率作为权重，更集中地约束学生当前愿意生成的区域：</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536FF09F">
        <w:trPr>
          <w:cantSplit/>
          <w:jc w:val="center"/>
        </w:trPr>
        <w:tc>
          <w:tcPr>
            <w:tcW w:w="650" w:type="dxa"/>
            <w:tcMar>
              <w:top w:w="0" w:type="dxa"/>
              <w:left w:w="0" w:type="dxa"/>
              <w:bottom w:w="0" w:type="dxa"/>
              <w:right w:w="0" w:type="dxa"/>
            </w:tcMar>
            <w:vAlign w:val="center"/>
          </w:tcPr>
          <w:p w14:paraId="66BC75FB">
            <w:pPr>
              <w:spacing w:before="0" w:after="0"/>
              <w:jc w:val="left"/>
            </w:pPr>
          </w:p>
        </w:tc>
        <w:tc>
          <w:tcPr>
            <w:tcW w:w="7006" w:type="dxa"/>
            <w:tcMar>
              <w:top w:w="0" w:type="dxa"/>
              <w:left w:w="0" w:type="dxa"/>
              <w:bottom w:w="0" w:type="dxa"/>
              <w:right w:w="0" w:type="dxa"/>
            </w:tcMar>
            <w:vAlign w:val="center"/>
          </w:tcPr>
          <w:p w14:paraId="300F2380">
            <w:pPr>
              <w:spacing w:before="0" w:after="0"/>
              <w:jc w:val="center"/>
            </w:pPr>
            <m:oMathPara>
              <m:oMath>
                <m:sSub>
                  <m:sSubPr/>
                  <m:e>
                    <m:r>
                      <m:rPr/>
                      <m:t>D</m:t>
                    </m:r>
                  </m:e>
                  <m:sub>
                    <m:r>
                      <m:rPr>
                        <m:sty m:val="p"/>
                      </m:rPr>
                      <m:t>RKL</m:t>
                    </m:r>
                  </m:sub>
                </m:sSub>
                <m:r>
                  <m:rPr>
                    <m:sty m:val="p"/>
                  </m:rPr>
                  <m:t>(</m:t>
                </m:r>
                <m:sSub>
                  <m:sSubPr/>
                  <m:e>
                    <m:r>
                      <m:rPr/>
                      <m:t>p</m:t>
                    </m:r>
                  </m:e>
                  <m:sub>
                    <m:r>
                      <m:rPr/>
                      <m:t>S</m:t>
                    </m:r>
                  </m:sub>
                </m:sSub>
                <m:r>
                  <m:rPr>
                    <m:sty m:val="p"/>
                  </m:rPr>
                  <m:t>∥</m:t>
                </m:r>
                <m:sSub>
                  <m:sSubPr/>
                  <m:e>
                    <m:r>
                      <m:rPr/>
                      <m:t>p</m:t>
                    </m:r>
                  </m:e>
                  <m:sub>
                    <m:r>
                      <m:rPr/>
                      <m:t>T</m:t>
                    </m:r>
                  </m:sub>
                </m:sSub>
                <m:r>
                  <m:rPr>
                    <m:sty m:val="p"/>
                  </m:rPr>
                  <m:t>)=</m:t>
                </m:r>
                <m:nary>
                  <m:naryPr>
                    <m:chr m:val="∑"/>
                    <m:limLoc m:val="undOvr"/>
                    <m:supHide m:val="1"/>
                  </m:naryPr>
                  <m:sub>
                    <m:r>
                      <m:rPr/>
                      <m:t>v</m:t>
                    </m:r>
                    <m:r>
                      <m:rPr>
                        <m:sty m:val="p"/>
                      </m:rPr>
                      <m:t>∈</m:t>
                    </m:r>
                    <m:r>
                      <m:rPr>
                        <m:sty m:val="p"/>
                        <m:scr m:val="script"/>
                      </m:rPr>
                      <m:t>V</m:t>
                    </m:r>
                  </m:sub>
                  <m:sup>
                    <m:r>
                      <m:rPr/>
                      <m:t>​</m:t>
                    </m:r>
                  </m:sup>
                  <m:e>
                    <m:sSub>
                      <m:sSubPr/>
                      <m:e>
                        <m:r>
                          <m:rPr/>
                          <m:t>p</m:t>
                        </m:r>
                      </m:e>
                      <m:sub>
                        <m:r>
                          <m:rPr/>
                          <m:t>S</m:t>
                        </m:r>
                      </m:sub>
                    </m:sSub>
                  </m:e>
                </m:nary>
                <m:r>
                  <m:rPr>
                    <m:sty m:val="p"/>
                  </m:rPr>
                  <m:t>(</m:t>
                </m:r>
                <m:r>
                  <m:rPr/>
                  <m:t>v</m:t>
                </m:r>
                <m:r>
                  <m:rPr>
                    <m:sty m:val="p"/>
                  </m:rPr>
                  <m:t>)log</m:t>
                </m:r>
                <m:f>
                  <m:fPr/>
                  <m:num>
                    <m:sSub>
                      <m:sSubPr/>
                      <m:e>
                        <m:r>
                          <m:rPr/>
                          <m:t>p</m:t>
                        </m:r>
                      </m:e>
                      <m:sub>
                        <m:r>
                          <m:rPr/>
                          <m:t>S</m:t>
                        </m:r>
                      </m:sub>
                    </m:sSub>
                    <m:r>
                      <m:rPr>
                        <m:sty m:val="p"/>
                      </m:rPr>
                      <m:t>(</m:t>
                    </m:r>
                    <m:r>
                      <m:rPr/>
                      <m:t>v</m:t>
                    </m:r>
                    <m:r>
                      <m:rPr>
                        <m:sty m:val="p"/>
                      </m:rPr>
                      <m:t>)</m:t>
                    </m:r>
                  </m:num>
                  <m:den>
                    <m:sSub>
                      <m:sSubPr/>
                      <m:e>
                        <m:r>
                          <m:rPr/>
                          <m:t>p</m:t>
                        </m:r>
                      </m:e>
                      <m:sub>
                        <m:r>
                          <m:rPr/>
                          <m:t>T</m:t>
                        </m:r>
                      </m:sub>
                    </m:sSub>
                    <m:r>
                      <m:rPr>
                        <m:sty m:val="p"/>
                      </m:rPr>
                      <m:t>(</m:t>
                    </m:r>
                    <m:r>
                      <m:rPr/>
                      <m:t>v</m:t>
                    </m:r>
                    <m:r>
                      <m:rPr>
                        <m:sty m:val="p"/>
                      </m:rPr>
                      <m:t>)</m:t>
                    </m:r>
                  </m:den>
                </m:f>
              </m:oMath>
            </m:oMathPara>
          </w:p>
        </w:tc>
        <w:tc>
          <w:tcPr>
            <w:tcW w:w="650" w:type="dxa"/>
            <w:tcMar>
              <w:top w:w="0" w:type="dxa"/>
              <w:left w:w="0" w:type="dxa"/>
              <w:bottom w:w="0" w:type="dxa"/>
              <w:right w:w="0" w:type="dxa"/>
            </w:tcMar>
            <w:vAlign w:val="center"/>
          </w:tcPr>
          <w:p w14:paraId="328C4D26">
            <w:pPr>
              <w:spacing w:before="0" w:after="0"/>
              <w:jc w:val="right"/>
            </w:pPr>
            <w:bookmarkStart w:id="43" w:name="_RefEq4_18"/>
            <w:r>
              <w:t>(4-</w:t>
            </w:r>
            <w:r>
              <w:fldChar w:fldCharType="begin"/>
            </w:r>
            <w:r>
              <w:instrText xml:space="preserve"> SEQ Eq4 \* ARABIC </w:instrText>
            </w:r>
            <w:r>
              <w:fldChar w:fldCharType="separate"/>
            </w:r>
            <w:r>
              <w:t>13</w:t>
            </w:r>
            <w:r>
              <w:fldChar w:fldCharType="end"/>
            </w:r>
            <w:r>
              <w:t>)</w:t>
            </w:r>
            <w:bookmarkEnd w:id="43"/>
          </w:p>
        </w:tc>
      </w:tr>
    </w:tbl>
    <w:p w14:paraId="5B31EE2D">
      <w:pPr>
        <w:ind w:firstLine="420"/>
        <w:jc w:val="both"/>
      </w:pPr>
      <w:r>
        <w:t>为观察两种偏好之间的连续变化，本文同时考察 JSD 与 skew KL。二者所需的混合分布及散度定义如下：</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B14351F">
        <w:trPr>
          <w:cantSplit/>
          <w:jc w:val="center"/>
        </w:trPr>
        <w:tc>
          <w:tcPr>
            <w:tcW w:w="650" w:type="dxa"/>
            <w:tcMar>
              <w:top w:w="0" w:type="dxa"/>
              <w:left w:w="0" w:type="dxa"/>
              <w:bottom w:w="0" w:type="dxa"/>
              <w:right w:w="0" w:type="dxa"/>
            </w:tcMar>
            <w:vAlign w:val="center"/>
          </w:tcPr>
          <w:p w14:paraId="09291E87">
            <w:pPr>
              <w:spacing w:before="0" w:after="0"/>
              <w:jc w:val="left"/>
            </w:pPr>
          </w:p>
        </w:tc>
        <w:tc>
          <w:tcPr>
            <w:tcW w:w="7006" w:type="dxa"/>
            <w:tcMar>
              <w:top w:w="0" w:type="dxa"/>
              <w:left w:w="0" w:type="dxa"/>
              <w:bottom w:w="0" w:type="dxa"/>
              <w:right w:w="0" w:type="dxa"/>
            </w:tcMar>
            <w:vAlign w:val="center"/>
          </w:tcPr>
          <w:p w14:paraId="15BD398D">
            <w:pPr>
              <w:spacing w:before="0" w:after="0"/>
              <w:jc w:val="center"/>
            </w:pPr>
            <m:oMathPara>
              <m:oMath>
                <m:r>
                  <m:rPr/>
                  <m:t>m</m:t>
                </m:r>
                <m:r>
                  <m:rPr>
                    <m:sty m:val="p"/>
                  </m:rPr>
                  <m:t>=</m:t>
                </m:r>
                <m:f>
                  <m:fPr/>
                  <m:num>
                    <m:sSub>
                      <m:sSubPr/>
                      <m:e>
                        <m:r>
                          <m:rPr/>
                          <m:t>p</m:t>
                        </m:r>
                      </m:e>
                      <m:sub>
                        <m:r>
                          <m:rPr/>
                          <m:t>T</m:t>
                        </m:r>
                      </m:sub>
                    </m:sSub>
                    <m:r>
                      <m:rPr>
                        <m:sty m:val="p"/>
                      </m:rPr>
                      <m:t>+</m:t>
                    </m:r>
                    <m:sSub>
                      <m:sSubPr/>
                      <m:e>
                        <m:r>
                          <m:rPr/>
                          <m:t>p</m:t>
                        </m:r>
                      </m:e>
                      <m:sub>
                        <m:r>
                          <m:rPr/>
                          <m:t>S</m:t>
                        </m:r>
                      </m:sub>
                    </m:sSub>
                  </m:num>
                  <m:den>
                    <m:r>
                      <m:rPr/>
                      <m:t>2</m:t>
                    </m:r>
                  </m:den>
                </m:f>
              </m:oMath>
            </m:oMathPara>
          </w:p>
        </w:tc>
        <w:tc>
          <w:tcPr>
            <w:tcW w:w="650" w:type="dxa"/>
            <w:tcMar>
              <w:top w:w="0" w:type="dxa"/>
              <w:left w:w="0" w:type="dxa"/>
              <w:bottom w:w="0" w:type="dxa"/>
              <w:right w:w="0" w:type="dxa"/>
            </w:tcMar>
            <w:vAlign w:val="center"/>
          </w:tcPr>
          <w:p w14:paraId="6857AB00">
            <w:pPr>
              <w:spacing w:before="0" w:after="0"/>
              <w:jc w:val="right"/>
            </w:pPr>
            <w:bookmarkStart w:id="44" w:name="_RefEq4_19"/>
            <w:r>
              <w:t>(4-</w:t>
            </w:r>
            <w:r>
              <w:fldChar w:fldCharType="begin"/>
            </w:r>
            <w:r>
              <w:instrText xml:space="preserve"> SEQ Eq4 \* ARABIC </w:instrText>
            </w:r>
            <w:r>
              <w:fldChar w:fldCharType="separate"/>
            </w:r>
            <w:r>
              <w:t>14</w:t>
            </w:r>
            <w:r>
              <w:fldChar w:fldCharType="end"/>
            </w:r>
            <w:r>
              <w:t>)</w:t>
            </w:r>
            <w:bookmarkEnd w:id="44"/>
          </w:p>
        </w:tc>
      </w:tr>
      <w:tr w14:paraId="1B361AA1">
        <w:trPr>
          <w:cantSplit/>
          <w:jc w:val="center"/>
        </w:trPr>
        <w:tc>
          <w:tcPr>
            <w:tcW w:w="650" w:type="dxa"/>
            <w:tcMar>
              <w:top w:w="0" w:type="dxa"/>
              <w:left w:w="0" w:type="dxa"/>
              <w:bottom w:w="0" w:type="dxa"/>
              <w:right w:w="0" w:type="dxa"/>
            </w:tcMar>
            <w:vAlign w:val="center"/>
          </w:tcPr>
          <w:p w14:paraId="277ECABD">
            <w:pPr>
              <w:spacing w:before="0" w:after="0"/>
              <w:jc w:val="left"/>
            </w:pPr>
          </w:p>
        </w:tc>
        <w:tc>
          <w:tcPr>
            <w:tcW w:w="7006" w:type="dxa"/>
            <w:tcMar>
              <w:top w:w="0" w:type="dxa"/>
              <w:left w:w="0" w:type="dxa"/>
              <w:bottom w:w="0" w:type="dxa"/>
              <w:right w:w="0" w:type="dxa"/>
            </w:tcMar>
            <w:vAlign w:val="center"/>
          </w:tcPr>
          <w:p w14:paraId="6BD0CED4">
            <w:pPr>
              <w:spacing w:before="0" w:after="0"/>
              <w:jc w:val="center"/>
            </w:pPr>
            <m:oMathPara>
              <m:oMath>
                <m:sSub>
                  <m:sSubPr/>
                  <m:e>
                    <m:r>
                      <m:rPr/>
                      <m:t>D</m:t>
                    </m:r>
                  </m:e>
                  <m:sub>
                    <m:r>
                      <m:rPr>
                        <m:sty m:val="p"/>
                      </m:rPr>
                      <m:t>JSD</m:t>
                    </m:r>
                  </m:sub>
                </m:sSub>
                <m:r>
                  <m:rPr>
                    <m:sty m:val="p"/>
                  </m:rPr>
                  <m:t>(</m:t>
                </m:r>
                <m:sSub>
                  <m:sSubPr/>
                  <m:e>
                    <m:r>
                      <m:rPr/>
                      <m:t>p</m:t>
                    </m:r>
                  </m:e>
                  <m:sub>
                    <m:r>
                      <m:rPr/>
                      <m:t>T</m:t>
                    </m:r>
                  </m:sub>
                </m:sSub>
                <m:r>
                  <m:rPr>
                    <m:sty m:val="p"/>
                  </m:rPr>
                  <m:t>,</m:t>
                </m:r>
                <m:sSub>
                  <m:sSubPr/>
                  <m:e>
                    <m:r>
                      <m:rPr/>
                      <m:t>p</m:t>
                    </m:r>
                  </m:e>
                  <m:sub>
                    <m:r>
                      <m:rPr/>
                      <m:t>S</m:t>
                    </m:r>
                  </m:sub>
                </m:sSub>
                <m:r>
                  <m:rPr>
                    <m:sty m:val="p"/>
                  </m:rPr>
                  <m:t>)=</m:t>
                </m:r>
                <m:f>
                  <m:fPr/>
                  <m:num>
                    <m:r>
                      <m:rPr/>
                      <m:t>1</m:t>
                    </m:r>
                  </m:num>
                  <m:den>
                    <m:r>
                      <m:rPr/>
                      <m:t>2</m:t>
                    </m:r>
                  </m:den>
                </m:f>
                <m:sSub>
                  <m:sSubPr/>
                  <m:e>
                    <m:r>
                      <m:rPr/>
                      <m:t>D</m:t>
                    </m:r>
                  </m:e>
                  <m:sub>
                    <m:r>
                      <m:rPr>
                        <m:sty m:val="p"/>
                      </m:rPr>
                      <m:t>KL</m:t>
                    </m:r>
                  </m:sub>
                </m:sSub>
                <m:r>
                  <m:rPr>
                    <m:sty m:val="p"/>
                  </m:rPr>
                  <m:t>(</m:t>
                </m:r>
                <m:sSub>
                  <m:sSubPr/>
                  <m:e>
                    <m:r>
                      <m:rPr/>
                      <m:t>p</m:t>
                    </m:r>
                  </m:e>
                  <m:sub>
                    <m:r>
                      <m:rPr/>
                      <m:t>T</m:t>
                    </m:r>
                  </m:sub>
                </m:sSub>
                <m:r>
                  <m:rPr>
                    <m:sty m:val="p"/>
                  </m:rPr>
                  <m:t>∥</m:t>
                </m:r>
                <m:r>
                  <m:rPr/>
                  <m:t>m</m:t>
                </m:r>
                <m:r>
                  <m:rPr>
                    <m:sty m:val="p"/>
                  </m:rPr>
                  <m:t>)+</m:t>
                </m:r>
                <m:f>
                  <m:fPr/>
                  <m:num>
                    <m:r>
                      <m:rPr/>
                      <m:t>1</m:t>
                    </m:r>
                  </m:num>
                  <m:den>
                    <m:r>
                      <m:rPr/>
                      <m:t>2</m:t>
                    </m:r>
                  </m:den>
                </m:f>
                <m:sSub>
                  <m:sSubPr/>
                  <m:e>
                    <m:r>
                      <m:rPr/>
                      <m:t>D</m:t>
                    </m:r>
                  </m:e>
                  <m:sub>
                    <m:r>
                      <m:rPr>
                        <m:sty m:val="p"/>
                      </m:rPr>
                      <m:t>KL</m:t>
                    </m:r>
                  </m:sub>
                </m:sSub>
                <m:r>
                  <m:rPr>
                    <m:sty m:val="p"/>
                  </m:rPr>
                  <m:t>(</m:t>
                </m:r>
                <m:sSub>
                  <m:sSubPr/>
                  <m:e>
                    <m:r>
                      <m:rPr/>
                      <m:t>p</m:t>
                    </m:r>
                  </m:e>
                  <m:sub>
                    <m:r>
                      <m:rPr/>
                      <m:t>S</m:t>
                    </m:r>
                  </m:sub>
                </m:sSub>
                <m:r>
                  <m:rPr>
                    <m:sty m:val="p"/>
                  </m:rPr>
                  <m:t>∥</m:t>
                </m:r>
                <m:r>
                  <m:rPr/>
                  <m:t>m</m:t>
                </m:r>
                <m:r>
                  <m:rPr>
                    <m:sty m:val="p"/>
                  </m:rPr>
                  <m:t>)</m:t>
                </m:r>
              </m:oMath>
            </m:oMathPara>
          </w:p>
        </w:tc>
        <w:tc>
          <w:tcPr>
            <w:tcW w:w="650" w:type="dxa"/>
            <w:tcMar>
              <w:top w:w="0" w:type="dxa"/>
              <w:left w:w="0" w:type="dxa"/>
              <w:bottom w:w="0" w:type="dxa"/>
              <w:right w:w="0" w:type="dxa"/>
            </w:tcMar>
            <w:vAlign w:val="center"/>
          </w:tcPr>
          <w:p w14:paraId="3CF5EAC1">
            <w:pPr>
              <w:spacing w:before="0" w:after="0"/>
              <w:jc w:val="right"/>
            </w:pPr>
            <w:bookmarkStart w:id="45" w:name="_RefEq4_20"/>
            <w:r>
              <w:t>(4-</w:t>
            </w:r>
            <w:r>
              <w:fldChar w:fldCharType="begin"/>
            </w:r>
            <w:r>
              <w:instrText xml:space="preserve"> SEQ Eq4 \* ARABIC </w:instrText>
            </w:r>
            <w:r>
              <w:fldChar w:fldCharType="separate"/>
            </w:r>
            <w:r>
              <w:t>15</w:t>
            </w:r>
            <w:r>
              <w:fldChar w:fldCharType="end"/>
            </w:r>
            <w:r>
              <w:t>)</w:t>
            </w:r>
            <w:bookmarkEnd w:id="45"/>
          </w:p>
        </w:tc>
      </w:tr>
    </w:tbl>
    <w:p w14:paraId="5AB5AF23">
      <w:pPr>
        <w:ind w:firstLine="420"/>
        <w:jc w:val="both"/>
      </w:pPr>
      <w:r>
        <w:t>当混合系数取零到一之间的值时，本文采用的教师侧 skew KL 写为：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03F6A3D3">
        <w:trPr>
          <w:cantSplit/>
          <w:jc w:val="center"/>
        </w:trPr>
        <w:tc>
          <w:tcPr>
            <w:tcW w:w="650" w:type="dxa"/>
            <w:tcMar>
              <w:top w:w="0" w:type="dxa"/>
              <w:left w:w="0" w:type="dxa"/>
              <w:bottom w:w="0" w:type="dxa"/>
              <w:right w:w="0" w:type="dxa"/>
            </w:tcMar>
            <w:vAlign w:val="center"/>
          </w:tcPr>
          <w:p w14:paraId="2563EBDD">
            <w:pPr>
              <w:spacing w:before="0" w:after="0"/>
              <w:jc w:val="left"/>
            </w:pPr>
          </w:p>
        </w:tc>
        <w:tc>
          <w:tcPr>
            <w:tcW w:w="7006" w:type="dxa"/>
            <w:tcMar>
              <w:top w:w="0" w:type="dxa"/>
              <w:left w:w="0" w:type="dxa"/>
              <w:bottom w:w="0" w:type="dxa"/>
              <w:right w:w="0" w:type="dxa"/>
            </w:tcMar>
            <w:vAlign w:val="center"/>
          </w:tcPr>
          <w:p w14:paraId="0658F7B7">
            <w:pPr>
              <w:spacing w:before="0" w:after="0"/>
              <w:jc w:val="center"/>
              <w:rPr>
                <w:rFonts w:hint="default"/>
                <w:lang w:val="en-US"/>
              </w:rPr>
            </w:pPr>
            <m:oMathPara>
              <m:oMath>
                <m:sSub>
                  <m:sSubPr/>
                  <m:e>
                    <m:r>
                      <m:rPr/>
                      <m:t>D</m:t>
                    </m:r>
                  </m:e>
                  <m:sub>
                    <m:r>
                      <m:rPr>
                        <m:sty m:val="p"/>
                      </m:rPr>
                      <m:t>skew,</m:t>
                    </m:r>
                    <m:r>
                      <m:rPr/>
                      <m:t>α</m:t>
                    </m:r>
                  </m:sub>
                </m:sSub>
                <m:r>
                  <m:rPr>
                    <m:sty m:val="p"/>
                  </m:rPr>
                  <m:t>(</m:t>
                </m:r>
                <m:sSub>
                  <m:sSubPr/>
                  <m:e>
                    <m:r>
                      <m:rPr/>
                      <m:t>p</m:t>
                    </m:r>
                  </m:e>
                  <m:sub>
                    <m:r>
                      <m:rPr/>
                      <m:t>T</m:t>
                    </m:r>
                  </m:sub>
                </m:sSub>
                <m:r>
                  <m:rPr>
                    <m:sty m:val="p"/>
                  </m:rPr>
                  <m:t>,</m:t>
                </m:r>
                <m:sSub>
                  <m:sSubPr/>
                  <m:e>
                    <m:r>
                      <m:rPr/>
                      <m:t>p</m:t>
                    </m:r>
                  </m:e>
                  <m:sub>
                    <m:r>
                      <m:rPr/>
                      <m:t>S</m:t>
                    </m:r>
                  </m:sub>
                </m:sSub>
                <m:r>
                  <m:rPr>
                    <m:sty m:val="p"/>
                  </m:rPr>
                  <m:t>)=</m:t>
                </m:r>
                <m:sSub>
                  <m:sSubPr/>
                  <m:e>
                    <m:r>
                      <m:rPr/>
                      <m:t>D</m:t>
                    </m:r>
                  </m:e>
                  <m:sub>
                    <m:r>
                      <m:rPr>
                        <m:sty m:val="p"/>
                      </m:rPr>
                      <m:t>KL</m:t>
                    </m:r>
                  </m:sub>
                </m:sSub>
                <m:r>
                  <m:rPr/>
                  <m:t>​</m:t>
                </m:r>
                <m:d>
                  <m:dPr>
                    <m:sepChr m:val="∥"/>
                  </m:dPr>
                  <m:e>
                    <m:sSub>
                      <m:sSubPr/>
                      <m:e>
                        <m:r>
                          <m:rPr/>
                          <m:t>p</m:t>
                        </m:r>
                      </m:e>
                      <m:sub>
                        <m:r>
                          <m:rPr/>
                          <m:t>T</m:t>
                        </m:r>
                      </m:sub>
                    </m:sSub>
                    <m:r>
                      <m:rPr/>
                      <m:t> </m:t>
                    </m:r>
                  </m:e>
                  <m:e>
                    <m:r>
                      <m:rPr/>
                      <m:t> α</m:t>
                    </m:r>
                    <m:sSub>
                      <m:sSubPr/>
                      <m:e>
                        <m:r>
                          <m:rPr/>
                          <m:t>p</m:t>
                        </m:r>
                      </m:e>
                      <m:sub>
                        <m:r>
                          <m:rPr/>
                          <m:t>T</m:t>
                        </m:r>
                      </m:sub>
                    </m:sSub>
                    <m:r>
                      <m:rPr>
                        <m:sty m:val="p"/>
                      </m:rPr>
                      <m:t>+(</m:t>
                    </m:r>
                    <m:r>
                      <m:rPr/>
                      <m:t>1</m:t>
                    </m:r>
                    <m:r>
                      <m:rPr>
                        <m:sty m:val="p"/>
                      </m:rPr>
                      <m:t>−</m:t>
                    </m:r>
                    <m:r>
                      <m:rPr/>
                      <m:t>α</m:t>
                    </m:r>
                    <m:r>
                      <m:rPr>
                        <m:sty m:val="p"/>
                      </m:rPr>
                      <m:t>)</m:t>
                    </m:r>
                    <m:sSub>
                      <m:sSubPr/>
                      <m:e>
                        <m:r>
                          <m:rPr/>
                          <m:t>p</m:t>
                        </m:r>
                      </m:e>
                      <m:sub>
                        <m:r>
                          <m:rPr/>
                          <m:t>S</m:t>
                        </m:r>
                      </m:sub>
                    </m:sSub>
                  </m:e>
                </m:d>
                <m:r>
                  <m:rPr>
                    <m:sty m:val="p"/>
                  </m:rPr>
                  <w:rPr>
                    <w:rFonts w:hint="default"/>
                    <w:lang w:val="en-US"/>
                  </w:rPr>
                  <m:t>,</m:t>
                </m:r>
                <m:r>
                  <m:rPr/>
                  <m:t>0</m:t>
                </m:r>
                <m:r>
                  <m:rPr>
                    <m:sty m:val="p"/>
                  </m:rPr>
                  <m:t>&lt;</m:t>
                </m:r>
                <m:r>
                  <m:rPr/>
                  <m:t>α</m:t>
                </m:r>
                <m:r>
                  <m:rPr>
                    <m:sty m:val="p"/>
                  </m:rPr>
                  <m:t>&lt;</m:t>
                </m:r>
                <m:r>
                  <m:rPr/>
                  <m:t>1</m:t>
                </m:r>
              </m:oMath>
            </m:oMathPara>
          </w:p>
        </w:tc>
        <w:tc>
          <w:tcPr>
            <w:tcW w:w="650" w:type="dxa"/>
            <w:tcMar>
              <w:top w:w="0" w:type="dxa"/>
              <w:left w:w="0" w:type="dxa"/>
              <w:bottom w:w="0" w:type="dxa"/>
              <w:right w:w="0" w:type="dxa"/>
            </w:tcMar>
            <w:vAlign w:val="center"/>
          </w:tcPr>
          <w:p w14:paraId="5A471A70">
            <w:pPr>
              <w:spacing w:before="0" w:after="0"/>
              <w:jc w:val="right"/>
            </w:pPr>
            <w:bookmarkStart w:id="46" w:name="_RefEq4_21"/>
            <w:r>
              <w:t>(4-</w:t>
            </w:r>
            <w:r>
              <w:fldChar w:fldCharType="begin"/>
            </w:r>
            <w:r>
              <w:instrText xml:space="preserve"> SEQ Eq4 \* ARABIC </w:instrText>
            </w:r>
            <w:r>
              <w:fldChar w:fldCharType="separate"/>
            </w:r>
            <w:r>
              <w:t>16</w:t>
            </w:r>
            <w:r>
              <w:fldChar w:fldCharType="end"/>
            </w:r>
            <w:r>
              <w:t>)</w:t>
            </w:r>
            <w:bookmarkEnd w:id="46"/>
          </w:p>
        </w:tc>
      </w:tr>
    </w:tbl>
    <w:p w14:paraId="0B274885">
      <w:pPr>
        <w:ind w:firstLine="420"/>
        <w:jc w:val="both"/>
      </w:pPr>
      <w:r>
        <w:t xml:space="preserve">完整词表的 Forward KL、Reverse KL、JSD 和 skew KL 用于解释概率加权差异[7][8][9][12]。主要稀疏目标采用 Reverse KL；其他散度作为机制参照，在相同学生轨迹、温度、有效位置与支持集协议下比较梯度、熵和任务行为。</w:t>
      </w:r>
    </w:p>
    <w:p w14:paraId="32BF1A8F">
      <w:pPr>
        <w:ind w:firstLine="420"/>
        <w:jc w:val="both"/>
      </w:pPr>
      <w:r>
        <w:t xml:space="preserve">表 4-2 围绕候选方法设置四组实验：完整词表参照、稀疏监督诊断、同预算方法比较和组件消融。各组固定教师、学生起点、数据划分、生成协议和评价规则，训练比较统一有效 token 数与更新步数。</w:t>
      </w:r>
    </w:p>
    <w:p w14:paraId="706F3CCD">
      <w:pPr>
        <w:keepNext/>
        <w:spacing w:before="80" w:after="80" w:line="240" w:lineRule="auto"/>
        <w:ind w:left="0" w:right="0" w:firstLine="0"/>
        <w:jc w:val="center"/>
      </w:pPr>
      <w:r>
        <w:rPr>
          <w:rFonts w:ascii="Times New Roman" w:hAnsi="Times New Roman" w:eastAsia="Songti SC"/>
          <w:sz w:val="21"/>
        </w:rPr>
        <w:t xml:space="preserve">表 </w:t>
      </w:r>
      <w:bookmarkStart w:id="47" w:name="_RefTable4_2"/>
      <w:r>
        <w:rPr>
          <w:rFonts w:ascii="Times New Roman" w:hAnsi="Times New Roman" w:eastAsia="Songti SC"/>
          <w:sz w:val="21"/>
        </w:rPr>
        <w:t>4-</w:t>
      </w:r>
      <w:r>
        <w:rPr>
          <w:rFonts w:ascii="Times New Roman" w:hAnsi="Times New Roman" w:eastAsia="Songti SC"/>
          <w:sz w:val="21"/>
        </w:rPr>
        <w:fldChar w:fldCharType="begin"/>
      </w:r>
      <w:r>
        <w:rPr>
          <w:rFonts w:ascii="Times New Roman" w:hAnsi="Times New Roman" w:eastAsia="Songti SC"/>
          <w:sz w:val="21"/>
        </w:rPr>
        <w:instrText xml:space="preserve"> SEQ TableCh4 \* ARABIC </w:instrText>
      </w:r>
      <w:r>
        <w:rPr>
          <w:rFonts w:ascii="Times New Roman" w:hAnsi="Times New Roman" w:eastAsia="Songti SC"/>
          <w:sz w:val="21"/>
        </w:rPr>
        <w:fldChar w:fldCharType="separate"/>
      </w:r>
      <w:r>
        <w:rPr>
          <w:rFonts w:ascii="Times New Roman" w:hAnsi="Times New Roman" w:eastAsia="Songti SC"/>
          <w:sz w:val="21"/>
        </w:rPr>
        <w:t>2</w:t>
      </w:r>
      <w:r>
        <w:rPr>
          <w:rFonts w:ascii="Times New Roman" w:hAnsi="Times New Roman" w:eastAsia="Songti SC"/>
          <w:sz w:val="21"/>
        </w:rPr>
        <w:fldChar w:fldCharType="end"/>
      </w:r>
      <w:bookmarkEnd w:id="47"/>
      <w:r>
        <w:rPr>
          <w:rFonts w:ascii="Times New Roman" w:hAnsi="Times New Roman" w:eastAsia="Songti SC"/>
          <w:sz w:val="21"/>
        </w:rPr>
        <w:t xml:space="preserve">  分层对照实验设计</w:t>
      </w:r>
    </w:p>
    <w:tbl>
      <w:tblPr>
        <w:tblStyle w:val="11"/>
        <w:tblW w:w="830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50"/>
        <w:gridCol w:w="2350"/>
        <w:gridCol w:w="1450"/>
        <w:gridCol w:w="1900"/>
        <w:gridCol w:w="1456"/>
      </w:tblGrid>
      <w:tr w14:paraId="15E61120">
        <w:trPr>
          <w:tblHeader/>
          <w:jc w:val="center"/>
        </w:trPr>
        <w:tc>
          <w:tcPr>
            <w:tcW w:w="1150" w:type="dxa"/>
            <w:vAlign w:val="center"/>
          </w:tcPr>
          <w:p w14:paraId="0C984810">
            <w:pPr>
              <w:spacing w:before="0" w:after="0" w:line="240" w:lineRule="auto"/>
              <w:ind w:firstLine="0"/>
              <w:jc w:val="left"/>
            </w:pPr>
            <w:r>
              <w:rPr>
                <w:rFonts w:ascii="Times New Roman" w:hAnsi="Times New Roman" w:eastAsia="宋体"/>
                <w:b/>
                <w:sz w:val="19"/>
              </w:rPr>
              <w:t xml:space="preserve">实验层次</w:t>
            </w:r>
          </w:p>
        </w:tc>
        <w:tc>
          <w:tcPr>
            <w:tcW w:w="2350" w:type="dxa"/>
            <w:vAlign w:val="center"/>
          </w:tcPr>
          <w:p w14:paraId="6B2C1018">
            <w:pPr>
              <w:spacing w:before="0" w:after="0" w:line="240" w:lineRule="auto"/>
              <w:ind w:firstLine="0"/>
              <w:jc w:val="left"/>
            </w:pPr>
            <w:r>
              <w:rPr>
                <w:rFonts w:ascii="Times New Roman" w:hAnsi="Times New Roman" w:eastAsia="宋体"/>
                <w:b/>
                <w:sz w:val="19"/>
              </w:rPr>
              <w:t xml:space="preserve">固定条件</w:t>
            </w:r>
          </w:p>
        </w:tc>
        <w:tc>
          <w:tcPr>
            <w:tcW w:w="1450" w:type="dxa"/>
            <w:vAlign w:val="center"/>
          </w:tcPr>
          <w:p w14:paraId="02EE87DF">
            <w:pPr>
              <w:spacing w:before="0" w:after="0" w:line="240" w:lineRule="auto"/>
              <w:ind w:firstLine="0"/>
              <w:jc w:val="left"/>
            </w:pPr>
            <w:r>
              <w:rPr>
                <w:rFonts w:ascii="Times New Roman" w:hAnsi="Times New Roman" w:eastAsia="宋体"/>
                <w:b/>
                <w:sz w:val="19"/>
              </w:rPr>
              <w:t xml:space="preserve">变化因素</w:t>
            </w:r>
          </w:p>
        </w:tc>
        <w:tc>
          <w:tcPr>
            <w:tcW w:w="1900" w:type="dxa"/>
            <w:vAlign w:val="center"/>
          </w:tcPr>
          <w:p w14:paraId="60B5A87E">
            <w:pPr>
              <w:spacing w:before="0" w:after="0" w:line="240" w:lineRule="auto"/>
              <w:ind w:firstLine="0"/>
              <w:jc w:val="left"/>
            </w:pPr>
            <w:r>
              <w:rPr>
                <w:rFonts w:ascii="Times New Roman" w:hAnsi="Times New Roman" w:eastAsia="宋体"/>
                <w:b/>
                <w:sz w:val="19"/>
              </w:rPr>
              <w:t xml:space="preserve">主要观察</w:t>
            </w:r>
          </w:p>
        </w:tc>
        <w:tc>
          <w:tcPr>
            <w:tcW w:w="1456" w:type="dxa"/>
            <w:vAlign w:val="center"/>
          </w:tcPr>
          <w:p w14:paraId="088DB88C">
            <w:pPr>
              <w:spacing w:before="0" w:after="0" w:line="240" w:lineRule="auto"/>
              <w:ind w:firstLine="0"/>
              <w:jc w:val="left"/>
            </w:pPr>
            <w:r>
              <w:rPr>
                <w:rFonts w:ascii="Times New Roman" w:hAnsi="Times New Roman" w:eastAsia="宋体"/>
                <w:b/>
                <w:sz w:val="19"/>
              </w:rPr>
              <w:t xml:space="preserve">研究作用</w:t>
            </w:r>
          </w:p>
        </w:tc>
      </w:tr>
      <w:tr w14:paraId="568DC1CB">
        <w:trPr>
          <w:jc w:val="center"/>
        </w:trPr>
        <w:tc>
          <w:tcPr>
            <w:tcW w:w="1150" w:type="dxa"/>
            <w:vAlign w:val="center"/>
          </w:tcPr>
          <w:p w14:paraId="24BA4DC4">
            <w:pPr>
              <w:spacing w:before="0" w:after="0" w:line="240" w:lineRule="auto"/>
              <w:ind w:firstLine="0"/>
              <w:jc w:val="left"/>
            </w:pPr>
            <w:r>
              <w:rPr>
                <w:rFonts w:ascii="Times New Roman" w:hAnsi="Times New Roman" w:eastAsia="宋体"/>
                <w:b w:val="0"/>
                <w:sz w:val="19"/>
              </w:rPr>
              <w:t xml:space="preserve">完整词表参照</w:t>
            </w:r>
          </w:p>
        </w:tc>
        <w:tc>
          <w:tcPr>
            <w:tcW w:w="2350" w:type="dxa"/>
            <w:vAlign w:val="center"/>
          </w:tcPr>
          <w:p w14:paraId="1E409E4D">
            <w:pPr>
              <w:spacing w:before="0" w:after="0" w:line="240" w:lineRule="auto"/>
              <w:ind w:firstLine="0"/>
              <w:jc w:val="left"/>
            </w:pPr>
            <w:r>
              <w:rPr>
                <w:rFonts w:ascii="Times New Roman" w:hAnsi="Times New Roman" w:eastAsia="宋体"/>
                <w:b w:val="0"/>
                <w:sz w:val="19"/>
              </w:rPr>
              <w:t xml:space="preserve">模型、数据、前缀与预算</w:t>
            </w:r>
          </w:p>
        </w:tc>
        <w:tc>
          <w:tcPr>
            <w:tcW w:w="1450" w:type="dxa"/>
            <w:vAlign w:val="center"/>
          </w:tcPr>
          <w:p w14:paraId="702B1700">
            <w:pPr>
              <w:spacing w:before="0" w:after="0" w:line="240" w:lineRule="auto"/>
              <w:ind w:firstLine="0"/>
              <w:jc w:val="left"/>
            </w:pPr>
            <w:r>
              <w:rPr>
                <w:rFonts w:ascii="Times New Roman" w:hAnsi="Times New Roman" w:eastAsia="宋体"/>
                <w:b w:val="0"/>
                <w:sz w:val="19"/>
              </w:rPr>
              <w:t xml:space="preserve">Reverse KL 主目标；其他散度参照</w:t>
            </w:r>
          </w:p>
        </w:tc>
        <w:tc>
          <w:tcPr>
            <w:tcW w:w="1900" w:type="dxa"/>
            <w:vAlign w:val="center"/>
          </w:tcPr>
          <w:p w14:paraId="169573F0">
            <w:pPr>
              <w:spacing w:before="0" w:after="0" w:line="240" w:lineRule="auto"/>
              <w:ind w:firstLine="0"/>
              <w:jc w:val="left"/>
            </w:pPr>
            <w:r>
              <w:rPr>
                <w:rFonts w:ascii="Times New Roman" w:hAnsi="Times New Roman" w:eastAsia="宋体"/>
                <w:b w:val="0"/>
                <w:sz w:val="19"/>
              </w:rPr>
              <w:t xml:space="preserve">分布、梯度及任务指标</w:t>
            </w:r>
          </w:p>
        </w:tc>
        <w:tc>
          <w:tcPr>
            <w:tcW w:w="1456" w:type="dxa"/>
            <w:vAlign w:val="center"/>
          </w:tcPr>
          <w:p w14:paraId="4AA4DF2E">
            <w:pPr>
              <w:spacing w:before="0" w:after="0" w:line="240" w:lineRule="auto"/>
              <w:ind w:firstLine="0"/>
              <w:jc w:val="left"/>
            </w:pPr>
            <w:r>
              <w:rPr>
                <w:rFonts w:ascii="Times New Roman" w:hAnsi="Times New Roman" w:eastAsia="宋体"/>
                <w:b w:val="0"/>
                <w:sz w:val="19"/>
              </w:rPr>
              <w:t xml:space="preserve">建立信息参照</w:t>
            </w:r>
          </w:p>
        </w:tc>
      </w:tr>
      <w:tr w14:paraId="17480239">
        <w:trPr>
          <w:jc w:val="center"/>
        </w:trPr>
        <w:tc>
          <w:tcPr>
            <w:tcW w:w="1150" w:type="dxa"/>
            <w:vAlign w:val="center"/>
          </w:tcPr>
          <w:p w14:paraId="4DBCBCCE">
            <w:pPr>
              <w:spacing w:before="0" w:after="0" w:line="240" w:lineRule="auto"/>
              <w:ind w:firstLine="0"/>
              <w:jc w:val="left"/>
            </w:pPr>
            <w:r>
              <w:rPr>
                <w:rFonts w:ascii="Times New Roman" w:hAnsi="Times New Roman" w:eastAsia="宋体"/>
                <w:b w:val="0"/>
                <w:sz w:val="19"/>
              </w:rPr>
              <w:t xml:space="preserve">稀疏监督诊断</w:t>
            </w:r>
          </w:p>
        </w:tc>
        <w:tc>
          <w:tcPr>
            <w:tcW w:w="2350" w:type="dxa"/>
            <w:vAlign w:val="center"/>
          </w:tcPr>
          <w:p w14:paraId="4F4C009D">
            <w:pPr>
              <w:spacing w:before="0" w:after="0" w:line="240" w:lineRule="auto"/>
              <w:ind w:firstLine="0"/>
              <w:jc w:val="left"/>
            </w:pPr>
            <w:r>
              <w:rPr>
                <w:rFonts w:ascii="Times New Roman" w:hAnsi="Times New Roman" w:eastAsia="宋体"/>
                <w:b w:val="0"/>
                <w:sz w:val="19"/>
              </w:rPr>
              <w:t xml:space="preserve">前缀、教师、K 与损失方向</w:t>
            </w:r>
          </w:p>
        </w:tc>
        <w:tc>
          <w:tcPr>
            <w:tcW w:w="1450" w:type="dxa"/>
            <w:vAlign w:val="center"/>
          </w:tcPr>
          <w:p w14:paraId="11D8717A">
            <w:pPr>
              <w:spacing w:before="0" w:after="0" w:line="240" w:lineRule="auto"/>
              <w:ind w:firstLine="0"/>
              <w:jc w:val="left"/>
            </w:pPr>
            <w:r>
              <w:rPr>
                <w:rFonts w:ascii="Times New Roman" w:hAnsi="Times New Roman" w:eastAsia="宋体"/>
                <w:b w:val="0"/>
                <w:sz w:val="19"/>
              </w:rPr>
              <w:t xml:space="preserve">常规 Top-K、尾部类别、关键候选补入</w:t>
            </w:r>
          </w:p>
        </w:tc>
        <w:tc>
          <w:tcPr>
            <w:tcW w:w="1900" w:type="dxa"/>
            <w:vAlign w:val="center"/>
          </w:tcPr>
          <w:p w14:paraId="3A35555F">
            <w:pPr>
              <w:spacing w:before="0" w:after="0" w:line="240" w:lineRule="auto"/>
              <w:ind w:firstLine="0"/>
              <w:jc w:val="left"/>
            </w:pPr>
            <w:r>
              <w:rPr>
                <w:rFonts w:ascii="Times New Roman" w:hAnsi="Times New Roman" w:eastAsia="宋体"/>
                <w:b w:val="0"/>
                <w:sz w:val="19"/>
              </w:rPr>
              <w:t xml:space="preserve">尾部总量、决策坐标和梯度误差</w:t>
            </w:r>
          </w:p>
        </w:tc>
        <w:tc>
          <w:tcPr>
            <w:tcW w:w="1456" w:type="dxa"/>
            <w:vAlign w:val="center"/>
          </w:tcPr>
          <w:p w14:paraId="0A52DD0F">
            <w:pPr>
              <w:spacing w:before="0" w:after="0" w:line="240" w:lineRule="auto"/>
              <w:ind w:firstLine="0"/>
              <w:jc w:val="left"/>
            </w:pPr>
            <w:r>
              <w:rPr>
                <w:rFonts w:ascii="Times New Roman" w:hAnsi="Times New Roman" w:eastAsia="宋体"/>
                <w:b w:val="0"/>
                <w:sz w:val="19"/>
              </w:rPr>
              <w:t xml:space="preserve">定位两类信息缺失</w:t>
            </w:r>
          </w:p>
        </w:tc>
      </w:tr>
      <w:tr w14:paraId="5DED9877">
        <w:trPr>
          <w:jc w:val="center"/>
        </w:trPr>
        <w:tc>
          <w:tcPr>
            <w:tcW w:w="1150" w:type="dxa"/>
            <w:vAlign w:val="center"/>
          </w:tcPr>
          <w:p w14:paraId="03D05CC0">
            <w:pPr>
              <w:spacing w:before="0" w:after="0" w:line="240" w:lineRule="auto"/>
              <w:ind w:firstLine="0"/>
              <w:jc w:val="left"/>
            </w:pPr>
            <w:r>
              <w:rPr>
                <w:rFonts w:ascii="Times New Roman" w:hAnsi="Times New Roman" w:eastAsia="宋体"/>
                <w:b w:val="0"/>
                <w:sz w:val="19"/>
              </w:rPr>
              <w:t xml:space="preserve">同预算方法比较</w:t>
            </w:r>
          </w:p>
        </w:tc>
        <w:tc>
          <w:tcPr>
            <w:tcW w:w="2350" w:type="dxa"/>
            <w:vAlign w:val="center"/>
          </w:tcPr>
          <w:p w14:paraId="340E34F9">
            <w:pPr>
              <w:spacing w:before="0" w:after="0" w:line="240" w:lineRule="auto"/>
              <w:ind w:firstLine="0"/>
              <w:jc w:val="left"/>
            </w:pPr>
            <w:r>
              <w:rPr>
                <w:rFonts w:ascii="Times New Roman" w:hAnsi="Times New Roman" w:eastAsia="宋体"/>
                <w:b w:val="0"/>
                <w:sz w:val="19"/>
              </w:rPr>
              <w:t xml:space="preserve">学生起点、教师、数据和反馈预算</w:t>
            </w:r>
          </w:p>
        </w:tc>
        <w:tc>
          <w:tcPr>
            <w:tcW w:w="1450" w:type="dxa"/>
            <w:vAlign w:val="center"/>
          </w:tcPr>
          <w:p w14:paraId="4358821D">
            <w:pPr>
              <w:spacing w:before="0" w:after="0" w:line="240" w:lineRule="auto"/>
              <w:ind w:firstLine="0"/>
              <w:jc w:val="left"/>
            </w:pPr>
            <w:r>
              <w:rPr>
                <w:rFonts w:ascii="Times New Roman" w:hAnsi="Times New Roman" w:eastAsia="宋体"/>
                <w:b w:val="0"/>
                <w:sz w:val="19"/>
              </w:rPr>
              <w:t xml:space="preserve">固定 K、质量阈值 K、决策感知支持集</w:t>
            </w:r>
          </w:p>
        </w:tc>
        <w:tc>
          <w:tcPr>
            <w:tcW w:w="1900" w:type="dxa"/>
            <w:vAlign w:val="center"/>
          </w:tcPr>
          <w:p w14:paraId="7212AE94">
            <w:pPr>
              <w:spacing w:before="0" w:after="0" w:line="240" w:lineRule="auto"/>
              <w:ind w:firstLine="0"/>
              <w:jc w:val="left"/>
            </w:pPr>
            <w:r>
              <w:rPr>
                <w:rFonts w:ascii="Times New Roman" w:hAnsi="Times New Roman" w:eastAsia="宋体"/>
                <w:b w:val="0"/>
                <w:sz w:val="19"/>
              </w:rPr>
              <w:t xml:space="preserve">调用结果、熵、额外查询及反馈量</w:t>
            </w:r>
          </w:p>
        </w:tc>
        <w:tc>
          <w:tcPr>
            <w:tcW w:w="1456" w:type="dxa"/>
            <w:vAlign w:val="center"/>
          </w:tcPr>
          <w:p w14:paraId="18867DC3">
            <w:pPr>
              <w:spacing w:before="0" w:after="0" w:line="240" w:lineRule="auto"/>
              <w:ind w:firstLine="0"/>
              <w:jc w:val="left"/>
            </w:pPr>
            <w:r>
              <w:rPr>
                <w:rFonts w:ascii="Times New Roman" w:hAnsi="Times New Roman" w:eastAsia="宋体"/>
                <w:b w:val="0"/>
                <w:sz w:val="19"/>
              </w:rPr>
              <w:t xml:space="preserve">检验候选改进</w:t>
            </w:r>
          </w:p>
        </w:tc>
      </w:tr>
      <w:tr w14:paraId="7FDDC4CF">
        <w:trPr>
          <w:jc w:val="center"/>
        </w:trPr>
        <w:tc>
          <w:tcPr>
            <w:tcW w:w="1150" w:type="dxa"/>
            <w:vAlign w:val="center"/>
          </w:tcPr>
          <w:p w14:paraId="03D05CC0">
            <w:pPr>
              <w:spacing w:before="0" w:after="0" w:line="240" w:lineRule="auto"/>
              <w:ind w:firstLine="0"/>
              <w:jc w:val="left"/>
            </w:pPr>
            <w:r>
              <w:rPr>
                <w:rFonts w:ascii="Times New Roman" w:hAnsi="Times New Roman" w:eastAsia="宋体"/>
                <w:b w:val="0"/>
                <w:sz w:val="19"/>
              </w:rPr>
              <w:t xml:space="preserve">组件消融与边界</w:t>
            </w:r>
          </w:p>
        </w:tc>
        <w:tc>
          <w:tcPr>
            <w:tcW w:w="2350" w:type="dxa"/>
            <w:vAlign w:val="center"/>
          </w:tcPr>
          <w:p w14:paraId="340E34F9">
            <w:pPr>
              <w:spacing w:before="0" w:after="0" w:line="240" w:lineRule="auto"/>
              <w:ind w:firstLine="0"/>
              <w:jc w:val="left"/>
            </w:pPr>
            <w:r>
              <w:rPr>
                <w:rFonts w:ascii="Times New Roman" w:hAnsi="Times New Roman" w:eastAsia="宋体"/>
                <w:b w:val="0"/>
                <w:sz w:val="19"/>
              </w:rPr>
              <w:t xml:space="preserve">训练与评价协议</w:t>
            </w:r>
          </w:p>
        </w:tc>
        <w:tc>
          <w:tcPr>
            <w:tcW w:w="1450" w:type="dxa"/>
            <w:vAlign w:val="center"/>
          </w:tcPr>
          <w:p w14:paraId="4358821D">
            <w:pPr>
              <w:spacing w:before="0" w:after="0" w:line="240" w:lineRule="auto"/>
              <w:ind w:firstLine="0"/>
              <w:jc w:val="left"/>
            </w:pPr>
            <w:r>
              <w:rPr>
                <w:rFonts w:ascii="Times New Roman" w:hAnsi="Times New Roman" w:eastAsia="宋体"/>
                <w:b w:val="0"/>
                <w:sz w:val="19"/>
              </w:rPr>
              <w:t xml:space="preserve">移除尾部类别、候选补入、位置分配；K1 参照</w:t>
            </w:r>
          </w:p>
        </w:tc>
        <w:tc>
          <w:tcPr>
            <w:tcW w:w="1900" w:type="dxa"/>
            <w:vAlign w:val="center"/>
          </w:tcPr>
          <w:p w14:paraId="7212AE94">
            <w:pPr>
              <w:spacing w:before="0" w:after="0" w:line="240" w:lineRule="auto"/>
              <w:ind w:firstLine="0"/>
              <w:jc w:val="left"/>
            </w:pPr>
            <w:r>
              <w:rPr>
                <w:rFonts w:ascii="Times New Roman" w:hAnsi="Times New Roman" w:eastAsia="宋体"/>
                <w:b w:val="0"/>
                <w:sz w:val="19"/>
              </w:rPr>
              <w:t xml:space="preserve">任务变化、估计波动、时间和显存</w:t>
            </w:r>
          </w:p>
        </w:tc>
        <w:tc>
          <w:tcPr>
            <w:tcW w:w="1456" w:type="dxa"/>
            <w:vAlign w:val="center"/>
          </w:tcPr>
          <w:p w14:paraId="18867DC3">
            <w:pPr>
              <w:spacing w:before="0" w:after="0" w:line="240" w:lineRule="auto"/>
              <w:ind w:firstLine="0"/>
              <w:jc w:val="left"/>
            </w:pPr>
            <w:r>
              <w:rPr>
                <w:rFonts w:ascii="Times New Roman" w:hAnsi="Times New Roman" w:eastAsia="宋体"/>
                <w:b w:val="0"/>
                <w:sz w:val="19"/>
              </w:rPr>
              <w:t xml:space="preserve">归因并确定适用条件</w:t>
            </w:r>
          </w:p>
        </w:tc>
      </w:tr>
    </w:tbl>
    <w:p w14:paraId="26F667FD">
      <w:pPr>
        <w:ind w:firstLine="420"/>
        <w:jc w:val="both"/>
      </w:pPr>
      <w:r>
        <w:t xml:space="preserve">完整词表提供目标与梯度参照；稀疏诊断分别测量尾部总量和关键坐标；同预算比较检验决策感知支持集；组件消融辨别候选补入、尾部类别和位置预算各自的作用。K1 sampled-token 作为极低反馈量边界参照，单独报告估计波动。</w:t>
      </w:r>
    </w:p>
    <w:p w14:paraId="7D429E15">
      <w:pPr>
        <w:ind w:firstLine="420"/>
        <w:jc w:val="both"/>
      </w:pPr>
      <w:r>
        <w:t>完整词表方案直接使用师生完整概率分布计算散度，作为信息最充分的基线。常规 Top-K 方案由教师分布选出支持集，并分别计算教师和学生在该集合内的概率质量：</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8E2D71A">
        <w:trPr>
          <w:cantSplit/>
          <w:jc w:val="center"/>
        </w:trPr>
        <w:tc>
          <w:tcPr>
            <w:tcW w:w="650" w:type="dxa"/>
            <w:tcMar>
              <w:top w:w="0" w:type="dxa"/>
              <w:left w:w="0" w:type="dxa"/>
              <w:bottom w:w="0" w:type="dxa"/>
              <w:right w:w="0" w:type="dxa"/>
            </w:tcMar>
            <w:vAlign w:val="center"/>
          </w:tcPr>
          <w:p w14:paraId="115E50C2">
            <w:pPr>
              <w:spacing w:before="0" w:after="0"/>
              <w:jc w:val="left"/>
            </w:pPr>
          </w:p>
        </w:tc>
        <w:tc>
          <w:tcPr>
            <w:tcW w:w="7006" w:type="dxa"/>
            <w:tcMar>
              <w:top w:w="0" w:type="dxa"/>
              <w:left w:w="0" w:type="dxa"/>
              <w:bottom w:w="0" w:type="dxa"/>
              <w:right w:w="0" w:type="dxa"/>
            </w:tcMar>
            <w:vAlign w:val="center"/>
          </w:tcPr>
          <w:p w14:paraId="7394890F">
            <w:pPr>
              <w:spacing w:before="0" w:after="0"/>
              <w:jc w:val="center"/>
            </w:pPr>
            <m:oMathPara>
              <m:oMath>
                <m:sSub>
                  <m:sSubPr/>
                  <m:e>
                    <m:r>
                      <m:rPr>
                        <m:sty m:val="p"/>
                        <m:scr m:val="script"/>
                      </m:rPr>
                      <m:t>S</m:t>
                    </m:r>
                  </m:e>
                  <m:sub>
                    <m:r>
                      <m:rPr/>
                      <m:t>K</m:t>
                    </m:r>
                    <m:r>
                      <m:rPr>
                        <m:sty m:val="p"/>
                      </m:rPr>
                      <m:t>,</m:t>
                    </m:r>
                    <m:r>
                      <m:rPr/>
                      <m:t>t</m:t>
                    </m:r>
                  </m:sub>
                </m:sSub>
                <m:r>
                  <m:rPr>
                    <m:sty m:val="p"/>
                  </m:rPr>
                  <m:t>=TopK(</m:t>
                </m:r>
                <m:sSub>
                  <m:sSubPr/>
                  <m:e>
                    <m:r>
                      <m:rPr/>
                      <m:t>p</m:t>
                    </m:r>
                  </m:e>
                  <m:sub>
                    <m:r>
                      <m:rPr/>
                      <m:t>T</m:t>
                    </m:r>
                    <m:r>
                      <m:rPr>
                        <m:sty m:val="p"/>
                      </m:rPr>
                      <m:t>,</m:t>
                    </m:r>
                    <m:r>
                      <m:rPr/>
                      <m:t>t</m:t>
                    </m:r>
                  </m:sub>
                </m:sSub>
                <m:r>
                  <m:rPr>
                    <m:sty m:val="p"/>
                  </m:rPr>
                  <m:t>,</m:t>
                </m:r>
                <m:r>
                  <m:rPr/>
                  <m:t>K</m:t>
                </m:r>
                <m:r>
                  <m:rPr>
                    <m:sty m:val="p"/>
                  </m:rPr>
                  <m:t>)</m:t>
                </m:r>
              </m:oMath>
            </m:oMathPara>
          </w:p>
        </w:tc>
        <w:tc>
          <w:tcPr>
            <w:tcW w:w="650" w:type="dxa"/>
            <w:tcMar>
              <w:top w:w="0" w:type="dxa"/>
              <w:left w:w="0" w:type="dxa"/>
              <w:bottom w:w="0" w:type="dxa"/>
              <w:right w:w="0" w:type="dxa"/>
            </w:tcMar>
            <w:vAlign w:val="center"/>
          </w:tcPr>
          <w:p w14:paraId="54B925CC">
            <w:pPr>
              <w:spacing w:before="0" w:after="0"/>
              <w:jc w:val="right"/>
            </w:pPr>
          </w:p>
        </w:tc>
      </w:tr>
      <w:tr w14:paraId="20CAB09D">
        <w:trPr>
          <w:cantSplit/>
          <w:jc w:val="center"/>
        </w:trPr>
        <w:tc>
          <w:tcPr>
            <w:tcW w:w="650" w:type="dxa"/>
            <w:tcMar>
              <w:top w:w="0" w:type="dxa"/>
              <w:left w:w="0" w:type="dxa"/>
              <w:bottom w:w="0" w:type="dxa"/>
              <w:right w:w="0" w:type="dxa"/>
            </w:tcMar>
            <w:vAlign w:val="center"/>
          </w:tcPr>
          <w:p w14:paraId="716BD1F1">
            <w:pPr>
              <w:spacing w:before="0" w:after="0"/>
              <w:jc w:val="left"/>
            </w:pPr>
          </w:p>
        </w:tc>
        <w:tc>
          <w:tcPr>
            <w:tcW w:w="7006" w:type="dxa"/>
            <w:tcMar>
              <w:top w:w="0" w:type="dxa"/>
              <w:left w:w="0" w:type="dxa"/>
              <w:bottom w:w="0" w:type="dxa"/>
              <w:right w:w="0" w:type="dxa"/>
            </w:tcMar>
            <w:vAlign w:val="center"/>
          </w:tcPr>
          <w:p w14:paraId="1B7D00D7">
            <w:pPr>
              <w:spacing w:before="0" w:after="0"/>
              <w:jc w:val="center"/>
            </w:pPr>
            <m:oMathPara>
              <m:oMath>
                <m:sSub>
                  <m:sSubPr/>
                  <m:e>
                    <m:r>
                      <m:rPr/>
                      <m:t>Z</m:t>
                    </m:r>
                  </m:e>
                  <m:sub>
                    <m:r>
                      <m:rPr/>
                      <m:t>T</m:t>
                    </m:r>
                    <m:r>
                      <m:rPr>
                        <m:sty m:val="p"/>
                      </m:rPr>
                      <m:t>,</m:t>
                    </m:r>
                    <m:r>
                      <m:rPr/>
                      <m:t>t</m:t>
                    </m:r>
                  </m:sub>
                </m:sSub>
                <m:r>
                  <m:rPr>
                    <m:sty m:val="p"/>
                  </m:rPr>
                  <m:t>=</m:t>
                </m:r>
                <m:nary>
                  <m:naryPr>
                    <m:chr m:val="∑"/>
                    <m:limLoc m:val="undOvr"/>
                    <m:supHide m:val="1"/>
                  </m:naryPr>
                  <m:sub>
                    <m:r>
                      <m:rPr/>
                      <m:t>v</m:t>
                    </m:r>
                    <m:r>
                      <m:rPr>
                        <m:sty m:val="p"/>
                      </m:rPr>
                      <m:t>∈</m:t>
                    </m:r>
                    <m:sSub>
                      <m:sSubPr/>
                      <m:e>
                        <m:r>
                          <m:rPr>
                            <m:sty m:val="p"/>
                            <m:scr m:val="script"/>
                          </m:rPr>
                          <m:t>S</m:t>
                        </m:r>
                      </m:e>
                      <m:sub>
                        <m:r>
                          <m:rPr/>
                          <m:t>K</m:t>
                        </m:r>
                        <m:r>
                          <m:rPr>
                            <m:sty m:val="p"/>
                          </m:rPr>
                          <m:t>,</m:t>
                        </m:r>
                        <m:r>
                          <m:rPr/>
                          <m:t>t</m:t>
                        </m:r>
                      </m:sub>
                    </m:sSub>
                  </m:sub>
                  <m:sup>
                    <m:r>
                      <m:rPr/>
                      <m:t>​</m:t>
                    </m:r>
                  </m:sup>
                  <m:e>
                    <m:sSub>
                      <m:sSubPr/>
                      <m:e>
                        <m:r>
                          <m:rPr/>
                          <m:t>p</m:t>
                        </m:r>
                      </m:e>
                      <m:sub>
                        <m:r>
                          <m:rPr/>
                          <m:t>T</m:t>
                        </m:r>
                        <m:r>
                          <m:rPr>
                            <m:sty m:val="p"/>
                          </m:rPr>
                          <m:t>,</m:t>
                        </m:r>
                        <m:r>
                          <m:rPr/>
                          <m:t>t</m:t>
                        </m:r>
                      </m:sub>
                    </m:sSub>
                  </m:e>
                </m:nary>
                <m:r>
                  <m:rPr>
                    <m:sty m:val="p"/>
                  </m:rPr>
                  <m:t>(</m:t>
                </m:r>
                <m:r>
                  <m:rPr/>
                  <m:t>v</m:t>
                </m:r>
                <m:r>
                  <m:rPr>
                    <m:sty m:val="p"/>
                  </m:rPr>
                  <m:t>)</m:t>
                </m:r>
              </m:oMath>
            </m:oMathPara>
          </w:p>
        </w:tc>
        <w:tc>
          <w:tcPr>
            <w:tcW w:w="650" w:type="dxa"/>
            <w:tcMar>
              <w:top w:w="0" w:type="dxa"/>
              <w:left w:w="0" w:type="dxa"/>
              <w:bottom w:w="0" w:type="dxa"/>
              <w:right w:w="0" w:type="dxa"/>
            </w:tcMar>
            <w:vAlign w:val="center"/>
          </w:tcPr>
          <w:p w14:paraId="7DF53420">
            <w:pPr>
              <w:spacing w:before="0" w:after="0"/>
              <w:jc w:val="right"/>
            </w:pPr>
            <w:bookmarkStart w:id="48" w:name="_RefEq4_24"/>
            <w:r>
              <w:t>(4-</w:t>
            </w:r>
            <w:r>
              <w:fldChar w:fldCharType="begin"/>
            </w:r>
            <w:r>
              <w:instrText xml:space="preserve"> SEQ Eq4 \* ARABIC </w:instrText>
            </w:r>
            <w:r>
              <w:fldChar w:fldCharType="separate"/>
            </w:r>
            <w:r>
              <w:t>17</w:t>
            </w:r>
            <w:r>
              <w:fldChar w:fldCharType="end"/>
            </w:r>
            <w:r>
              <w:t>)</w:t>
            </w:r>
            <w:bookmarkEnd w:id="48"/>
          </w:p>
        </w:tc>
      </w:tr>
      <w:tr w14:paraId="526A2700">
        <w:trPr>
          <w:cantSplit/>
          <w:jc w:val="center"/>
        </w:trPr>
        <w:tc>
          <w:tcPr>
            <w:tcW w:w="650" w:type="dxa"/>
            <w:tcMar>
              <w:top w:w="0" w:type="dxa"/>
              <w:left w:w="0" w:type="dxa"/>
              <w:bottom w:w="0" w:type="dxa"/>
              <w:right w:w="0" w:type="dxa"/>
            </w:tcMar>
            <w:vAlign w:val="center"/>
          </w:tcPr>
          <w:p w14:paraId="7FDDC4C8">
            <w:pPr>
              <w:spacing w:before="0" w:after="0"/>
              <w:jc w:val="left"/>
            </w:pPr>
          </w:p>
        </w:tc>
        <w:tc>
          <w:tcPr>
            <w:tcW w:w="7006" w:type="dxa"/>
            <w:tcMar>
              <w:top w:w="0" w:type="dxa"/>
              <w:left w:w="0" w:type="dxa"/>
              <w:bottom w:w="0" w:type="dxa"/>
              <w:right w:w="0" w:type="dxa"/>
            </w:tcMar>
            <w:vAlign w:val="center"/>
          </w:tcPr>
          <w:p w14:paraId="07A0B0DA">
            <w:pPr>
              <w:spacing w:before="0" w:after="0"/>
              <w:jc w:val="center"/>
            </w:pPr>
            <m:oMathPara>
              <m:oMath>
                <m:sSub>
                  <m:sSubPr/>
                  <m:e>
                    <m:r>
                      <m:rPr/>
                      <m:t>Z</m:t>
                    </m:r>
                  </m:e>
                  <m:sub>
                    <m:r>
                      <m:rPr/>
                      <m:t>S</m:t>
                    </m:r>
                    <m:r>
                      <m:rPr>
                        <m:sty m:val="p"/>
                      </m:rPr>
                      <m:t>,</m:t>
                    </m:r>
                    <m:r>
                      <m:rPr/>
                      <m:t>t</m:t>
                    </m:r>
                  </m:sub>
                </m:sSub>
                <m:r>
                  <m:rPr>
                    <m:sty m:val="p"/>
                  </m:rPr>
                  <m:t>=</m:t>
                </m:r>
                <m:nary>
                  <m:naryPr>
                    <m:chr m:val="∑"/>
                    <m:limLoc m:val="undOvr"/>
                    <m:supHide m:val="1"/>
                  </m:naryPr>
                  <m:sub>
                    <m:r>
                      <m:rPr/>
                      <m:t>v</m:t>
                    </m:r>
                    <m:r>
                      <m:rPr>
                        <m:sty m:val="p"/>
                      </m:rPr>
                      <m:t>∈</m:t>
                    </m:r>
                    <m:sSub>
                      <m:sSubPr/>
                      <m:e>
                        <m:r>
                          <m:rPr>
                            <m:sty m:val="p"/>
                            <m:scr m:val="script"/>
                          </m:rPr>
                          <m:t>S</m:t>
                        </m:r>
                      </m:e>
                      <m:sub>
                        <m:r>
                          <m:rPr/>
                          <m:t>K</m:t>
                        </m:r>
                        <m:r>
                          <m:rPr>
                            <m:sty m:val="p"/>
                          </m:rPr>
                          <m:t>,</m:t>
                        </m:r>
                        <m:r>
                          <m:rPr/>
                          <m:t>t</m:t>
                        </m:r>
                      </m:sub>
                    </m:sSub>
                  </m:sub>
                  <m:sup>
                    <m:r>
                      <m:rPr/>
                      <m:t>​</m:t>
                    </m:r>
                  </m:sup>
                  <m:e>
                    <m:sSub>
                      <m:sSubPr/>
                      <m:e>
                        <m:r>
                          <m:rPr/>
                          <m:t>p</m:t>
                        </m:r>
                      </m:e>
                      <m:sub>
                        <m:r>
                          <m:rPr/>
                          <m:t>S</m:t>
                        </m:r>
                        <m:r>
                          <m:rPr>
                            <m:sty m:val="p"/>
                          </m:rPr>
                          <m:t>,</m:t>
                        </m:r>
                        <m:r>
                          <m:rPr/>
                          <m:t>t</m:t>
                        </m:r>
                      </m:sub>
                    </m:sSub>
                  </m:e>
                </m:nary>
                <m:r>
                  <m:rPr>
                    <m:sty m:val="p"/>
                  </m:rPr>
                  <m:t>(</m:t>
                </m:r>
                <m:r>
                  <m:rPr/>
                  <m:t>v</m:t>
                </m:r>
                <m:r>
                  <m:rPr>
                    <m:sty m:val="p"/>
                  </m:rPr>
                  <m:t>)</m:t>
                </m:r>
              </m:oMath>
            </m:oMathPara>
          </w:p>
        </w:tc>
        <w:tc>
          <w:tcPr>
            <w:tcW w:w="650" w:type="dxa"/>
            <w:tcMar>
              <w:top w:w="0" w:type="dxa"/>
              <w:left w:w="0" w:type="dxa"/>
              <w:bottom w:w="0" w:type="dxa"/>
              <w:right w:w="0" w:type="dxa"/>
            </w:tcMar>
            <w:vAlign w:val="center"/>
          </w:tcPr>
          <w:p w14:paraId="5E2E62C5">
            <w:pPr>
              <w:spacing w:before="0" w:after="0"/>
              <w:jc w:val="right"/>
            </w:pPr>
          </w:p>
        </w:tc>
      </w:tr>
    </w:tbl>
    <w:p w14:paraId="1E71EBD7">
      <w:pPr>
        <w:ind w:firstLine="420"/>
        <w:jc w:val="both"/>
      </w:pPr>
      <w:r>
        <w:t xml:space="preserve">常规截断基线在教师支持集内分别归一化师生概率，如式（4-18）所示。TA-OPD 在支持集外增加尾部类别[31]，作为本课题的直接方法基线。候选方法按工具调用位置调整支持集：检查学生高概率的合法决策候选，将教师 Top-K 漏掉的关键 token 补入，再计算新的尾部总概率。尾部类别传递总量信号，补入 token 传递具体决策信号；两者分别设置消融。</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CF70D08">
        <w:trPr>
          <w:cantSplit/>
          <w:jc w:val="center"/>
        </w:trPr>
        <w:tc>
          <w:tcPr>
            <w:tcW w:w="650" w:type="dxa"/>
            <w:tcMar>
              <w:top w:w="0" w:type="dxa"/>
              <w:left w:w="0" w:type="dxa"/>
              <w:bottom w:w="0" w:type="dxa"/>
              <w:right w:w="0" w:type="dxa"/>
            </w:tcMar>
            <w:vAlign w:val="center"/>
          </w:tcPr>
          <w:p w14:paraId="042B969B">
            <w:pPr>
              <w:spacing w:before="0" w:after="0"/>
              <w:jc w:val="left"/>
            </w:pPr>
          </w:p>
        </w:tc>
        <w:tc>
          <w:tcPr>
            <w:tcW w:w="7006" w:type="dxa"/>
            <w:tcMar>
              <w:top w:w="0" w:type="dxa"/>
              <w:left w:w="0" w:type="dxa"/>
              <w:bottom w:w="0" w:type="dxa"/>
              <w:right w:w="0" w:type="dxa"/>
            </w:tcMar>
            <w:vAlign w:val="center"/>
          </w:tcPr>
          <w:p w14:paraId="169B8FF7">
            <w:pPr>
              <w:spacing w:before="0" w:after="0"/>
              <w:jc w:val="center"/>
              <w:rPr>
                <w:rFonts w:hint="default"/>
                <w:lang w:val="en-US"/>
              </w:rPr>
            </w:pPr>
            <m:oMathPara>
              <m:oMath>
                <m:sSub>
                  <m:sSubPr/>
                  <m:e>
                    <m:acc>
                      <m:accPr>
                        <m:chr m:val="̃"/>
                      </m:accPr>
                      <m:e>
                        <m:r>
                          <m:rPr/>
                          <m:t>p</m:t>
                        </m:r>
                      </m:e>
                    </m:acc>
                  </m:e>
                  <m:sub>
                    <m:r>
                      <m:rPr/>
                      <m:t>T</m:t>
                    </m:r>
                    <m:r>
                      <m:rPr>
                        <m:sty m:val="p"/>
                      </m:rPr>
                      <m:t>,</m:t>
                    </m:r>
                    <m:r>
                      <m:rPr/>
                      <m:t>t</m:t>
                    </m:r>
                  </m:sub>
                </m:sSub>
                <m:r>
                  <m:rPr>
                    <m:sty m:val="p"/>
                  </m:rPr>
                  <m:t>(</m:t>
                </m:r>
                <m:r>
                  <m:rPr/>
                  <m:t>v</m:t>
                </m:r>
                <m:r>
                  <m:rPr>
                    <m:sty m:val="p"/>
                  </m:rPr>
                  <m:t>)=</m:t>
                </m:r>
                <m:f>
                  <m:fPr/>
                  <m:num>
                    <m:sSub>
                      <m:sSubPr/>
                      <m:e>
                        <m:r>
                          <m:rPr/>
                          <m:t>p</m:t>
                        </m:r>
                      </m:e>
                      <m:sub>
                        <m:r>
                          <m:rPr/>
                          <m:t>T</m:t>
                        </m:r>
                        <m:r>
                          <m:rPr>
                            <m:sty m:val="p"/>
                          </m:rPr>
                          <m:t>,</m:t>
                        </m:r>
                        <m:r>
                          <m:rPr/>
                          <m:t>t</m:t>
                        </m:r>
                      </m:sub>
                    </m:sSub>
                    <m:r>
                      <m:rPr>
                        <m:sty m:val="p"/>
                      </m:rPr>
                      <m:t>(</m:t>
                    </m:r>
                    <m:r>
                      <m:rPr/>
                      <m:t>v</m:t>
                    </m:r>
                    <m:r>
                      <m:rPr>
                        <m:sty m:val="p"/>
                      </m:rPr>
                      <m:t>)</m:t>
                    </m:r>
                  </m:num>
                  <m:den>
                    <m:sSub>
                      <m:sSubPr/>
                      <m:e>
                        <m:r>
                          <m:rPr/>
                          <m:t>Z</m:t>
                        </m:r>
                      </m:e>
                      <m:sub>
                        <m:r>
                          <m:rPr/>
                          <m:t>T</m:t>
                        </m:r>
                        <m:r>
                          <m:rPr>
                            <m:sty m:val="p"/>
                          </m:rPr>
                          <m:t>,</m:t>
                        </m:r>
                        <m:r>
                          <m:rPr/>
                          <m:t>t</m:t>
                        </m:r>
                      </m:sub>
                    </m:sSub>
                  </m:den>
                </m:f>
                <m:r>
                  <m:rPr>
                    <m:sty m:val="p"/>
                  </m:rPr>
                  <w:rPr>
                    <w:rFonts w:hint="default"/>
                    <w:lang w:val="en-US"/>
                  </w:rPr>
                  <m:t>,</m:t>
                </m:r>
                <m:r>
                  <m:rPr/>
                  <m:t>v</m:t>
                </m:r>
                <m:r>
                  <m:rPr>
                    <m:sty m:val="p"/>
                  </m:rPr>
                  <m:t>∈</m:t>
                </m:r>
                <m:sSub>
                  <m:sSubPr/>
                  <m:e>
                    <m:r>
                      <m:rPr>
                        <m:sty m:val="p"/>
                        <m:scr m:val="script"/>
                      </m:rPr>
                      <m:t>S</m:t>
                    </m:r>
                  </m:e>
                  <m:sub>
                    <m:r>
                      <m:rPr/>
                      <m:t>K</m:t>
                    </m:r>
                    <m:r>
                      <m:rPr>
                        <m:sty m:val="p"/>
                      </m:rPr>
                      <m:t>,</m:t>
                    </m:r>
                    <m:r>
                      <m:rPr/>
                      <m:t>t</m:t>
                    </m:r>
                  </m:sub>
                </m:sSub>
              </m:oMath>
            </m:oMathPara>
          </w:p>
        </w:tc>
        <w:tc>
          <w:tcPr>
            <w:tcW w:w="650" w:type="dxa"/>
            <w:tcMar>
              <w:top w:w="0" w:type="dxa"/>
              <w:left w:w="0" w:type="dxa"/>
              <w:bottom w:w="0" w:type="dxa"/>
              <w:right w:w="0" w:type="dxa"/>
            </w:tcMar>
            <w:vAlign w:val="center"/>
          </w:tcPr>
          <w:p w14:paraId="570F6FE6">
            <w:pPr>
              <w:spacing w:before="0" w:after="0"/>
              <w:jc w:val="right"/>
            </w:pPr>
            <w:bookmarkStart w:id="49" w:name="_RefEq4_26"/>
            <w:r>
              <w:t>(4-</w:t>
            </w:r>
            <w:r>
              <w:fldChar w:fldCharType="begin"/>
            </w:r>
            <w:r>
              <w:instrText xml:space="preserve"> SEQ Eq4 \* ARABIC </w:instrText>
            </w:r>
            <w:r>
              <w:fldChar w:fldCharType="separate"/>
            </w:r>
            <w:r>
              <w:t>18</w:t>
            </w:r>
            <w:r>
              <w:fldChar w:fldCharType="end"/>
            </w:r>
            <w:r>
              <w:t>)</w:t>
            </w:r>
            <w:bookmarkEnd w:id="49"/>
          </w:p>
        </w:tc>
      </w:tr>
      <w:tr w14:paraId="2A993CC4">
        <w:trPr>
          <w:cantSplit/>
          <w:jc w:val="center"/>
        </w:trPr>
        <w:tc>
          <w:tcPr>
            <w:tcW w:w="650" w:type="dxa"/>
            <w:tcMar>
              <w:top w:w="0" w:type="dxa"/>
              <w:left w:w="0" w:type="dxa"/>
              <w:bottom w:w="0" w:type="dxa"/>
              <w:right w:w="0" w:type="dxa"/>
            </w:tcMar>
            <w:vAlign w:val="center"/>
          </w:tcPr>
          <w:p w14:paraId="238FD7B2">
            <w:pPr>
              <w:spacing w:before="0" w:after="0"/>
              <w:jc w:val="left"/>
            </w:pPr>
          </w:p>
        </w:tc>
        <w:tc>
          <w:tcPr>
            <w:tcW w:w="7006" w:type="dxa"/>
            <w:tcMar>
              <w:top w:w="0" w:type="dxa"/>
              <w:left w:w="0" w:type="dxa"/>
              <w:bottom w:w="0" w:type="dxa"/>
              <w:right w:w="0" w:type="dxa"/>
            </w:tcMar>
            <w:vAlign w:val="center"/>
          </w:tcPr>
          <w:p w14:paraId="2BA3E32A">
            <w:pPr>
              <w:spacing w:before="0" w:after="0"/>
              <w:jc w:val="center"/>
              <w:rPr>
                <w:rFonts w:hint="default"/>
                <w:lang w:val="en-US"/>
              </w:rPr>
            </w:pPr>
            <m:oMathPara>
              <m:oMath>
                <m:sSub>
                  <m:sSubPr/>
                  <m:e>
                    <m:acc>
                      <m:accPr>
                        <m:chr m:val="̃"/>
                      </m:accPr>
                      <m:e>
                        <m:r>
                          <m:rPr/>
                          <m:t>p</m:t>
                        </m:r>
                      </m:e>
                    </m:acc>
                  </m:e>
                  <m:sub>
                    <m:r>
                      <m:rPr/>
                      <m:t>S</m:t>
                    </m:r>
                    <m:r>
                      <m:rPr>
                        <m:sty m:val="p"/>
                      </m:rPr>
                      <m:t>,</m:t>
                    </m:r>
                    <m:r>
                      <m:rPr/>
                      <m:t>t</m:t>
                    </m:r>
                  </m:sub>
                </m:sSub>
                <m:r>
                  <m:rPr>
                    <m:sty m:val="p"/>
                  </m:rPr>
                  <m:t>(</m:t>
                </m:r>
                <m:r>
                  <m:rPr/>
                  <m:t>v</m:t>
                </m:r>
                <m:r>
                  <m:rPr>
                    <m:sty m:val="p"/>
                  </m:rPr>
                  <m:t>)=</m:t>
                </m:r>
                <m:f>
                  <m:fPr/>
                  <m:num>
                    <m:sSub>
                      <m:sSubPr/>
                      <m:e>
                        <m:r>
                          <m:rPr/>
                          <m:t>p</m:t>
                        </m:r>
                      </m:e>
                      <m:sub>
                        <m:r>
                          <m:rPr/>
                          <m:t>S</m:t>
                        </m:r>
                        <m:r>
                          <m:rPr>
                            <m:sty m:val="p"/>
                          </m:rPr>
                          <m:t>,</m:t>
                        </m:r>
                        <m:r>
                          <m:rPr/>
                          <m:t>t</m:t>
                        </m:r>
                      </m:sub>
                    </m:sSub>
                    <m:r>
                      <m:rPr>
                        <m:sty m:val="p"/>
                      </m:rPr>
                      <m:t>(</m:t>
                    </m:r>
                    <m:r>
                      <m:rPr/>
                      <m:t>v</m:t>
                    </m:r>
                    <m:r>
                      <m:rPr>
                        <m:sty m:val="p"/>
                      </m:rPr>
                      <m:t>)</m:t>
                    </m:r>
                  </m:num>
                  <m:den>
                    <m:sSub>
                      <m:sSubPr/>
                      <m:e>
                        <m:r>
                          <m:rPr/>
                          <m:t>Z</m:t>
                        </m:r>
                      </m:e>
                      <m:sub>
                        <m:r>
                          <m:rPr/>
                          <m:t>S</m:t>
                        </m:r>
                        <m:r>
                          <m:rPr>
                            <m:sty m:val="p"/>
                          </m:rPr>
                          <m:t>,</m:t>
                        </m:r>
                        <m:r>
                          <m:rPr/>
                          <m:t>t</m:t>
                        </m:r>
                      </m:sub>
                    </m:sSub>
                  </m:den>
                </m:f>
                <m:r>
                  <m:rPr>
                    <m:sty m:val="p"/>
                  </m:rPr>
                  <w:rPr>
                    <w:rFonts w:hint="default"/>
                    <w:lang w:val="en-US"/>
                  </w:rPr>
                  <m:t>,</m:t>
                </m:r>
                <m:r>
                  <m:rPr/>
                  <m:t>v</m:t>
                </m:r>
                <m:r>
                  <m:rPr>
                    <m:sty m:val="p"/>
                  </m:rPr>
                  <m:t>∈</m:t>
                </m:r>
                <m:sSub>
                  <m:sSubPr/>
                  <m:e>
                    <m:r>
                      <m:rPr>
                        <m:sty m:val="p"/>
                        <m:scr m:val="script"/>
                      </m:rPr>
                      <m:t>S</m:t>
                    </m:r>
                  </m:e>
                  <m:sub>
                    <m:r>
                      <m:rPr/>
                      <m:t>K</m:t>
                    </m:r>
                    <m:r>
                      <m:rPr>
                        <m:sty m:val="p"/>
                      </m:rPr>
                      <m:t>,</m:t>
                    </m:r>
                    <m:r>
                      <m:rPr/>
                      <m:t>t</m:t>
                    </m:r>
                  </m:sub>
                </m:sSub>
              </m:oMath>
            </m:oMathPara>
          </w:p>
        </w:tc>
        <w:tc>
          <w:tcPr>
            <w:tcW w:w="650" w:type="dxa"/>
            <w:tcMar>
              <w:top w:w="0" w:type="dxa"/>
              <w:left w:w="0" w:type="dxa"/>
              <w:bottom w:w="0" w:type="dxa"/>
              <w:right w:w="0" w:type="dxa"/>
            </w:tcMar>
            <w:vAlign w:val="center"/>
          </w:tcPr>
          <w:p w14:paraId="5A7200DC">
            <w:pPr>
              <w:spacing w:before="0" w:after="0"/>
              <w:jc w:val="right"/>
              <w:rPr>
                <w:rFonts w:hint="default"/>
                <w:lang w:val="en-US"/>
              </w:rPr>
            </w:pPr>
          </w:p>
        </w:tc>
      </w:tr>
    </w:tbl>
    <w:p w14:paraId="718B00F7">
      <w:pPr>
        <w:ind w:firstLine="420"/>
        <w:jc w:val="both"/>
      </w:pPr>
      <w:r>
        <w:t>K1 sampled-token 将词表求和改写为单样本重要性估计，作为低反馈量基线。样本从提议分布抽取，Forward KL 和 Reverse KL 对应的单样本估计分别为：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0B9330FF">
        <w:trPr>
          <w:cantSplit/>
          <w:jc w:val="center"/>
        </w:trPr>
        <w:tc>
          <w:tcPr>
            <w:tcW w:w="650" w:type="dxa"/>
            <w:tcMar>
              <w:top w:w="0" w:type="dxa"/>
              <w:left w:w="0" w:type="dxa"/>
              <w:bottom w:w="0" w:type="dxa"/>
              <w:right w:w="0" w:type="dxa"/>
            </w:tcMar>
            <w:vAlign w:val="center"/>
          </w:tcPr>
          <w:p w14:paraId="5488FD29">
            <w:pPr>
              <w:spacing w:before="0" w:after="0"/>
              <w:jc w:val="left"/>
            </w:pPr>
          </w:p>
        </w:tc>
        <w:tc>
          <w:tcPr>
            <w:tcW w:w="7006" w:type="dxa"/>
            <w:tcMar>
              <w:top w:w="0" w:type="dxa"/>
              <w:left w:w="0" w:type="dxa"/>
              <w:bottom w:w="0" w:type="dxa"/>
              <w:right w:w="0" w:type="dxa"/>
            </w:tcMar>
            <w:vAlign w:val="center"/>
          </w:tcPr>
          <w:p w14:paraId="08848BCF">
            <w:pPr>
              <w:spacing w:before="0" w:after="0"/>
              <w:jc w:val="center"/>
              <w:rPr>
                <w:rFonts w:hint="default"/>
                <w:lang w:val="en-US"/>
              </w:rPr>
            </w:pPr>
            <m:oMathPara>
              <m:oMathParaPr>
                <m:jc m:val="center"/>
              </m:oMathParaPr>
              <m:oMath>
                <m:sSub>
                  <m:sSubPr/>
                  <m:e>
                    <m:acc>
                      <m:accPr/>
                      <m:e>
                        <m:r>
                          <m:rPr/>
                          <m:t>D</m:t>
                        </m:r>
                      </m:e>
                    </m:acc>
                  </m:e>
                  <m:sub>
                    <m:r>
                      <m:rPr>
                        <m:sty m:val="p"/>
                      </m:rPr>
                      <m:t>FKL</m:t>
                    </m:r>
                  </m:sub>
                </m:sSub>
                <m:r>
                  <m:rPr>
                    <m:sty m:val="p"/>
                  </m:rPr>
                  <m:t>=</m:t>
                </m:r>
                <m:f>
                  <m:fPr/>
                  <m:num>
                    <m:sSub>
                      <m:sSubPr/>
                      <m:e>
                        <m:r>
                          <m:rPr/>
                          <m:t>p</m:t>
                        </m:r>
                      </m:e>
                      <m:sub>
                        <m:r>
                          <m:rPr/>
                          <m:t>T</m:t>
                        </m:r>
                        <m:r>
                          <m:rPr>
                            <m:sty m:val="p"/>
                          </m:rPr>
                          <m:t>,</m:t>
                        </m:r>
                        <m:r>
                          <m:rPr/>
                          <m:t>t</m:t>
                        </m:r>
                      </m:sub>
                    </m:sSub>
                    <m:r>
                      <m:rPr>
                        <m:sty m:val="p"/>
                      </m:rPr>
                      <m:t>(</m:t>
                    </m:r>
                    <m:acc>
                      <m:accPr/>
                      <m:e>
                        <m:r>
                          <m:rPr/>
                          <m:t>v</m:t>
                        </m:r>
                      </m:e>
                    </m:acc>
                    <m:r>
                      <m:rPr>
                        <m:sty m:val="p"/>
                      </m:rPr>
                      <m:t>)</m:t>
                    </m:r>
                  </m:num>
                  <m:den>
                    <m:sSub>
                      <m:sSubPr/>
                      <m:e>
                        <m:r>
                          <m:rPr/>
                          <m:t>q</m:t>
                        </m:r>
                      </m:e>
                      <m:sub>
                        <m:r>
                          <m:rPr/>
                          <m:t>t</m:t>
                        </m:r>
                      </m:sub>
                    </m:sSub>
                    <m:r>
                      <m:rPr>
                        <m:sty m:val="p"/>
                      </m:rPr>
                      <m:t>(</m:t>
                    </m:r>
                    <m:acc>
                      <m:accPr/>
                      <m:e>
                        <m:r>
                          <m:rPr/>
                          <m:t>v</m:t>
                        </m:r>
                      </m:e>
                    </m:acc>
                    <m:r>
                      <m:rPr>
                        <m:sty m:val="p"/>
                      </m:rPr>
                      <m:t>)</m:t>
                    </m:r>
                  </m:den>
                </m:f>
                <m:r>
                  <m:rPr>
                    <m:sty m:val="p"/>
                  </m:rPr>
                  <m:t>log</m:t>
                </m:r>
                <m:f>
                  <m:fPr/>
                  <m:num>
                    <m:sSub>
                      <m:sSubPr/>
                      <m:e>
                        <m:r>
                          <m:rPr/>
                          <m:t>p</m:t>
                        </m:r>
                      </m:e>
                      <m:sub>
                        <m:r>
                          <m:rPr/>
                          <m:t>T</m:t>
                        </m:r>
                        <m:r>
                          <m:rPr>
                            <m:sty m:val="p"/>
                          </m:rPr>
                          <m:t>,</m:t>
                        </m:r>
                        <m:r>
                          <m:rPr/>
                          <m:t>t</m:t>
                        </m:r>
                      </m:sub>
                    </m:sSub>
                    <m:r>
                      <m:rPr>
                        <m:sty m:val="p"/>
                      </m:rPr>
                      <m:t>(</m:t>
                    </m:r>
                    <m:acc>
                      <m:accPr/>
                      <m:e>
                        <m:r>
                          <m:rPr/>
                          <m:t>v</m:t>
                        </m:r>
                      </m:e>
                    </m:acc>
                    <m:r>
                      <m:rPr>
                        <m:sty m:val="p"/>
                      </m:rPr>
                      <m:t>)</m:t>
                    </m:r>
                  </m:num>
                  <m:den>
                    <m:sSub>
                      <m:sSubPr/>
                      <m:e>
                        <m:r>
                          <m:rPr/>
                          <m:t>p</m:t>
                        </m:r>
                      </m:e>
                      <m:sub>
                        <m:r>
                          <m:rPr/>
                          <m:t>S</m:t>
                        </m:r>
                        <m:r>
                          <m:rPr>
                            <m:sty m:val="p"/>
                          </m:rPr>
                          <m:t>,</m:t>
                        </m:r>
                        <m:r>
                          <m:rPr/>
                          <m:t>t</m:t>
                        </m:r>
                      </m:sub>
                    </m:sSub>
                    <m:r>
                      <m:rPr>
                        <m:sty m:val="p"/>
                      </m:rPr>
                      <m:t>(</m:t>
                    </m:r>
                    <m:acc>
                      <m:accPr/>
                      <m:e>
                        <m:r>
                          <m:rPr/>
                          <m:t>v</m:t>
                        </m:r>
                      </m:e>
                    </m:acc>
                    <m:r>
                      <m:rPr>
                        <m:sty m:val="p"/>
                      </m:rPr>
                      <m:t>)</m:t>
                    </m:r>
                  </m:den>
                </m:f>
                <m:r>
                  <m:rPr>
                    <m:sty m:val="p"/>
                  </m:rPr>
                  <w:rPr>
                    <w:rFonts w:hint="default"/>
                    <w:lang w:val="en-US"/>
                  </w:rPr>
                  <m:t>,</m:t>
                </m:r>
                <m:acc>
                  <m:accPr/>
                  <m:e>
                    <m:r>
                      <m:rPr/>
                      <m:t>v</m:t>
                    </m:r>
                  </m:e>
                </m:acc>
                <m:r>
                  <m:rPr>
                    <m:sty m:val="p"/>
                  </m:rPr>
                  <m:t>∼</m:t>
                </m:r>
                <m:sSub>
                  <m:sSubPr/>
                  <m:e>
                    <m:r>
                      <m:rPr/>
                      <m:t>q</m:t>
                    </m:r>
                  </m:e>
                  <m:sub>
                    <m:r>
                      <m:rPr/>
                      <m:t>t</m:t>
                    </m:r>
                  </m:sub>
                </m:sSub>
              </m:oMath>
            </m:oMathPara>
          </w:p>
        </w:tc>
        <w:tc>
          <w:tcPr>
            <w:tcW w:w="650" w:type="dxa"/>
            <w:tcMar>
              <w:top w:w="0" w:type="dxa"/>
              <w:left w:w="0" w:type="dxa"/>
              <w:bottom w:w="0" w:type="dxa"/>
              <w:right w:w="0" w:type="dxa"/>
            </w:tcMar>
            <w:vAlign w:val="center"/>
          </w:tcPr>
          <w:p w14:paraId="4AFCBB51">
            <w:pPr>
              <w:spacing w:before="0" w:after="0"/>
              <w:jc w:val="right"/>
            </w:pPr>
            <w:bookmarkStart w:id="50" w:name="_RefEq4_29"/>
            <w:r>
              <w:t>(4-</w:t>
            </w:r>
            <w:r>
              <w:fldChar w:fldCharType="begin"/>
            </w:r>
            <w:r>
              <w:instrText xml:space="preserve"> SEQ Eq4 \* ARABIC </w:instrText>
            </w:r>
            <w:r>
              <w:fldChar w:fldCharType="separate"/>
            </w:r>
            <w:r>
              <w:t>19</w:t>
            </w:r>
            <w:r>
              <w:fldChar w:fldCharType="end"/>
            </w:r>
            <w:r>
              <w:t>)</w:t>
            </w:r>
            <w:bookmarkEnd w:id="50"/>
          </w:p>
        </w:tc>
      </w:tr>
      <w:tr w14:paraId="60555149">
        <w:trPr>
          <w:cantSplit/>
          <w:jc w:val="center"/>
        </w:trPr>
        <w:tc>
          <w:tcPr>
            <w:tcW w:w="650" w:type="dxa"/>
            <w:tcMar>
              <w:top w:w="0" w:type="dxa"/>
              <w:left w:w="0" w:type="dxa"/>
              <w:bottom w:w="0" w:type="dxa"/>
              <w:right w:w="0" w:type="dxa"/>
            </w:tcMar>
            <w:vAlign w:val="center"/>
          </w:tcPr>
          <w:p w14:paraId="5F689192">
            <w:pPr>
              <w:spacing w:before="0" w:after="0"/>
              <w:jc w:val="left"/>
            </w:pPr>
          </w:p>
        </w:tc>
        <w:tc>
          <w:tcPr>
            <w:tcW w:w="7006" w:type="dxa"/>
            <w:tcMar>
              <w:top w:w="0" w:type="dxa"/>
              <w:left w:w="0" w:type="dxa"/>
              <w:bottom w:w="0" w:type="dxa"/>
              <w:right w:w="0" w:type="dxa"/>
            </w:tcMar>
            <w:vAlign w:val="center"/>
          </w:tcPr>
          <w:p w14:paraId="15E5ADDD">
            <w:pPr>
              <w:spacing w:before="0" w:after="0"/>
              <w:jc w:val="center"/>
              <w:rPr>
                <w:rFonts w:hint="default"/>
                <w:lang w:val="en-US"/>
              </w:rPr>
            </w:pPr>
            <m:oMathPara>
              <m:oMathParaPr>
                <m:jc m:val="center"/>
              </m:oMathParaPr>
              <m:oMath>
                <m:sSub>
                  <m:sSubPr/>
                  <m:e>
                    <m:acc>
                      <m:accPr/>
                      <m:e>
                        <m:r>
                          <m:rPr/>
                          <m:t>D</m:t>
                        </m:r>
                      </m:e>
                    </m:acc>
                  </m:e>
                  <m:sub>
                    <m:r>
                      <m:rPr>
                        <m:sty m:val="p"/>
                      </m:rPr>
                      <m:t>RKL</m:t>
                    </m:r>
                  </m:sub>
                </m:sSub>
                <m:r>
                  <m:rPr>
                    <m:sty m:val="p"/>
                  </m:rPr>
                  <m:t>=</m:t>
                </m:r>
                <m:f>
                  <m:fPr/>
                  <m:num>
                    <m:sSub>
                      <m:sSubPr/>
                      <m:e>
                        <m:r>
                          <m:rPr/>
                          <m:t>p</m:t>
                        </m:r>
                      </m:e>
                      <m:sub>
                        <m:r>
                          <m:rPr/>
                          <m:t>S</m:t>
                        </m:r>
                        <m:r>
                          <m:rPr>
                            <m:sty m:val="p"/>
                          </m:rPr>
                          <m:t>,</m:t>
                        </m:r>
                        <m:r>
                          <m:rPr/>
                          <m:t>t</m:t>
                        </m:r>
                      </m:sub>
                    </m:sSub>
                    <m:r>
                      <m:rPr>
                        <m:sty m:val="p"/>
                      </m:rPr>
                      <m:t>(</m:t>
                    </m:r>
                    <m:acc>
                      <m:accPr/>
                      <m:e>
                        <m:r>
                          <m:rPr/>
                          <m:t>v</m:t>
                        </m:r>
                      </m:e>
                    </m:acc>
                    <m:r>
                      <m:rPr>
                        <m:sty m:val="p"/>
                      </m:rPr>
                      <m:t>)</m:t>
                    </m:r>
                  </m:num>
                  <m:den>
                    <m:sSub>
                      <m:sSubPr/>
                      <m:e>
                        <m:r>
                          <m:rPr/>
                          <m:t>q</m:t>
                        </m:r>
                      </m:e>
                      <m:sub>
                        <m:r>
                          <m:rPr/>
                          <m:t>t</m:t>
                        </m:r>
                      </m:sub>
                    </m:sSub>
                    <m:r>
                      <m:rPr>
                        <m:sty m:val="p"/>
                      </m:rPr>
                      <m:t>(</m:t>
                    </m:r>
                    <m:acc>
                      <m:accPr/>
                      <m:e>
                        <m:r>
                          <m:rPr/>
                          <m:t>v</m:t>
                        </m:r>
                      </m:e>
                    </m:acc>
                    <m:r>
                      <m:rPr>
                        <m:sty m:val="p"/>
                      </m:rPr>
                      <m:t>)</m:t>
                    </m:r>
                  </m:den>
                </m:f>
                <m:r>
                  <m:rPr>
                    <m:sty m:val="p"/>
                  </m:rPr>
                  <m:t>log</m:t>
                </m:r>
                <m:f>
                  <m:fPr/>
                  <m:num>
                    <m:sSub>
                      <m:sSubPr/>
                      <m:e>
                        <m:r>
                          <m:rPr/>
                          <m:t>p</m:t>
                        </m:r>
                      </m:e>
                      <m:sub>
                        <m:r>
                          <m:rPr/>
                          <m:t>S</m:t>
                        </m:r>
                        <m:r>
                          <m:rPr>
                            <m:sty m:val="p"/>
                          </m:rPr>
                          <m:t>,</m:t>
                        </m:r>
                        <m:r>
                          <m:rPr/>
                          <m:t>t</m:t>
                        </m:r>
                      </m:sub>
                    </m:sSub>
                    <m:r>
                      <m:rPr>
                        <m:sty m:val="p"/>
                      </m:rPr>
                      <m:t>(</m:t>
                    </m:r>
                    <m:acc>
                      <m:accPr/>
                      <m:e>
                        <m:r>
                          <m:rPr/>
                          <m:t>v</m:t>
                        </m:r>
                      </m:e>
                    </m:acc>
                    <m:r>
                      <m:rPr>
                        <m:sty m:val="p"/>
                      </m:rPr>
                      <m:t>)</m:t>
                    </m:r>
                  </m:num>
                  <m:den>
                    <m:sSub>
                      <m:sSubPr/>
                      <m:e>
                        <m:r>
                          <m:rPr/>
                          <m:t>p</m:t>
                        </m:r>
                      </m:e>
                      <m:sub>
                        <m:r>
                          <m:rPr/>
                          <m:t>T</m:t>
                        </m:r>
                        <m:r>
                          <m:rPr>
                            <m:sty m:val="p"/>
                          </m:rPr>
                          <m:t>,</m:t>
                        </m:r>
                        <m:r>
                          <m:rPr/>
                          <m:t>t</m:t>
                        </m:r>
                      </m:sub>
                    </m:sSub>
                    <m:r>
                      <m:rPr>
                        <m:sty m:val="p"/>
                      </m:rPr>
                      <m:t>(</m:t>
                    </m:r>
                    <m:acc>
                      <m:accPr/>
                      <m:e>
                        <m:r>
                          <m:rPr/>
                          <m:t>v</m:t>
                        </m:r>
                      </m:e>
                    </m:acc>
                    <m:r>
                      <m:rPr>
                        <m:sty m:val="p"/>
                      </m:rPr>
                      <m:t>)</m:t>
                    </m:r>
                  </m:den>
                </m:f>
                <m:r>
                  <m:rPr>
                    <m:sty m:val="p"/>
                  </m:rPr>
                  <w:rPr>
                    <w:rFonts w:hint="default"/>
                    <w:lang w:val="en-US"/>
                  </w:rPr>
                  <m:t>,</m:t>
                </m:r>
                <m:acc>
                  <m:accPr/>
                  <m:e>
                    <m:r>
                      <m:rPr/>
                      <m:t>v</m:t>
                    </m:r>
                  </m:e>
                </m:acc>
                <m:r>
                  <m:rPr>
                    <m:sty m:val="p"/>
                  </m:rPr>
                  <m:t>∼</m:t>
                </m:r>
                <m:sSub>
                  <m:sSubPr/>
                  <m:e>
                    <m:r>
                      <m:rPr/>
                      <m:t>q</m:t>
                    </m:r>
                  </m:e>
                  <m:sub>
                    <m:r>
                      <m:rPr/>
                      <m:t>t</m:t>
                    </m:r>
                  </m:sub>
                </m:sSub>
              </m:oMath>
            </m:oMathPara>
          </w:p>
        </w:tc>
        <w:tc>
          <w:tcPr>
            <w:tcW w:w="650" w:type="dxa"/>
            <w:tcMar>
              <w:top w:w="0" w:type="dxa"/>
              <w:left w:w="0" w:type="dxa"/>
              <w:bottom w:w="0" w:type="dxa"/>
              <w:right w:w="0" w:type="dxa"/>
            </w:tcMar>
            <w:vAlign w:val="center"/>
          </w:tcPr>
          <w:p w14:paraId="58B0A796">
            <w:pPr>
              <w:spacing w:before="0" w:after="0"/>
              <w:jc w:val="right"/>
            </w:pPr>
          </w:p>
        </w:tc>
      </w:tr>
    </w:tbl>
    <w:p w14:paraId="3D436604">
      <w:pPr>
        <w:ind w:firstLine="420"/>
        <w:jc w:val="both"/>
      </w:pPr>
      <w:r>
        <w:t xml:space="preserve">K1 sampled-token 使用明确记录的提议分布和随机种子，提议分布须覆盖目标支持集。候选方法的位置权重来自训练集诊断子集，质量阈值和 K 上限由验证集确定；测试集只用于最终评价。补入候选的额外教师 logprob、反馈字节数与教师前向时间分别计量。各目标使用相同的 log-sum-exp、有效位置归一化和有限值检查。</w:t>
      </w:r>
    </w:p>
    <w:p w14:paraId="264AD57D">
      <w:pPr>
        <w:pStyle w:val="3"/>
        <w:jc w:val="left"/>
      </w:pPr>
      <w:bookmarkStart w:id="51" w:name="_Toc534757053"/>
      <w:r>
        <w:rPr>
          <w:rFonts w:ascii="黑体" w:hAnsi="黑体" w:eastAsia="黑体" w:cs="黑体"/>
          <w:b/>
          <w:color w:val="000000"/>
          <w:sz w:val="24"/>
        </w:rPr>
        <w:t>4.5 评价指标和公平性</w:t>
      </w:r>
      <w:bookmarkEnd w:id="51"/>
    </w:p>
    <w:p w14:paraId="1E75A657">
      <w:pPr>
        <w:ind w:firstLine="420"/>
        <w:jc w:val="both"/>
      </w:pPr>
      <w:r>
        <w:t>本文从任务正确性、训练稳定性和资源成本三个层面评价方法，具体指标及其作用见表 4-3。</w:t>
      </w:r>
    </w:p>
    <w:p w14:paraId="245845D3">
      <w:pPr>
        <w:ind w:firstLine="420"/>
        <w:jc w:val="both"/>
      </w:pPr>
      <w:bookmarkStart w:id="76" w:name="_GoBack"/>
      <w:bookmarkEnd w:id="76"/>
    </w:p>
    <w:p w14:paraId="40DFDBB5">
      <w:pPr>
        <w:keepNext/>
        <w:spacing w:before="80" w:after="80" w:line="240" w:lineRule="auto"/>
        <w:ind w:left="0" w:right="0" w:firstLine="0"/>
        <w:jc w:val="center"/>
      </w:pPr>
      <w:r>
        <w:rPr>
          <w:rFonts w:ascii="Times New Roman" w:hAnsi="Times New Roman" w:eastAsia="Songti SC"/>
          <w:sz w:val="21"/>
        </w:rPr>
        <w:t xml:space="preserve">表 </w:t>
      </w:r>
      <w:bookmarkStart w:id="52" w:name="_RefTable4_3"/>
      <w:r>
        <w:rPr>
          <w:rFonts w:ascii="Times New Roman" w:hAnsi="Times New Roman" w:eastAsia="Songti SC"/>
          <w:sz w:val="21"/>
        </w:rPr>
        <w:t>4-</w:t>
      </w:r>
      <w:r>
        <w:rPr>
          <w:rFonts w:ascii="Times New Roman" w:hAnsi="Times New Roman" w:eastAsia="Songti SC"/>
          <w:sz w:val="21"/>
        </w:rPr>
        <w:fldChar w:fldCharType="begin"/>
      </w:r>
      <w:r>
        <w:rPr>
          <w:rFonts w:ascii="Times New Roman" w:hAnsi="Times New Roman" w:eastAsia="Songti SC"/>
          <w:sz w:val="21"/>
        </w:rPr>
        <w:instrText xml:space="preserve"> SEQ TableCh4 \* ARABIC </w:instrText>
      </w:r>
      <w:r>
        <w:rPr>
          <w:rFonts w:ascii="Times New Roman" w:hAnsi="Times New Roman" w:eastAsia="Songti SC"/>
          <w:sz w:val="21"/>
        </w:rPr>
        <w:fldChar w:fldCharType="separate"/>
      </w:r>
      <w:r>
        <w:rPr>
          <w:rFonts w:ascii="Times New Roman" w:hAnsi="Times New Roman" w:eastAsia="Songti SC"/>
          <w:sz w:val="21"/>
        </w:rPr>
        <w:t>3</w:t>
      </w:r>
      <w:r>
        <w:rPr>
          <w:rFonts w:ascii="Times New Roman" w:hAnsi="Times New Roman" w:eastAsia="Songti SC"/>
          <w:sz w:val="21"/>
        </w:rPr>
        <w:fldChar w:fldCharType="end"/>
      </w:r>
      <w:bookmarkEnd w:id="52"/>
      <w:r>
        <w:rPr>
          <w:rFonts w:ascii="Times New Roman" w:hAnsi="Times New Roman" w:eastAsia="Songti SC"/>
          <w:sz w:val="21"/>
        </w:rPr>
        <w:t xml:space="preserve">  评价指标体系</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48"/>
        <w:gridCol w:w="4148"/>
      </w:tblGrid>
      <w:tr w14:paraId="4BAA24E3">
        <w:trPr>
          <w:tblHeader/>
        </w:trPr>
        <w:tc>
          <w:tcPr>
            <w:tcW w:w="4148" w:type="dxa"/>
          </w:tcPr>
          <w:p w14:paraId="4A8E5867">
            <w:pPr>
              <w:ind w:firstLine="0"/>
              <w:jc w:val="left"/>
            </w:pPr>
            <w:r>
              <w:rPr>
                <w:b/>
              </w:rPr>
              <w:t>类别</w:t>
            </w:r>
          </w:p>
        </w:tc>
        <w:tc>
          <w:tcPr>
            <w:tcW w:w="4148" w:type="dxa"/>
          </w:tcPr>
          <w:p w14:paraId="16F921AE">
            <w:pPr>
              <w:ind w:firstLine="0"/>
              <w:jc w:val="left"/>
            </w:pPr>
            <w:r>
              <w:rPr>
                <w:b/>
              </w:rPr>
              <w:t>关注内容</w:t>
            </w:r>
          </w:p>
        </w:tc>
      </w:tr>
      <w:tr w14:paraId="31D6FC77">
        <w:tc>
          <w:tcPr>
            <w:tcW w:w="4148" w:type="dxa"/>
          </w:tcPr>
          <w:p w14:paraId="63B6EAB1">
            <w:pPr>
              <w:ind w:firstLine="0"/>
              <w:jc w:val="left"/>
            </w:pPr>
            <w:r>
              <w:t>核心任务效果</w:t>
            </w:r>
          </w:p>
        </w:tc>
        <w:tc>
          <w:tcPr>
            <w:tcW w:w="4148" w:type="dxa"/>
          </w:tcPr>
          <w:p w14:paraId="34B5B63E">
            <w:pPr>
              <w:ind w:firstLine="0"/>
              <w:jc w:val="left"/>
            </w:pPr>
            <w:r>
              <w:t>JSON／结构化格式合法性、函数名、参数键值、schema 通过率、调用执行成功率和端到端任务完成率</w:t>
            </w:r>
          </w:p>
        </w:tc>
      </w:tr>
      <w:tr w14:paraId="2CB808BD">
        <w:tc>
          <w:tcPr>
            <w:tcW w:w="4148" w:type="dxa"/>
          </w:tcPr>
          <w:p w14:paraId="3DAA5DB3">
            <w:pPr>
              <w:ind w:firstLine="0"/>
              <w:jc w:val="left"/>
            </w:pPr>
            <w:r>
              <w:t>核心稳定性与分布</w:t>
            </w:r>
          </w:p>
        </w:tc>
        <w:tc>
          <w:tcPr>
            <w:tcW w:w="4148" w:type="dxa"/>
          </w:tcPr>
          <w:p w14:paraId="57A77911">
            <w:pPr>
              <w:ind w:firstLine="0"/>
              <w:jc w:val="left"/>
            </w:pPr>
            <w:r>
              <w:t>蒸馏损失、熵变化、师生分布差异、Top-K overlap、支持集外概率、非法输出率和重复率</w:t>
            </w:r>
          </w:p>
        </w:tc>
      </w:tr>
      <w:tr w14:paraId="3B623E40">
        <w:tc>
          <w:tcPr>
            <w:tcW w:w="4148" w:type="dxa"/>
          </w:tcPr>
          <w:p w14:paraId="10FF9CC5">
            <w:pPr>
              <w:ind w:firstLine="0"/>
              <w:jc w:val="left"/>
            </w:pPr>
            <w:r>
              <w:t>核心训练资源</w:t>
            </w:r>
          </w:p>
        </w:tc>
        <w:tc>
          <w:tcPr>
            <w:tcW w:w="4148" w:type="dxa"/>
          </w:tcPr>
          <w:p w14:paraId="0E85455F">
            <w:pPr>
              <w:ind w:firstLine="0"/>
              <w:jc w:val="left"/>
            </w:pPr>
            <w:r>
              <w:t>教师反馈量、教师推理开销、学生 rollout 开销、训练时间和峰值显存</w:t>
            </w:r>
          </w:p>
        </w:tc>
      </w:tr>
      <w:tr w14:paraId="0EB55E25">
        <w:tc>
          <w:tcPr>
            <w:tcW w:w="4148" w:type="dxa"/>
          </w:tcPr>
          <w:p w14:paraId="5DA3D9BE">
            <w:pPr>
              <w:ind w:firstLine="0"/>
              <w:jc w:val="left"/>
            </w:pPr>
            <w:r>
              <w:t>扩展服务评测</w:t>
            </w:r>
          </w:p>
        </w:tc>
        <w:tc>
          <w:tcPr>
            <w:tcW w:w="4148" w:type="dxa"/>
          </w:tcPr>
          <w:p w14:paraId="557C7C13">
            <w:pPr>
              <w:ind w:firstLine="0"/>
              <w:jc w:val="left"/>
            </w:pPr>
            <w:r>
              <w:t>吞吐、首 token 延迟、完整响应延迟和端到端任务成功率</w:t>
            </w:r>
          </w:p>
        </w:tc>
      </w:tr>
    </w:tbl>
    <w:p w14:paraId="6FA4E227">
      <w:pPr>
        <w:ind w:firstLine="420"/>
        <w:jc w:val="both"/>
      </w:pPr>
      <w:r>
        <w:t>设测试集包含若干样本，并分别记录预测函数、目标函数和端到端任务是否完成，则函数选择准确率和端到端成功率定义为：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77B0B164">
        <w:trPr>
          <w:cantSplit/>
          <w:jc w:val="center"/>
        </w:trPr>
        <w:tc>
          <w:tcPr>
            <w:tcW w:w="650" w:type="dxa"/>
            <w:tcMar>
              <w:top w:w="0" w:type="dxa"/>
              <w:left w:w="0" w:type="dxa"/>
              <w:bottom w:w="0" w:type="dxa"/>
              <w:right w:w="0" w:type="dxa"/>
            </w:tcMar>
            <w:vAlign w:val="center"/>
          </w:tcPr>
          <w:p w14:paraId="133780AC">
            <w:pPr>
              <w:spacing w:before="0" w:after="0"/>
              <w:jc w:val="left"/>
            </w:pPr>
          </w:p>
        </w:tc>
        <w:tc>
          <w:tcPr>
            <w:tcW w:w="7006" w:type="dxa"/>
            <w:tcMar>
              <w:top w:w="0" w:type="dxa"/>
              <w:left w:w="0" w:type="dxa"/>
              <w:bottom w:w="0" w:type="dxa"/>
              <w:right w:w="0" w:type="dxa"/>
            </w:tcMar>
            <w:vAlign w:val="center"/>
          </w:tcPr>
          <w:p w14:paraId="2A54C04B">
            <w:pPr>
              <w:spacing w:before="0" w:after="0"/>
              <w:jc w:val="center"/>
            </w:pPr>
            <m:oMathPara>
              <m:oMath>
                <m:sSub>
                  <m:sSubPr>
                    <m:ctrlPr>
                      <w:rPr>
                        <w:rFonts w:hint="default" w:ascii="Cambria Math"/>
                      </w:rPr>
                    </m:ctrlPr>
                  </m:sSubPr>
                  <m:e>
                    <m:r>
                      <m:rPr>
                        <m:sty m:val="p"/>
                      </m:rPr>
                      <w:rPr>
                        <w:rFonts w:hint="default" w:ascii="Cambria Math"/>
                      </w:rPr>
                      <m:t>Acc</m:t>
                    </m:r>
                    <m:ctrlPr>
                      <w:rPr>
                        <w:rFonts w:hint="default" w:ascii="Cambria Math"/>
                      </w:rPr>
                    </m:ctrlPr>
                  </m:e>
                  <m:sub>
                    <m:r>
                      <m:rPr>
                        <m:sty m:val="p"/>
                      </m:rPr>
                      <w:rPr>
                        <w:rFonts w:hint="default" w:ascii="Cambria Math"/>
                      </w:rPr>
                      <m:t>fn</m:t>
                    </m:r>
                    <m:ctrlPr>
                      <w:rPr>
                        <w:rFonts w:hint="default" w:ascii="Cambria Math"/>
                      </w:rPr>
                    </m:ctrlPr>
                  </m:sub>
                </m:sSub>
                <m:r>
                  <m:rPr>
                    <m:sty m:val="p"/>
                  </m:rPr>
                  <w:rPr>
                    <w:rFonts w:hint="default" w:ascii="Cambria Math"/>
                  </w:rPr>
                  <m:t>=</m:t>
                </m:r>
                <m:f>
                  <m:fPr>
                    <m:ctrlPr>
                      <w:rPr>
                        <w:rFonts w:hint="default" w:ascii="Cambria Math"/>
                      </w:rPr>
                    </m:ctrlPr>
                  </m:fPr>
                  <m:num>
                    <m:r>
                      <m:rPr/>
                      <w:rPr>
                        <w:rFonts w:hint="default" w:ascii="Cambria Math"/>
                      </w:rPr>
                      <m:t>1</m:t>
                    </m:r>
                    <m:ctrlPr>
                      <w:rPr>
                        <w:rFonts w:hint="default" w:ascii="Cambria Math"/>
                      </w:rPr>
                    </m:ctrlPr>
                  </m:num>
                  <m:den>
                    <m:r>
                      <m:rPr/>
                      <w:rPr>
                        <w:rFonts w:hint="default" w:ascii="Cambria Math"/>
                      </w:rPr>
                      <m:t>N</m:t>
                    </m:r>
                    <m:ctrlPr>
                      <w:rPr>
                        <w:rFonts w:hint="default" w:ascii="Cambria Math"/>
                      </w:rPr>
                    </m:ctrlPr>
                  </m:den>
                </m:f>
                <m:nary>
                  <m:naryPr>
                    <m:chr m:val="∑"/>
                    <m:limLoc m:val="undOvr"/>
                    <m:ctrlPr>
                      <w:rPr>
                        <w:rFonts w:hint="default" w:ascii="Cambria Math"/>
                      </w:rPr>
                    </m:ctrlPr>
                  </m:naryPr>
                  <m:sub>
                    <m:r>
                      <m:rPr/>
                      <w:rPr>
                        <w:rFonts w:hint="default" w:ascii="Cambria Math"/>
                      </w:rPr>
                      <m:t>i</m:t>
                    </m:r>
                    <m:r>
                      <m:rPr>
                        <m:sty m:val="p"/>
                      </m:rPr>
                      <w:rPr>
                        <w:rFonts w:hint="default" w:ascii="Cambria Math"/>
                      </w:rPr>
                      <m:t>=</m:t>
                    </m:r>
                    <m:r>
                      <m:rPr/>
                      <w:rPr>
                        <w:rFonts w:hint="default" w:ascii="Cambria Math"/>
                      </w:rPr>
                      <m:t>1</m:t>
                    </m:r>
                    <m:ctrlPr>
                      <w:rPr>
                        <w:rFonts w:hint="default" w:ascii="Cambria Math"/>
                      </w:rPr>
                    </m:ctrlPr>
                  </m:sub>
                  <m:sup>
                    <m:r>
                      <m:rPr/>
                      <w:rPr>
                        <w:rFonts w:hint="default" w:ascii="Cambria Math"/>
                      </w:rPr>
                      <m:t>N</m:t>
                    </m:r>
                    <m:ctrlPr>
                      <w:rPr>
                        <w:rFonts w:hint="default" w:ascii="Cambria Math"/>
                      </w:rPr>
                    </m:ctrlPr>
                  </m:sup>
                  <m:e>
                    <m:r>
                      <m:rPr>
                        <m:sty m:val="b"/>
                      </m:rPr>
                      <w:rPr>
                        <w:rFonts w:hint="default" w:ascii="Cambria Math"/>
                      </w:rPr>
                      <m:t>1</m:t>
                    </m:r>
                    <m:ctrlPr>
                      <w:rPr>
                        <w:rFonts w:hint="default" w:ascii="Cambria Math"/>
                      </w:rPr>
                    </m:ctrlPr>
                  </m:e>
                </m:nary>
                <m:r>
                  <m:rPr>
                    <m:sty m:val="p"/>
                  </m:rPr>
                  <w:rPr>
                    <w:rFonts w:hint="default" w:ascii="Cambria Math"/>
                  </w:rPr>
                  <m:t>{</m:t>
                </m:r>
                <m:sSub>
                  <m:sSubPr>
                    <m:ctrlPr>
                      <w:rPr>
                        <w:rFonts w:hint="default" w:ascii="Cambria Math"/>
                      </w:rPr>
                    </m:ctrlPr>
                  </m:sSubPr>
                  <m:e>
                    <m:acc>
                      <m:accPr>
                        <m:ctrlPr>
                          <w:rPr>
                            <w:rFonts w:hint="default" w:ascii="Cambria Math"/>
                          </w:rPr>
                        </m:ctrlPr>
                      </m:accPr>
                      <m:e>
                        <m:r>
                          <m:rPr/>
                          <w:rPr>
                            <w:rFonts w:hint="default" w:ascii="Cambria Math"/>
                          </w:rPr>
                          <m:t>f</m:t>
                        </m:r>
                        <m:ctrlPr>
                          <w:rPr>
                            <w:rFonts w:hint="default" w:ascii="Cambria Math"/>
                          </w:rPr>
                        </m:ctrlPr>
                      </m:e>
                    </m:acc>
                    <m:ctrlPr>
                      <w:rPr>
                        <w:rFonts w:hint="default" w:ascii="Cambria Math"/>
                      </w:rPr>
                    </m:ctrlPr>
                  </m:e>
                  <m:sub>
                    <m:r>
                      <m:rPr/>
                      <w:rPr>
                        <w:rFonts w:hint="default" w:ascii="Cambria Math"/>
                      </w:rPr>
                      <m:t>i</m:t>
                    </m:r>
                    <m:ctrlPr>
                      <w:rPr>
                        <w:rFonts w:hint="default" w:ascii="Cambria Math"/>
                      </w:rPr>
                    </m:ctrlPr>
                  </m:sub>
                </m:sSub>
                <m:r>
                  <m:rPr>
                    <m:sty m:val="p"/>
                  </m:rPr>
                  <w:rPr>
                    <w:rFonts w:hint="default" w:ascii="Cambria Math"/>
                  </w:rPr>
                  <m:t>=</m:t>
                </m:r>
                <m:sSub>
                  <m:sSubPr>
                    <m:ctrlPr>
                      <w:rPr>
                        <w:rFonts w:hint="default" w:ascii="Cambria Math"/>
                      </w:rPr>
                    </m:ctrlPr>
                  </m:sSubPr>
                  <m:e>
                    <m:r>
                      <m:rPr/>
                      <w:rPr>
                        <w:rFonts w:hint="default" w:ascii="Cambria Math"/>
                      </w:rPr>
                      <m:t>f</m:t>
                    </m:r>
                    <m:ctrlPr>
                      <w:rPr>
                        <w:rFonts w:hint="default" w:ascii="Cambria Math"/>
                      </w:rPr>
                    </m:ctrlPr>
                  </m:e>
                  <m:sub>
                    <m:r>
                      <m:rPr/>
                      <w:rPr>
                        <w:rFonts w:hint="default" w:ascii="Cambria Math"/>
                      </w:rPr>
                      <m:t>i</m:t>
                    </m:r>
                    <m:ctrlPr>
                      <w:rPr>
                        <w:rFonts w:hint="default" w:ascii="Cambria Math"/>
                      </w:rPr>
                    </m:ctrlPr>
                  </m:sub>
                </m:sSub>
                <m:r>
                  <m:rPr>
                    <m:sty m:val="p"/>
                  </m:rPr>
                  <w:rPr>
                    <w:rFonts w:hint="default" w:ascii="Cambria Math"/>
                  </w:rPr>
                  <m:t>}</m:t>
                </m:r>
              </m:oMath>
            </m:oMathPara>
          </w:p>
        </w:tc>
        <w:tc>
          <w:tcPr>
            <w:tcW w:w="650" w:type="dxa"/>
            <w:tcMar>
              <w:top w:w="0" w:type="dxa"/>
              <w:left w:w="0" w:type="dxa"/>
              <w:bottom w:w="0" w:type="dxa"/>
              <w:right w:w="0" w:type="dxa"/>
            </w:tcMar>
            <w:vAlign w:val="center"/>
          </w:tcPr>
          <w:p w14:paraId="6A59A8B8">
            <w:pPr>
              <w:spacing w:before="0" w:after="0"/>
              <w:jc w:val="right"/>
            </w:pPr>
            <w:bookmarkStart w:id="53" w:name="_RefEq4_32"/>
            <w:r>
              <w:t>(4-</w:t>
            </w:r>
            <w:r>
              <w:fldChar w:fldCharType="begin"/>
            </w:r>
            <w:r>
              <w:instrText xml:space="preserve"> SEQ Eq4 \* ARABIC </w:instrText>
            </w:r>
            <w:r>
              <w:fldChar w:fldCharType="separate"/>
            </w:r>
            <w:r>
              <w:t>20</w:t>
            </w:r>
            <w:r>
              <w:fldChar w:fldCharType="end"/>
            </w:r>
            <w:r>
              <w:t>)</w:t>
            </w:r>
            <w:bookmarkEnd w:id="53"/>
          </w:p>
        </w:tc>
      </w:tr>
      <w:tr w14:paraId="55347374">
        <w:trPr>
          <w:cantSplit/>
          <w:jc w:val="center"/>
        </w:trPr>
        <w:tc>
          <w:tcPr>
            <w:tcW w:w="650" w:type="dxa"/>
            <w:tcMar>
              <w:top w:w="0" w:type="dxa"/>
              <w:left w:w="0" w:type="dxa"/>
              <w:bottom w:w="0" w:type="dxa"/>
              <w:right w:w="0" w:type="dxa"/>
            </w:tcMar>
            <w:vAlign w:val="center"/>
          </w:tcPr>
          <w:p w14:paraId="06DB0282">
            <w:pPr>
              <w:spacing w:before="0" w:after="0"/>
              <w:jc w:val="left"/>
            </w:pPr>
          </w:p>
        </w:tc>
        <w:tc>
          <w:tcPr>
            <w:tcW w:w="7006" w:type="dxa"/>
            <w:tcMar>
              <w:top w:w="0" w:type="dxa"/>
              <w:left w:w="0" w:type="dxa"/>
              <w:bottom w:w="0" w:type="dxa"/>
              <w:right w:w="0" w:type="dxa"/>
            </w:tcMar>
            <w:vAlign w:val="center"/>
          </w:tcPr>
          <w:p w14:paraId="1B67E20E">
            <w:pPr>
              <w:spacing w:before="0" w:after="0"/>
              <w:jc w:val="center"/>
            </w:pPr>
            <m:oMathPara>
              <m:oMath>
                <m:sSub>
                  <m:sSubPr>
                    <m:ctrlPr>
                      <w:rPr>
                        <w:rFonts w:hint="default" w:ascii="Cambria Math"/>
                      </w:rPr>
                    </m:ctrlPr>
                  </m:sSubPr>
                  <m:e>
                    <m:r>
                      <m:rPr>
                        <m:sty m:val="p"/>
                      </m:rPr>
                      <w:rPr>
                        <w:rFonts w:hint="default" w:ascii="Cambria Math"/>
                      </w:rPr>
                      <m:t>SR</m:t>
                    </m:r>
                    <m:ctrlPr>
                      <w:rPr>
                        <w:rFonts w:hint="default" w:ascii="Cambria Math"/>
                      </w:rPr>
                    </m:ctrlPr>
                  </m:e>
                  <m:sub>
                    <m:r>
                      <m:rPr>
                        <m:sty m:val="p"/>
                      </m:rPr>
                      <w:rPr>
                        <w:rFonts w:hint="default" w:ascii="Cambria Math"/>
                      </w:rPr>
                      <m:t>e2e</m:t>
                    </m:r>
                    <m:ctrlPr>
                      <w:rPr>
                        <w:rFonts w:hint="default" w:ascii="Cambria Math"/>
                      </w:rPr>
                    </m:ctrlPr>
                  </m:sub>
                </m:sSub>
                <m:r>
                  <m:rPr>
                    <m:sty m:val="p"/>
                  </m:rPr>
                  <w:rPr>
                    <w:rFonts w:hint="default" w:ascii="Cambria Math"/>
                  </w:rPr>
                  <m:t>=</m:t>
                </m:r>
                <m:f>
                  <m:fPr>
                    <m:ctrlPr>
                      <w:rPr>
                        <w:rFonts w:hint="default" w:ascii="Cambria Math"/>
                      </w:rPr>
                    </m:ctrlPr>
                  </m:fPr>
                  <m:num>
                    <m:r>
                      <m:rPr/>
                      <w:rPr>
                        <w:rFonts w:hint="default" w:ascii="Cambria Math"/>
                      </w:rPr>
                      <m:t>1</m:t>
                    </m:r>
                    <m:ctrlPr>
                      <w:rPr>
                        <w:rFonts w:hint="default" w:ascii="Cambria Math"/>
                      </w:rPr>
                    </m:ctrlPr>
                  </m:num>
                  <m:den>
                    <m:r>
                      <m:rPr/>
                      <w:rPr>
                        <w:rFonts w:hint="default" w:ascii="Cambria Math"/>
                      </w:rPr>
                      <m:t>N</m:t>
                    </m:r>
                    <m:ctrlPr>
                      <w:rPr>
                        <w:rFonts w:hint="default" w:ascii="Cambria Math"/>
                      </w:rPr>
                    </m:ctrlPr>
                  </m:den>
                </m:f>
                <m:nary>
                  <m:naryPr>
                    <m:chr m:val="∑"/>
                    <m:limLoc m:val="undOvr"/>
                    <m:ctrlPr>
                      <w:rPr>
                        <w:rFonts w:hint="default" w:ascii="Cambria Math"/>
                      </w:rPr>
                    </m:ctrlPr>
                  </m:naryPr>
                  <m:sub>
                    <m:r>
                      <m:rPr/>
                      <w:rPr>
                        <w:rFonts w:hint="default" w:ascii="Cambria Math"/>
                      </w:rPr>
                      <m:t>i</m:t>
                    </m:r>
                    <m:r>
                      <m:rPr>
                        <m:sty m:val="p"/>
                      </m:rPr>
                      <w:rPr>
                        <w:rFonts w:hint="default" w:ascii="Cambria Math"/>
                      </w:rPr>
                      <m:t>=</m:t>
                    </m:r>
                    <m:r>
                      <m:rPr/>
                      <w:rPr>
                        <w:rFonts w:hint="default" w:ascii="Cambria Math"/>
                      </w:rPr>
                      <m:t>1</m:t>
                    </m:r>
                    <m:ctrlPr>
                      <w:rPr>
                        <w:rFonts w:hint="default" w:ascii="Cambria Math"/>
                      </w:rPr>
                    </m:ctrlPr>
                  </m:sub>
                  <m:sup>
                    <m:r>
                      <m:rPr/>
                      <w:rPr>
                        <w:rFonts w:hint="default" w:ascii="Cambria Math"/>
                      </w:rPr>
                      <m:t>N</m:t>
                    </m:r>
                    <m:ctrlPr>
                      <w:rPr>
                        <w:rFonts w:hint="default" w:ascii="Cambria Math"/>
                      </w:rPr>
                    </m:ctrlPr>
                  </m:sup>
                  <m:e>
                    <m:r>
                      <m:rPr>
                        <m:sty m:val="b"/>
                      </m:rPr>
                      <w:rPr>
                        <w:rFonts w:hint="default" w:ascii="Cambria Math"/>
                      </w:rPr>
                      <m:t>1</m:t>
                    </m:r>
                    <m:ctrlPr>
                      <w:rPr>
                        <w:rFonts w:hint="default" w:ascii="Cambria Math"/>
                      </w:rPr>
                    </m:ctrlPr>
                  </m:e>
                </m:nary>
                <m:r>
                  <m:rPr>
                    <m:sty m:val="p"/>
                  </m:rPr>
                  <w:rPr>
                    <w:rFonts w:hint="default" w:ascii="Cambria Math"/>
                  </w:rPr>
                  <m:t>{</m:t>
                </m:r>
                <m:sSub>
                  <m:sSubPr>
                    <m:ctrlPr>
                      <w:rPr>
                        <w:rFonts w:hint="default" w:ascii="Cambria Math"/>
                      </w:rPr>
                    </m:ctrlPr>
                  </m:sSubPr>
                  <m:e>
                    <m:r>
                      <m:rPr/>
                      <w:rPr>
                        <w:rFonts w:hint="default" w:ascii="Cambria Math"/>
                      </w:rPr>
                      <m:t>e</m:t>
                    </m:r>
                    <m:ctrlPr>
                      <w:rPr>
                        <w:rFonts w:hint="default" w:ascii="Cambria Math"/>
                      </w:rPr>
                    </m:ctrlPr>
                  </m:e>
                  <m:sub>
                    <m:r>
                      <m:rPr/>
                      <w:rPr>
                        <w:rFonts w:hint="default" w:ascii="Cambria Math"/>
                      </w:rPr>
                      <m:t>i</m:t>
                    </m:r>
                    <m:ctrlPr>
                      <w:rPr>
                        <w:rFonts w:hint="default" w:ascii="Cambria Math"/>
                      </w:rPr>
                    </m:ctrlPr>
                  </m:sub>
                </m:sSub>
                <m:r>
                  <m:rPr>
                    <m:sty m:val="p"/>
                  </m:rPr>
                  <w:rPr>
                    <w:rFonts w:hint="default" w:ascii="Cambria Math"/>
                  </w:rPr>
                  <m:t>=</m:t>
                </m:r>
                <m:r>
                  <m:rPr/>
                  <w:rPr>
                    <w:rFonts w:hint="default" w:ascii="Cambria Math"/>
                  </w:rPr>
                  <m:t>1</m:t>
                </m:r>
                <m:r>
                  <m:rPr>
                    <m:sty m:val="p"/>
                  </m:rPr>
                  <w:rPr>
                    <w:rFonts w:hint="default" w:ascii="Cambria Math"/>
                  </w:rPr>
                  <m:t>}</m:t>
                </m:r>
              </m:oMath>
            </m:oMathPara>
          </w:p>
        </w:tc>
        <w:tc>
          <w:tcPr>
            <w:tcW w:w="650" w:type="dxa"/>
            <w:tcMar>
              <w:top w:w="0" w:type="dxa"/>
              <w:left w:w="0" w:type="dxa"/>
              <w:bottom w:w="0" w:type="dxa"/>
              <w:right w:w="0" w:type="dxa"/>
            </w:tcMar>
            <w:vAlign w:val="center"/>
          </w:tcPr>
          <w:p w14:paraId="7E3CDEA7">
            <w:pPr>
              <w:spacing w:before="0" w:after="0"/>
              <w:jc w:val="right"/>
            </w:pPr>
            <w:bookmarkStart w:id="54" w:name="_RefEq4_33"/>
            <w:r>
              <w:t>(4-</w:t>
            </w:r>
            <w:r>
              <w:fldChar w:fldCharType="begin"/>
            </w:r>
            <w:r>
              <w:instrText xml:space="preserve"> SEQ Eq4 \* ARABIC </w:instrText>
            </w:r>
            <w:r>
              <w:fldChar w:fldCharType="separate"/>
            </w:r>
            <w:r>
              <w:t>21</w:t>
            </w:r>
            <w:r>
              <w:fldChar w:fldCharType="end"/>
            </w:r>
            <w:r>
              <w:t>)</w:t>
            </w:r>
            <w:bookmarkEnd w:id="54"/>
          </w:p>
        </w:tc>
      </w:tr>
    </w:tbl>
    <w:p w14:paraId="7C90D5F1">
      <w:pPr>
        <w:ind w:firstLine="420"/>
        <w:jc w:val="both"/>
      </w:pPr>
      <w:r>
        <w:t>对于包含多个参数字段的函数调用，参数级准确率按照所有可比较字段归一化：</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E0E33E1">
        <w:trPr>
          <w:cantSplit/>
          <w:jc w:val="center"/>
        </w:trPr>
        <w:tc>
          <w:tcPr>
            <w:tcW w:w="650" w:type="dxa"/>
            <w:tcMar>
              <w:top w:w="0" w:type="dxa"/>
              <w:left w:w="0" w:type="dxa"/>
              <w:bottom w:w="0" w:type="dxa"/>
              <w:right w:w="0" w:type="dxa"/>
            </w:tcMar>
            <w:vAlign w:val="center"/>
          </w:tcPr>
          <w:p w14:paraId="4D966F52">
            <w:pPr>
              <w:spacing w:before="0" w:after="0"/>
              <w:jc w:val="left"/>
            </w:pPr>
          </w:p>
        </w:tc>
        <w:tc>
          <w:tcPr>
            <w:tcW w:w="7006" w:type="dxa"/>
            <w:tcMar>
              <w:top w:w="0" w:type="dxa"/>
              <w:left w:w="0" w:type="dxa"/>
              <w:bottom w:w="0" w:type="dxa"/>
              <w:right w:w="0" w:type="dxa"/>
            </w:tcMar>
            <w:vAlign w:val="center"/>
          </w:tcPr>
          <w:p w14:paraId="775E31AF">
            <w:pPr>
              <w:spacing w:before="0" w:after="0"/>
              <w:jc w:val="center"/>
            </w:pPr>
            <m:oMathPara>
              <m:oMath>
                <m:sSub>
                  <m:sSubPr/>
                  <m:e>
                    <m:r>
                      <m:rPr>
                        <m:sty m:val="p"/>
                      </m:rPr>
                      <m:t>Acc</m:t>
                    </m:r>
                  </m:e>
                  <m:sub>
                    <m:r>
                      <m:rPr>
                        <m:sty m:val="p"/>
                      </m:rPr>
                      <m:t>arg</m:t>
                    </m:r>
                  </m:sub>
                </m:sSub>
                <m:r>
                  <m:rPr>
                    <m:sty m:val="p"/>
                  </m:rPr>
                  <m:t>=</m:t>
                </m:r>
                <m:f>
                  <m:fPr/>
                  <m:num>
                    <m:nary>
                      <m:naryPr>
                        <m:chr m:val="∑"/>
                        <m:limLoc m:val="undOvr"/>
                      </m:naryPr>
                      <m:sub>
                        <m:r>
                          <m:rPr/>
                          <m:t>i</m:t>
                        </m:r>
                        <m:r>
                          <m:rPr>
                            <m:sty m:val="p"/>
                          </m:rPr>
                          <m:t>=</m:t>
                        </m:r>
                        <m:r>
                          <m:rPr/>
                          <m:t>1</m:t>
                        </m:r>
                      </m:sub>
                      <m:sup>
                        <m:r>
                          <m:rPr/>
                          <m:t>N</m:t>
                        </m:r>
                      </m:sup>
                      <m:e>
                        <m:nary>
                          <m:naryPr>
                            <m:chr m:val="∑"/>
                            <m:limLoc m:val="undOvr"/>
                            <m:supHide m:val="1"/>
                          </m:naryPr>
                          <m:sub>
                            <m:r>
                              <m:rPr/>
                              <m:t>j</m:t>
                            </m:r>
                            <m:r>
                              <m:rPr>
                                <m:sty m:val="p"/>
                              </m:rPr>
                              <m:t>∈</m:t>
                            </m:r>
                            <m:sSub>
                              <m:sSubPr/>
                              <m:e>
                                <m:r>
                                  <m:rPr/>
                                  <m:t>A</m:t>
                                </m:r>
                              </m:e>
                              <m:sub>
                                <m:r>
                                  <m:rPr/>
                                  <m:t>i</m:t>
                                </m:r>
                              </m:sub>
                            </m:sSub>
                          </m:sub>
                          <m:sup>
                            <m:r>
                              <m:rPr/>
                              <m:t>​</m:t>
                            </m:r>
                          </m:sup>
                          <m:e>
                            <m:r>
                              <m:rPr>
                                <m:sty m:val="b"/>
                              </m:rPr>
                              <m:t>1</m:t>
                            </m:r>
                          </m:e>
                        </m:nary>
                      </m:e>
                    </m:nary>
                    <m:r>
                      <m:rPr>
                        <m:sty m:val="p"/>
                      </m:rPr>
                      <m:t>{</m:t>
                    </m:r>
                    <m:sSub>
                      <m:sSubPr/>
                      <m:e>
                        <m:acc>
                          <m:accPr/>
                          <m:e>
                            <m:r>
                              <m:rPr/>
                              <m:t>a</m:t>
                            </m:r>
                          </m:e>
                        </m:acc>
                      </m:e>
                      <m:sub>
                        <m:r>
                          <m:rPr/>
                          <m:t>ij</m:t>
                        </m:r>
                      </m:sub>
                    </m:sSub>
                    <m:r>
                      <m:rPr>
                        <m:sty m:val="p"/>
                      </m:rPr>
                      <m:t>≡</m:t>
                    </m:r>
                    <m:sSub>
                      <m:sSubPr/>
                      <m:e>
                        <m:r>
                          <m:rPr/>
                          <m:t>a</m:t>
                        </m:r>
                      </m:e>
                      <m:sub>
                        <m:r>
                          <m:rPr/>
                          <m:t>ij</m:t>
                        </m:r>
                      </m:sub>
                    </m:sSub>
                    <m:r>
                      <m:rPr>
                        <m:sty m:val="p"/>
                      </m:rPr>
                      <m:t>}</m:t>
                    </m:r>
                  </m:num>
                  <m:den>
                    <m:nary>
                      <m:naryPr>
                        <m:chr m:val="∑"/>
                        <m:limLoc m:val="undOvr"/>
                      </m:naryPr>
                      <m:sub>
                        <m:r>
                          <m:rPr/>
                          <m:t>i</m:t>
                        </m:r>
                        <m:r>
                          <m:rPr>
                            <m:sty m:val="p"/>
                          </m:rPr>
                          <m:t>=</m:t>
                        </m:r>
                        <m:r>
                          <m:rPr/>
                          <m:t>1</m:t>
                        </m:r>
                      </m:sub>
                      <m:sup>
                        <m:r>
                          <m:rPr/>
                          <m:t>N</m:t>
                        </m:r>
                      </m:sup>
                      <m:e>
                        <m:r>
                          <m:rPr>
                            <m:sty m:val="p"/>
                          </m:rPr>
                          <m:t>|</m:t>
                        </m:r>
                      </m:e>
                    </m:nary>
                    <m:sSub>
                      <m:sSubPr/>
                      <m:e>
                        <m:r>
                          <m:rPr/>
                          <m:t>A</m:t>
                        </m:r>
                      </m:e>
                      <m:sub>
                        <m:r>
                          <m:rPr/>
                          <m:t>i</m:t>
                        </m:r>
                      </m:sub>
                    </m:sSub>
                    <m:r>
                      <m:rPr>
                        <m:sty m:val="p"/>
                      </m:rPr>
                      <m:t>|</m:t>
                    </m:r>
                  </m:den>
                </m:f>
              </m:oMath>
            </m:oMathPara>
          </w:p>
        </w:tc>
        <w:tc>
          <w:tcPr>
            <w:tcW w:w="650" w:type="dxa"/>
            <w:tcMar>
              <w:top w:w="0" w:type="dxa"/>
              <w:left w:w="0" w:type="dxa"/>
              <w:bottom w:w="0" w:type="dxa"/>
              <w:right w:w="0" w:type="dxa"/>
            </w:tcMar>
            <w:vAlign w:val="center"/>
          </w:tcPr>
          <w:p w14:paraId="782F97F3">
            <w:pPr>
              <w:spacing w:before="0" w:after="0"/>
              <w:jc w:val="right"/>
            </w:pPr>
            <w:bookmarkStart w:id="55" w:name="_RefEq4_34"/>
            <w:r>
              <w:t>(4-</w:t>
            </w:r>
            <w:r>
              <w:fldChar w:fldCharType="begin"/>
            </w:r>
            <w:r>
              <w:instrText xml:space="preserve"> SEQ Eq4 \* ARABIC </w:instrText>
            </w:r>
            <w:r>
              <w:fldChar w:fldCharType="separate"/>
            </w:r>
            <w:r>
              <w:t>22</w:t>
            </w:r>
            <w:r>
              <w:fldChar w:fldCharType="end"/>
            </w:r>
            <w:r>
              <w:t>)</w:t>
            </w:r>
            <w:bookmarkEnd w:id="55"/>
          </w:p>
        </w:tc>
      </w:tr>
    </w:tbl>
    <w:p w14:paraId="04F1D07C">
      <w:pPr>
        <w:ind w:firstLine="420"/>
        <w:jc w:val="both"/>
      </w:pPr>
      <w:r>
        <w:t>其中“≡”依据 schema 允许的类型转换、顺序不敏感字段和等价表示判定。本文分别报告 JSON 可解析率、schema 合法率、函数选择和参数正确率；只有当数据集提供可执行工具且执行环境经过验证时，才报告工具执行成功率和端到端任务完成率。否则采用结构化调用匹配评价，并明确该指标与真实工具执行的边界。BFCL 的任务划分与判定规则为评测设计提供参考[27]。</w:t>
      </w:r>
    </w:p>
    <w:p w14:paraId="7A0844C1">
      <w:pPr>
        <w:ind w:firstLine="420"/>
        <w:jc w:val="both"/>
      </w:pPr>
      <w:r>
        <w:t>训练稳定性通过损失曲线、梯度范数、师生熵和支持集重叠进行分析。对全部有效位置求平均后，教师熵与 Top-K 重叠率写为：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1117BB8B">
        <w:trPr>
          <w:cantSplit/>
          <w:jc w:val="center"/>
        </w:trPr>
        <w:tc>
          <w:tcPr>
            <w:tcW w:w="650" w:type="dxa"/>
            <w:tcMar>
              <w:top w:w="0" w:type="dxa"/>
              <w:left w:w="0" w:type="dxa"/>
              <w:bottom w:w="0" w:type="dxa"/>
              <w:right w:w="0" w:type="dxa"/>
            </w:tcMar>
            <w:vAlign w:val="center"/>
          </w:tcPr>
          <w:p w14:paraId="1427DD24">
            <w:pPr>
              <w:spacing w:before="0" w:after="0"/>
              <w:jc w:val="left"/>
            </w:pPr>
          </w:p>
        </w:tc>
        <w:tc>
          <w:tcPr>
            <w:tcW w:w="7006" w:type="dxa"/>
            <w:tcMar>
              <w:top w:w="0" w:type="dxa"/>
              <w:left w:w="0" w:type="dxa"/>
              <w:bottom w:w="0" w:type="dxa"/>
              <w:right w:w="0" w:type="dxa"/>
            </w:tcMar>
            <w:vAlign w:val="center"/>
          </w:tcPr>
          <w:p w14:paraId="0D695F6F">
            <w:pPr>
              <w:spacing w:before="0" w:after="0"/>
              <w:jc w:val="center"/>
            </w:pPr>
            <m:oMathPara>
              <m:oMath>
                <m:sSub>
                  <m:sSubPr/>
                  <m:e>
                    <m:r>
                      <m:rPr/>
                      <m:t>H</m:t>
                    </m:r>
                  </m:e>
                  <m:sub>
                    <m:r>
                      <m:rPr/>
                      <m:t>T</m:t>
                    </m:r>
                  </m:sub>
                </m:sSub>
                <m:r>
                  <m:rPr>
                    <m:sty m:val="p"/>
                  </m:rPr>
                  <m:t>=</m:t>
                </m:r>
                <m:r>
                  <m:rPr>
                    <m:sty m:val="p"/>
                  </m:rPr>
                  <w:rPr>
                    <w:rFonts w:hint="default" w:ascii="DejaVu Math TeX Gyre" w:hAnsi="DejaVu Math TeX Gyre"/>
                    <w:lang w:val="en-US" w:eastAsia="zh-CN"/>
                  </w:rPr>
                  <m:t xml:space="preserve"> </m:t>
                </m:r>
                <m:r>
                  <m:rPr>
                    <m:sty m:val="p"/>
                  </m:rPr>
                  <m:t>−</m:t>
                </m:r>
                <m:f>
                  <m:fPr/>
                  <m:num>
                    <m:r>
                      <m:rPr/>
                      <m:t>1</m:t>
                    </m:r>
                  </m:num>
                  <m:den>
                    <m:r>
                      <m:rPr>
                        <m:sty m:val="p"/>
                      </m:rPr>
                      <m:t>|</m:t>
                    </m:r>
                    <m:r>
                      <m:rPr>
                        <m:sty m:val="p"/>
                        <m:scr m:val="script"/>
                      </m:rPr>
                      <m:t>ℳ</m:t>
                    </m:r>
                    <m:r>
                      <m:rPr>
                        <m:sty m:val="p"/>
                      </m:rPr>
                      <m:t>|</m:t>
                    </m:r>
                  </m:den>
                </m:f>
                <m:nary>
                  <m:naryPr>
                    <m:chr m:val="∑"/>
                    <m:limLoc m:val="undOvr"/>
                    <m:supHide m:val="1"/>
                  </m:naryPr>
                  <m:sub>
                    <m:r>
                      <m:rPr/>
                      <m:t>t</m:t>
                    </m:r>
                    <m:r>
                      <m:rPr>
                        <m:sty m:val="p"/>
                      </m:rPr>
                      <m:t>∈</m:t>
                    </m:r>
                    <m:r>
                      <m:rPr>
                        <m:sty m:val="p"/>
                        <m:scr m:val="script"/>
                      </m:rPr>
                      <m:t>ℳ</m:t>
                    </m:r>
                  </m:sub>
                  <m:sup>
                    <m:r>
                      <m:rPr/>
                      <m:t>​</m:t>
                    </m:r>
                  </m:sup>
                  <m:e>
                    <m:nary>
                      <m:naryPr>
                        <m:chr m:val="∑"/>
                        <m:limLoc m:val="undOvr"/>
                        <m:supHide m:val="1"/>
                      </m:naryPr>
                      <m:sub>
                        <m:r>
                          <m:rPr/>
                          <m:t>v</m:t>
                        </m:r>
                        <m:r>
                          <m:rPr>
                            <m:sty m:val="p"/>
                          </m:rPr>
                          <m:t>∈</m:t>
                        </m:r>
                        <m:r>
                          <m:rPr>
                            <m:sty m:val="p"/>
                            <m:scr m:val="script"/>
                          </m:rPr>
                          <m:t>V</m:t>
                        </m:r>
                      </m:sub>
                      <m:sup>
                        <m:r>
                          <m:rPr/>
                          <m:t>​</m:t>
                        </m:r>
                      </m:sup>
                      <m:e>
                        <m:sSub>
                          <m:sSubPr/>
                          <m:e>
                            <m:r>
                              <m:rPr/>
                              <m:t>p</m:t>
                            </m:r>
                          </m:e>
                          <m:sub>
                            <m:r>
                              <m:rPr/>
                              <m:t>T</m:t>
                            </m:r>
                            <m:r>
                              <m:rPr>
                                <m:sty m:val="p"/>
                              </m:rPr>
                              <m:t>,</m:t>
                            </m:r>
                            <m:r>
                              <m:rPr/>
                              <m:t>t</m:t>
                            </m:r>
                          </m:sub>
                        </m:sSub>
                      </m:e>
                    </m:nary>
                  </m:e>
                </m:nary>
                <m:r>
                  <m:rPr>
                    <m:sty m:val="p"/>
                  </m:rPr>
                  <m:t>(</m:t>
                </m:r>
                <m:r>
                  <m:rPr/>
                  <m:t>v</m:t>
                </m:r>
                <m:r>
                  <m:rPr>
                    <m:sty m:val="p"/>
                  </m:rPr>
                  <m:t>)log</m:t>
                </m:r>
                <m:sSub>
                  <m:sSubPr/>
                  <m:e>
                    <m:r>
                      <m:rPr/>
                      <m:t>p</m:t>
                    </m:r>
                  </m:e>
                  <m:sub>
                    <m:r>
                      <m:rPr/>
                      <m:t>T</m:t>
                    </m:r>
                    <m:r>
                      <m:rPr>
                        <m:sty m:val="p"/>
                      </m:rPr>
                      <m:t>,</m:t>
                    </m:r>
                    <m:r>
                      <m:rPr/>
                      <m:t>t</m:t>
                    </m:r>
                  </m:sub>
                </m:sSub>
                <m:r>
                  <m:rPr>
                    <m:sty m:val="p"/>
                  </m:rPr>
                  <m:t>(</m:t>
                </m:r>
                <m:r>
                  <m:rPr/>
                  <m:t>v</m:t>
                </m:r>
                <m:r>
                  <m:rPr>
                    <m:sty m:val="p"/>
                  </m:rPr>
                  <m:t>)</m:t>
                </m:r>
              </m:oMath>
            </m:oMathPara>
          </w:p>
        </w:tc>
        <w:tc>
          <w:tcPr>
            <w:tcW w:w="650" w:type="dxa"/>
            <w:tcMar>
              <w:top w:w="0" w:type="dxa"/>
              <w:left w:w="0" w:type="dxa"/>
              <w:bottom w:w="0" w:type="dxa"/>
              <w:right w:w="0" w:type="dxa"/>
            </w:tcMar>
            <w:vAlign w:val="center"/>
          </w:tcPr>
          <w:p w14:paraId="6373FFD1">
            <w:pPr>
              <w:spacing w:before="0" w:after="0"/>
              <w:jc w:val="right"/>
            </w:pPr>
            <w:bookmarkStart w:id="56" w:name="_RefEq4_35"/>
            <w:r>
              <w:t>(4-</w:t>
            </w:r>
            <w:r>
              <w:fldChar w:fldCharType="begin"/>
            </w:r>
            <w:r>
              <w:instrText xml:space="preserve"> SEQ Eq4 \* ARABIC </w:instrText>
            </w:r>
            <w:r>
              <w:fldChar w:fldCharType="separate"/>
            </w:r>
            <w:r>
              <w:t>23</w:t>
            </w:r>
            <w:r>
              <w:fldChar w:fldCharType="end"/>
            </w:r>
            <w:r>
              <w:t>)</w:t>
            </w:r>
            <w:bookmarkEnd w:id="56"/>
          </w:p>
        </w:tc>
      </w:tr>
      <w:tr w14:paraId="790F7078">
        <w:trPr>
          <w:cantSplit/>
          <w:jc w:val="center"/>
        </w:trPr>
        <w:tc>
          <w:tcPr>
            <w:tcW w:w="650" w:type="dxa"/>
            <w:tcMar>
              <w:top w:w="0" w:type="dxa"/>
              <w:left w:w="0" w:type="dxa"/>
              <w:bottom w:w="0" w:type="dxa"/>
              <w:right w:w="0" w:type="dxa"/>
            </w:tcMar>
            <w:vAlign w:val="center"/>
          </w:tcPr>
          <w:p w14:paraId="1989DE9F">
            <w:pPr>
              <w:spacing w:before="0" w:after="0"/>
              <w:jc w:val="left"/>
            </w:pPr>
          </w:p>
        </w:tc>
        <w:tc>
          <w:tcPr>
            <w:tcW w:w="7006" w:type="dxa"/>
            <w:tcMar>
              <w:top w:w="0" w:type="dxa"/>
              <w:left w:w="0" w:type="dxa"/>
              <w:bottom w:w="0" w:type="dxa"/>
              <w:right w:w="0" w:type="dxa"/>
            </w:tcMar>
            <w:vAlign w:val="center"/>
          </w:tcPr>
          <w:p w14:paraId="6CA74C69">
            <w:pPr>
              <w:spacing w:before="0" w:after="0"/>
              <w:jc w:val="center"/>
            </w:pPr>
            <m:oMathPara>
              <m:oMath>
                <m:sSub>
                  <m:sSubPr/>
                  <m:e>
                    <m:r>
                      <m:rPr/>
                      <m:t>O</m:t>
                    </m:r>
                  </m:e>
                  <m:sub>
                    <m:r>
                      <m:rPr/>
                      <m:t>K</m:t>
                    </m:r>
                  </m:sub>
                </m:sSub>
                <m:r>
                  <m:rPr>
                    <m:sty m:val="p"/>
                  </m:rPr>
                  <m:t>=</m:t>
                </m:r>
                <m:r>
                  <m:rPr>
                    <m:sty m:val="p"/>
                  </m:rPr>
                  <w:rPr>
                    <w:rFonts w:hint="default" w:ascii="DejaVu Math TeX Gyre" w:hAnsi="DejaVu Math TeX Gyre"/>
                    <w:lang w:val="en-US" w:eastAsia="zh-CN"/>
                  </w:rPr>
                  <m:t xml:space="preserve"> </m:t>
                </m:r>
                <m:f>
                  <m:fPr/>
                  <m:num>
                    <m:r>
                      <m:rPr/>
                      <m:t>1</m:t>
                    </m:r>
                  </m:num>
                  <m:den>
                    <m:r>
                      <m:rPr>
                        <m:sty m:val="p"/>
                      </m:rPr>
                      <m:t>|</m:t>
                    </m:r>
                    <m:r>
                      <m:rPr>
                        <m:sty m:val="p"/>
                        <m:scr m:val="script"/>
                      </m:rPr>
                      <m:t>ℳ</m:t>
                    </m:r>
                    <m:r>
                      <m:rPr>
                        <m:sty m:val="p"/>
                      </m:rPr>
                      <m:t>|</m:t>
                    </m:r>
                  </m:den>
                </m:f>
                <m:nary>
                  <m:naryPr>
                    <m:chr m:val="∑"/>
                    <m:limLoc m:val="undOvr"/>
                    <m:supHide m:val="1"/>
                  </m:naryPr>
                  <m:sub>
                    <m:r>
                      <m:rPr/>
                      <m:t>t</m:t>
                    </m:r>
                    <m:r>
                      <m:rPr>
                        <m:sty m:val="p"/>
                      </m:rPr>
                      <m:t>∈</m:t>
                    </m:r>
                    <m:r>
                      <m:rPr>
                        <m:sty m:val="p"/>
                        <m:scr m:val="script"/>
                      </m:rPr>
                      <m:t>ℳ</m:t>
                    </m:r>
                  </m:sub>
                  <m:sup>
                    <m:r>
                      <m:rPr/>
                      <m:t>​</m:t>
                    </m:r>
                  </m:sup>
                  <m:e>
                    <m:f>
                      <m:fPr/>
                      <m:num>
                        <m:r>
                          <m:rPr>
                            <m:sty m:val="p"/>
                          </m:rPr>
                          <m:t>|TopK(</m:t>
                        </m:r>
                        <m:sSub>
                          <m:sSubPr/>
                          <m:e>
                            <m:r>
                              <m:rPr/>
                              <m:t>p</m:t>
                            </m:r>
                          </m:e>
                          <m:sub>
                            <m:r>
                              <m:rPr/>
                              <m:t>T</m:t>
                            </m:r>
                            <m:r>
                              <m:rPr>
                                <m:sty m:val="p"/>
                              </m:rPr>
                              <m:t>,</m:t>
                            </m:r>
                            <m:r>
                              <m:rPr/>
                              <m:t>t</m:t>
                            </m:r>
                          </m:sub>
                        </m:sSub>
                        <m:r>
                          <m:rPr>
                            <m:sty m:val="p"/>
                          </m:rPr>
                          <m:t>)∩TopK(</m:t>
                        </m:r>
                        <m:sSub>
                          <m:sSubPr/>
                          <m:e>
                            <m:r>
                              <m:rPr/>
                              <m:t>p</m:t>
                            </m:r>
                          </m:e>
                          <m:sub>
                            <m:r>
                              <m:rPr/>
                              <m:t>S</m:t>
                            </m:r>
                            <m:r>
                              <m:rPr>
                                <m:sty m:val="p"/>
                              </m:rPr>
                              <m:t>,</m:t>
                            </m:r>
                            <m:r>
                              <m:rPr/>
                              <m:t>t</m:t>
                            </m:r>
                          </m:sub>
                        </m:sSub>
                        <m:r>
                          <m:rPr>
                            <m:sty m:val="p"/>
                          </m:rPr>
                          <m:t>)|</m:t>
                        </m:r>
                      </m:num>
                      <m:den>
                        <m:r>
                          <m:rPr/>
                          <m:t>K</m:t>
                        </m:r>
                      </m:den>
                    </m:f>
                  </m:e>
                </m:nary>
              </m:oMath>
            </m:oMathPara>
          </w:p>
        </w:tc>
        <w:tc>
          <w:tcPr>
            <w:tcW w:w="650" w:type="dxa"/>
            <w:tcMar>
              <w:top w:w="0" w:type="dxa"/>
              <w:left w:w="0" w:type="dxa"/>
              <w:bottom w:w="0" w:type="dxa"/>
              <w:right w:w="0" w:type="dxa"/>
            </w:tcMar>
            <w:vAlign w:val="center"/>
          </w:tcPr>
          <w:p w14:paraId="76E986BB">
            <w:pPr>
              <w:spacing w:before="0" w:after="0"/>
              <w:jc w:val="right"/>
            </w:pPr>
            <w:bookmarkStart w:id="57" w:name="_RefEq4_36"/>
            <w:r>
              <w:t>(4-</w:t>
            </w:r>
            <w:r>
              <w:fldChar w:fldCharType="begin"/>
            </w:r>
            <w:r>
              <w:instrText xml:space="preserve"> SEQ Eq4 \* ARABIC </w:instrText>
            </w:r>
            <w:r>
              <w:fldChar w:fldCharType="separate"/>
            </w:r>
            <w:r>
              <w:t>24</w:t>
            </w:r>
            <w:r>
              <w:fldChar w:fldCharType="end"/>
            </w:r>
            <w:r>
              <w:t>)</w:t>
            </w:r>
            <w:bookmarkEnd w:id="57"/>
          </w:p>
        </w:tc>
      </w:tr>
    </w:tbl>
    <w:p w14:paraId="3E2F0339">
      <w:pPr>
        <w:ind w:firstLine="420"/>
        <w:jc w:val="both"/>
      </w:pPr>
      <w:r>
        <w:t>熵与支持集重叠用于观察师生概率分布是否接近；针对本研究方法，还将记录教师 Top-K 外的总概率质量、学生对应质量及二者差异，并按函数、参数和结构位置分层分析。与异常损失、梯度范数和格式错误率结合后，可判断差异来自状态选择、截断目标还是监督粒度，避免只凭最终准确率解释机制。</w:t>
      </w:r>
    </w:p>
    <w:p w14:paraId="2CC9EDD0">
      <w:pPr>
        <w:ind w:firstLine="420"/>
        <w:jc w:val="both"/>
      </w:pPr>
      <w:r>
        <w:t>公平比较要求各组共享相同的训练预算。本文以有效训练 token 数和学生更新步数作为主预算，并把总成本拆分为学生生成、教师前向和学生反向传播三部分：</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0155A05">
        <w:trPr>
          <w:cantSplit/>
          <w:jc w:val="center"/>
        </w:trPr>
        <w:tc>
          <w:tcPr>
            <w:tcW w:w="650" w:type="dxa"/>
            <w:tcMar>
              <w:top w:w="0" w:type="dxa"/>
              <w:left w:w="0" w:type="dxa"/>
              <w:bottom w:w="0" w:type="dxa"/>
              <w:right w:w="0" w:type="dxa"/>
            </w:tcMar>
            <w:vAlign w:val="center"/>
          </w:tcPr>
          <w:p w14:paraId="6D8F943C">
            <w:pPr>
              <w:spacing w:before="0" w:after="0"/>
              <w:jc w:val="left"/>
            </w:pPr>
          </w:p>
        </w:tc>
        <w:tc>
          <w:tcPr>
            <w:tcW w:w="7006" w:type="dxa"/>
            <w:tcMar>
              <w:top w:w="0" w:type="dxa"/>
              <w:left w:w="0" w:type="dxa"/>
              <w:bottom w:w="0" w:type="dxa"/>
              <w:right w:w="0" w:type="dxa"/>
            </w:tcMar>
            <w:vAlign w:val="center"/>
          </w:tcPr>
          <w:p w14:paraId="2E0B6BAD">
            <w:pPr>
              <w:spacing w:before="0" w:after="0"/>
              <w:jc w:val="center"/>
            </w:pPr>
            <m:oMathPara>
              <m:oMath>
                <m:r>
                  <m:rPr/>
                  <m:t>B</m:t>
                </m:r>
                <m:r>
                  <m:rPr>
                    <m:sty m:val="p"/>
                  </m:rPr>
                  <m:t>=</m:t>
                </m:r>
                <m:nary>
                  <m:naryPr>
                    <m:chr m:val="∑"/>
                    <m:limLoc m:val="undOvr"/>
                    <m:supHide m:val="1"/>
                  </m:naryPr>
                  <m:sub>
                    <m:r>
                      <m:rPr>
                        <m:sty m:val="p"/>
                      </m:rPr>
                      <m:t>step</m:t>
                    </m:r>
                  </m:sub>
                  <m:sup>
                    <m:r>
                      <m:rPr/>
                      <m:t>​</m:t>
                    </m:r>
                  </m:sup>
                  <m:e>
                    <m:nary>
                      <m:naryPr>
                        <m:chr m:val="∑"/>
                        <m:limLoc m:val="undOvr"/>
                      </m:naryPr>
                      <m:sub>
                        <m:r>
                          <m:rPr/>
                          <m:t>t</m:t>
                        </m:r>
                        <m:r>
                          <m:rPr>
                            <m:sty m:val="p"/>
                          </m:rPr>
                          <m:t>=</m:t>
                        </m:r>
                        <m:r>
                          <m:rPr/>
                          <m:t>1</m:t>
                        </m:r>
                      </m:sub>
                      <m:sup>
                        <m:r>
                          <m:rPr/>
                          <m:t>T</m:t>
                        </m:r>
                      </m:sup>
                      <m:e>
                        <m:sSub>
                          <m:sSubPr/>
                          <m:e>
                            <m:r>
                              <m:rPr/>
                              <m:t>m</m:t>
                            </m:r>
                          </m:e>
                          <m:sub>
                            <m:r>
                              <m:rPr/>
                              <m:t>t</m:t>
                            </m:r>
                          </m:sub>
                        </m:sSub>
                      </m:e>
                    </m:nary>
                  </m:e>
                </m:nary>
              </m:oMath>
            </m:oMathPara>
          </w:p>
        </w:tc>
        <w:tc>
          <w:tcPr>
            <w:tcW w:w="650" w:type="dxa"/>
            <w:tcMar>
              <w:top w:w="0" w:type="dxa"/>
              <w:left w:w="0" w:type="dxa"/>
              <w:bottom w:w="0" w:type="dxa"/>
              <w:right w:w="0" w:type="dxa"/>
            </w:tcMar>
            <w:vAlign w:val="center"/>
          </w:tcPr>
          <w:p w14:paraId="358F0084">
            <w:pPr>
              <w:spacing w:before="0" w:after="0"/>
              <w:jc w:val="right"/>
            </w:pPr>
            <w:bookmarkStart w:id="58" w:name="_RefEq4_37"/>
            <w:r>
              <w:t>(4-</w:t>
            </w:r>
            <w:r>
              <w:fldChar w:fldCharType="begin"/>
            </w:r>
            <w:r>
              <w:instrText xml:space="preserve"> SEQ Eq4 \* ARABIC </w:instrText>
            </w:r>
            <w:r>
              <w:fldChar w:fldCharType="separate"/>
            </w:r>
            <w:r>
              <w:t>25</w:t>
            </w:r>
            <w:r>
              <w:fldChar w:fldCharType="end"/>
            </w:r>
            <w:r>
              <w:t>)</w:t>
            </w:r>
            <w:bookmarkEnd w:id="58"/>
          </w:p>
        </w:tc>
      </w:tr>
      <w:tr w14:paraId="56B3E4EC">
        <w:trPr>
          <w:cantSplit/>
          <w:jc w:val="center"/>
        </w:trPr>
        <w:tc>
          <w:tcPr>
            <w:tcW w:w="650" w:type="dxa"/>
            <w:tcMar>
              <w:top w:w="0" w:type="dxa"/>
              <w:left w:w="0" w:type="dxa"/>
              <w:bottom w:w="0" w:type="dxa"/>
              <w:right w:w="0" w:type="dxa"/>
            </w:tcMar>
            <w:vAlign w:val="center"/>
          </w:tcPr>
          <w:p w14:paraId="56C9E764">
            <w:pPr>
              <w:spacing w:before="0" w:after="0"/>
              <w:jc w:val="left"/>
            </w:pPr>
          </w:p>
        </w:tc>
        <w:tc>
          <w:tcPr>
            <w:tcW w:w="7006" w:type="dxa"/>
            <w:tcMar>
              <w:top w:w="0" w:type="dxa"/>
              <w:left w:w="0" w:type="dxa"/>
              <w:bottom w:w="0" w:type="dxa"/>
              <w:right w:w="0" w:type="dxa"/>
            </w:tcMar>
            <w:vAlign w:val="center"/>
          </w:tcPr>
          <w:p w14:paraId="6DE441D7">
            <w:pPr>
              <w:spacing w:before="0" w:after="0"/>
              <w:jc w:val="center"/>
            </w:pPr>
            <m:oMathPara>
              <m:oMath>
                <m:sSub>
                  <m:sSubPr/>
                  <m:e>
                    <m:r>
                      <m:rPr/>
                      <m:t>C</m:t>
                    </m:r>
                  </m:e>
                  <m:sub>
                    <m:r>
                      <m:rPr>
                        <m:sty m:val="p"/>
                      </m:rPr>
                      <m:t>total</m:t>
                    </m:r>
                  </m:sub>
                </m:sSub>
                <m:r>
                  <m:rPr>
                    <m:sty m:val="p"/>
                  </m:rPr>
                  <m:t>=</m:t>
                </m:r>
                <m:sSub>
                  <m:sSubPr/>
                  <m:e>
                    <m:r>
                      <m:rPr/>
                      <m:t>C</m:t>
                    </m:r>
                  </m:e>
                  <m:sub>
                    <m:r>
                      <m:rPr>
                        <m:sty m:val="p"/>
                      </m:rPr>
                      <m:t>rollout</m:t>
                    </m:r>
                  </m:sub>
                </m:sSub>
                <m:r>
                  <m:rPr>
                    <m:sty m:val="p"/>
                  </m:rPr>
                  <m:t>+</m:t>
                </m:r>
                <m:sSub>
                  <m:sSubPr/>
                  <m:e>
                    <m:r>
                      <m:rPr/>
                      <m:t>C</m:t>
                    </m:r>
                  </m:e>
                  <m:sub>
                    <m:r>
                      <m:rPr>
                        <m:sty m:val="p"/>
                      </m:rPr>
                      <m:t>teacher</m:t>
                    </m:r>
                  </m:sub>
                </m:sSub>
                <m:r>
                  <m:rPr>
                    <m:sty m:val="p"/>
                  </m:rPr>
                  <m:t>+</m:t>
                </m:r>
                <m:sSub>
                  <m:sSubPr/>
                  <m:e>
                    <m:r>
                      <m:rPr/>
                      <m:t>C</m:t>
                    </m:r>
                  </m:e>
                  <m:sub>
                    <m:r>
                      <m:rPr>
                        <m:sty m:val="p"/>
                      </m:rPr>
                      <m:t>backward</m:t>
                    </m:r>
                  </m:sub>
                </m:sSub>
              </m:oMath>
            </m:oMathPara>
          </w:p>
        </w:tc>
        <w:tc>
          <w:tcPr>
            <w:tcW w:w="650" w:type="dxa"/>
            <w:tcMar>
              <w:top w:w="0" w:type="dxa"/>
              <w:left w:w="0" w:type="dxa"/>
              <w:bottom w:w="0" w:type="dxa"/>
              <w:right w:w="0" w:type="dxa"/>
            </w:tcMar>
            <w:vAlign w:val="center"/>
          </w:tcPr>
          <w:p w14:paraId="5E5F5C7E">
            <w:pPr>
              <w:spacing w:before="0" w:after="0"/>
              <w:jc w:val="right"/>
            </w:pPr>
            <w:bookmarkStart w:id="59" w:name="_RefEq4_38"/>
            <w:r>
              <w:t>(4-</w:t>
            </w:r>
            <w:r>
              <w:fldChar w:fldCharType="begin"/>
            </w:r>
            <w:r>
              <w:instrText xml:space="preserve"> SEQ Eq4 \* ARABIC </w:instrText>
            </w:r>
            <w:r>
              <w:fldChar w:fldCharType="separate"/>
            </w:r>
            <w:r>
              <w:t>26</w:t>
            </w:r>
            <w:r>
              <w:fldChar w:fldCharType="end"/>
            </w:r>
            <w:r>
              <w:t>)</w:t>
            </w:r>
            <w:bookmarkEnd w:id="59"/>
          </w:p>
        </w:tc>
      </w:tr>
    </w:tbl>
    <w:p w14:paraId="2DE6B7B8">
      <w:pPr>
        <w:ind w:firstLine="420"/>
        <w:jc w:val="both"/>
      </w:pPr>
      <w:r>
        <w:t>除总成本外，本文同时报告教师处理 token 数、教师前向墙钟时间、峰值显存、训练时间和推理吞吐，并单独统计传输或保存的教师反馈字节数与所选 K 的分布。吞吐量按生成 token 数除以墙钟时间计算。缩小反馈表示可能降低传输和存储开销，但是否节省教师计算须以实际计时为准。</w:t>
      </w:r>
    </w:p>
    <w:p w14:paraId="2386798F">
      <w:pPr>
        <w:ind w:firstLine="420"/>
        <w:jc w:val="both"/>
      </w:pPr>
      <w:r>
        <w:t>正式实验至少使用多个随机种子重复运行。对于同一指标的多次观测，均值和样本标准差定义为：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4CF82490">
        <w:trPr>
          <w:cantSplit/>
          <w:jc w:val="center"/>
        </w:trPr>
        <w:tc>
          <w:tcPr>
            <w:tcW w:w="650" w:type="dxa"/>
            <w:tcMar>
              <w:top w:w="0" w:type="dxa"/>
              <w:left w:w="0" w:type="dxa"/>
              <w:bottom w:w="0" w:type="dxa"/>
              <w:right w:w="0" w:type="dxa"/>
            </w:tcMar>
            <w:vAlign w:val="center"/>
          </w:tcPr>
          <w:p w14:paraId="64E92A79">
            <w:pPr>
              <w:spacing w:before="0" w:after="0"/>
              <w:jc w:val="left"/>
            </w:pPr>
          </w:p>
        </w:tc>
        <w:tc>
          <w:tcPr>
            <w:tcW w:w="7006" w:type="dxa"/>
            <w:tcMar>
              <w:top w:w="0" w:type="dxa"/>
              <w:left w:w="0" w:type="dxa"/>
              <w:bottom w:w="0" w:type="dxa"/>
              <w:right w:w="0" w:type="dxa"/>
            </w:tcMar>
            <w:vAlign w:val="center"/>
          </w:tcPr>
          <w:p w14:paraId="27A26B45">
            <w:pPr>
              <w:spacing w:before="0" w:after="0"/>
              <w:jc w:val="center"/>
            </w:pPr>
            <m:oMathPara>
              <m:oMath>
                <m:r>
                  <m:rPr/>
                  <m:t>μ</m:t>
                </m:r>
                <m:r>
                  <m:rPr>
                    <m:sty m:val="p"/>
                  </m:rPr>
                  <m:t>=</m:t>
                </m:r>
                <m:f>
                  <m:fPr/>
                  <m:num>
                    <m:r>
                      <m:rPr/>
                      <m:t>1</m:t>
                    </m:r>
                  </m:num>
                  <m:den>
                    <m:r>
                      <m:rPr/>
                      <m:t>R</m:t>
                    </m:r>
                  </m:den>
                </m:f>
                <m:nary>
                  <m:naryPr>
                    <m:chr m:val="∑"/>
                    <m:limLoc m:val="undOvr"/>
                  </m:naryPr>
                  <m:sub>
                    <m:r>
                      <m:rPr/>
                      <m:t>r</m:t>
                    </m:r>
                    <m:r>
                      <m:rPr>
                        <m:sty m:val="p"/>
                      </m:rPr>
                      <m:t>=</m:t>
                    </m:r>
                    <m:r>
                      <m:rPr/>
                      <m:t>1</m:t>
                    </m:r>
                  </m:sub>
                  <m:sup>
                    <m:r>
                      <m:rPr/>
                      <m:t>R</m:t>
                    </m:r>
                  </m:sup>
                  <m:e>
                    <m:sSub>
                      <m:sSubPr/>
                      <m:e>
                        <m:r>
                          <m:rPr/>
                          <m:t>s</m:t>
                        </m:r>
                      </m:e>
                      <m:sub>
                        <m:r>
                          <m:rPr/>
                          <m:t>r</m:t>
                        </m:r>
                      </m:sub>
                    </m:sSub>
                  </m:e>
                </m:nary>
              </m:oMath>
            </m:oMathPara>
          </w:p>
        </w:tc>
        <w:tc>
          <w:tcPr>
            <w:tcW w:w="650" w:type="dxa"/>
            <w:tcMar>
              <w:top w:w="0" w:type="dxa"/>
              <w:left w:w="0" w:type="dxa"/>
              <w:bottom w:w="0" w:type="dxa"/>
              <w:right w:w="0" w:type="dxa"/>
            </w:tcMar>
            <w:vAlign w:val="center"/>
          </w:tcPr>
          <w:p w14:paraId="0C8D8C8E">
            <w:pPr>
              <w:spacing w:before="0" w:after="0"/>
              <w:jc w:val="right"/>
            </w:pPr>
            <w:bookmarkStart w:id="60" w:name="_RefEq4_39"/>
            <w:r>
              <w:t>(4-</w:t>
            </w:r>
            <w:r>
              <w:fldChar w:fldCharType="begin"/>
            </w:r>
            <w:r>
              <w:instrText xml:space="preserve"> SEQ Eq4 \* ARABIC </w:instrText>
            </w:r>
            <w:r>
              <w:fldChar w:fldCharType="separate"/>
            </w:r>
            <w:r>
              <w:t>27</w:t>
            </w:r>
            <w:r>
              <w:fldChar w:fldCharType="end"/>
            </w:r>
            <w:r>
              <w:t>)</w:t>
            </w:r>
            <w:bookmarkEnd w:id="60"/>
          </w:p>
        </w:tc>
      </w:tr>
      <w:tr w14:paraId="2F59497F">
        <w:trPr>
          <w:cantSplit/>
          <w:jc w:val="center"/>
        </w:trPr>
        <w:tc>
          <w:tcPr>
            <w:tcW w:w="650" w:type="dxa"/>
            <w:tcMar>
              <w:top w:w="0" w:type="dxa"/>
              <w:left w:w="0" w:type="dxa"/>
              <w:bottom w:w="0" w:type="dxa"/>
              <w:right w:w="0" w:type="dxa"/>
            </w:tcMar>
            <w:vAlign w:val="center"/>
          </w:tcPr>
          <w:p w14:paraId="5F117262">
            <w:pPr>
              <w:spacing w:before="0" w:after="0"/>
              <w:jc w:val="left"/>
            </w:pPr>
          </w:p>
        </w:tc>
        <w:tc>
          <w:tcPr>
            <w:tcW w:w="7006" w:type="dxa"/>
            <w:tcMar>
              <w:top w:w="0" w:type="dxa"/>
              <w:left w:w="0" w:type="dxa"/>
              <w:bottom w:w="0" w:type="dxa"/>
              <w:right w:w="0" w:type="dxa"/>
            </w:tcMar>
            <w:vAlign w:val="center"/>
          </w:tcPr>
          <w:p w14:paraId="538909C8">
            <w:pPr>
              <w:spacing w:before="0" w:after="0"/>
              <w:jc w:val="center"/>
            </w:pPr>
            <m:oMathPara>
              <m:oMath>
                <m:r>
                  <m:rPr/>
                  <m:t>σ</m:t>
                </m:r>
                <m:r>
                  <m:rPr>
                    <m:sty m:val="p"/>
                  </m:rPr>
                  <m:t>=</m:t>
                </m:r>
                <m:rad>
                  <m:radPr>
                    <m:degHide m:val="1"/>
                  </m:radPr>
                  <m:deg/>
                  <m:e>
                    <m:f>
                      <m:fPr/>
                      <m:num>
                        <m:r>
                          <m:rPr/>
                          <m:t>1</m:t>
                        </m:r>
                      </m:num>
                      <m:den>
                        <m:r>
                          <m:rPr/>
                          <m:t>R</m:t>
                        </m:r>
                        <m:r>
                          <m:rPr>
                            <m:sty m:val="p"/>
                          </m:rPr>
                          <m:t>−</m:t>
                        </m:r>
                        <m:r>
                          <m:rPr/>
                          <m:t>1</m:t>
                        </m:r>
                      </m:den>
                    </m:f>
                    <m:nary>
                      <m:naryPr>
                        <m:chr m:val="∑"/>
                        <m:limLoc m:val="undOvr"/>
                      </m:naryPr>
                      <m:sub>
                        <m:r>
                          <m:rPr/>
                          <m:t>r</m:t>
                        </m:r>
                        <m:r>
                          <m:rPr>
                            <m:sty m:val="p"/>
                          </m:rPr>
                          <m:t>=</m:t>
                        </m:r>
                        <m:r>
                          <m:rPr/>
                          <m:t>1</m:t>
                        </m:r>
                      </m:sub>
                      <m:sup>
                        <m:r>
                          <m:rPr/>
                          <m:t>R</m:t>
                        </m:r>
                      </m:sup>
                      <m:e>
                        <m:r>
                          <m:rPr>
                            <m:sty m:val="p"/>
                          </m:rPr>
                          <m:t>(</m:t>
                        </m:r>
                      </m:e>
                    </m:nary>
                    <m:sSub>
                      <m:sSubPr/>
                      <m:e>
                        <m:r>
                          <m:rPr/>
                          <m:t>s</m:t>
                        </m:r>
                      </m:e>
                      <m:sub>
                        <m:r>
                          <m:rPr/>
                          <m:t>r</m:t>
                        </m:r>
                      </m:sub>
                    </m:sSub>
                    <m:r>
                      <m:rPr>
                        <m:sty m:val="p"/>
                      </m:rPr>
                      <m:t>−</m:t>
                    </m:r>
                    <m:r>
                      <m:rPr/>
                      <m:t>μ</m:t>
                    </m:r>
                    <m:sSup>
                      <m:sSupPr/>
                      <m:e>
                        <m:r>
                          <m:rPr>
                            <m:sty m:val="p"/>
                          </m:rPr>
                          <m:t>)</m:t>
                        </m:r>
                      </m:e>
                      <m:sup>
                        <m:r>
                          <m:rPr/>
                          <m:t>2</m:t>
                        </m:r>
                      </m:sup>
                    </m:sSup>
                  </m:e>
                </m:rad>
              </m:oMath>
            </m:oMathPara>
          </w:p>
        </w:tc>
        <w:tc>
          <w:tcPr>
            <w:tcW w:w="650" w:type="dxa"/>
            <w:tcMar>
              <w:top w:w="0" w:type="dxa"/>
              <w:left w:w="0" w:type="dxa"/>
              <w:bottom w:w="0" w:type="dxa"/>
              <w:right w:w="0" w:type="dxa"/>
            </w:tcMar>
            <w:vAlign w:val="center"/>
          </w:tcPr>
          <w:p w14:paraId="5470CDE9">
            <w:pPr>
              <w:spacing w:before="0" w:after="0"/>
              <w:jc w:val="right"/>
            </w:pPr>
            <w:bookmarkStart w:id="61" w:name="_RefEq4_40"/>
            <w:r>
              <w:t>(4-</w:t>
            </w:r>
            <w:r>
              <w:fldChar w:fldCharType="begin"/>
            </w:r>
            <w:r>
              <w:instrText xml:space="preserve"> SEQ Eq4 \* ARABIC </w:instrText>
            </w:r>
            <w:r>
              <w:fldChar w:fldCharType="separate"/>
            </w:r>
            <w:r>
              <w:t>28</w:t>
            </w:r>
            <w:r>
              <w:fldChar w:fldCharType="end"/>
            </w:r>
            <w:r>
              <w:t>)</w:t>
            </w:r>
            <w:bookmarkEnd w:id="61"/>
          </w:p>
        </w:tc>
      </w:tr>
    </w:tbl>
    <w:p w14:paraId="6303CE0D">
      <w:pPr>
        <w:ind w:firstLine="420"/>
        <w:jc w:val="both"/>
      </w:pPr>
      <w:r>
        <w:t>结果讨论以完整训练曲线、测试集统计和资源消耗为依据，失败案例再按工具选择、结构解析、参数字段、参数值、上下文和执行环节分类。</w:t>
      </w:r>
    </w:p>
    <w:p w14:paraId="56ED6E07">
      <w:pPr>
        <w:pStyle w:val="3"/>
        <w:jc w:val="left"/>
      </w:pPr>
      <w:bookmarkStart w:id="62" w:name="_Toc442727076"/>
      <w:r>
        <w:rPr>
          <w:rFonts w:ascii="黑体" w:hAnsi="黑体" w:eastAsia="黑体" w:cs="黑体"/>
          <w:b/>
          <w:color w:val="000000"/>
          <w:sz w:val="24"/>
        </w:rPr>
        <w:t>4.6 可行性分析</w:t>
      </w:r>
      <w:bookmarkEnd w:id="62"/>
    </w:p>
    <w:p w14:paraId="40E26365">
      <w:pPr>
        <w:ind w:firstLine="420"/>
        <w:jc w:val="both"/>
      </w:pPr>
      <w:r>
        <w:t>方案采用可获得的小规模同家族模型与开源工具链。冻结教师只参与前向评分，学生通过 LoRA 更新；PyTorch、Transformers、PEFT 和 vLLM[20]分别用于训练、适配与部署测量。正式实验前先以少量单轮样本检查 tokenizer、模板、状态标记、Top-K 累计质量、残余类别的概率归一化、目标数值、梯度传播和运行成本。只有这些基础检查通过，且尾部质量在实际样本中具有分析价值，才扩大训练规模；若现象不明显，则根据错误统计收缩方法范围并调整研究重点。</w:t>
      </w:r>
    </w:p>
    <w:p w14:paraId="6CC957E8">
      <w:pPr>
        <w:pStyle w:val="2"/>
      </w:pPr>
      <w:bookmarkStart w:id="63" w:name="_Toc2030613124"/>
      <w:r>
        <w:rPr>
          <w:rFonts w:ascii="黑体" w:hAnsi="黑体" w:eastAsia="黑体" w:cs="黑体"/>
          <w:b/>
          <w:color w:val="000000"/>
          <w:sz w:val="28"/>
        </w:rPr>
        <w:t>5．进度安排，预期达到的目标</w:t>
      </w:r>
      <w:bookmarkEnd w:id="63"/>
    </w:p>
    <w:p w14:paraId="4D67942D">
      <w:pPr>
        <w:pStyle w:val="3"/>
      </w:pPr>
      <w:bookmarkStart w:id="64" w:name="_Toc704656944"/>
      <w:r>
        <w:rPr>
          <w:rFonts w:ascii="黑体" w:hAnsi="黑体" w:eastAsia="黑体" w:cs="黑体"/>
          <w:b/>
          <w:color w:val="000000"/>
          <w:sz w:val="24"/>
        </w:rPr>
        <w:t>5.1 进度安排</w:t>
      </w:r>
      <w:bookmarkEnd w:id="64"/>
    </w:p>
    <w:p w14:paraId="6BE2C5CE">
      <w:pPr>
        <w:spacing w:before="0" w:after="0" w:line="360" w:lineRule="auto"/>
        <w:ind w:firstLine="420"/>
        <w:jc w:val="both"/>
      </w:pPr>
      <w:r>
        <w:rPr>
          <w:rFonts w:ascii="Times New Roman" w:hAnsi="Times New Roman" w:eastAsia="宋体"/>
          <w:sz w:val="24"/>
        </w:rPr>
        <w:t xml:space="preserve">本课题自 2026 年 9 月开题申请起，至 2027 年 5 月结题申请与答辩结束，按实际培养环节组织实施。开题申请时间为 2026 年 9 月 14 日至 9 月 30 日，中期申请预计在 2027 年 3 月，结题申请与答辩预计在 2027 年 5 月。进度安排如图 </w:t>
      </w:r>
      <w:r>
        <w:rPr>
          <w:rFonts w:ascii="Times New Roman" w:hAnsi="Times New Roman" w:eastAsia="宋体"/>
          <w:sz w:val="24"/>
        </w:rPr>
        <w:fldChar w:fldCharType="begin"/>
      </w:r>
      <w:r>
        <w:rPr>
          <w:rFonts w:ascii="Times New Roman" w:hAnsi="Times New Roman" w:eastAsia="宋体"/>
          <w:sz w:val="24"/>
        </w:rPr>
        <w:instrText xml:space="preserve"> REF _RefFigure3 \h </w:instrText>
      </w:r>
      <w:r>
        <w:rPr>
          <w:rFonts w:ascii="Times New Roman" w:hAnsi="Times New Roman" w:eastAsia="宋体"/>
          <w:sz w:val="24"/>
        </w:rPr>
        <w:fldChar w:fldCharType="separate"/>
      </w:r>
      <w:r>
        <w:rPr>
          <w:rFonts w:ascii="Times New Roman" w:hAnsi="Times New Roman" w:eastAsia="宋体"/>
          <w:sz w:val="21"/>
        </w:rPr>
        <w:t>4</w:t>
      </w:r>
      <w:r>
        <w:rPr>
          <w:rFonts w:ascii="Times New Roman" w:hAnsi="Times New Roman" w:eastAsia="宋体"/>
          <w:sz w:val="24"/>
        </w:rPr>
        <w:fldChar w:fldCharType="end"/>
      </w:r>
      <w:r>
        <w:rPr>
          <w:rFonts w:ascii="Times New Roman" w:hAnsi="Times New Roman" w:eastAsia="宋体"/>
          <w:sz w:val="24"/>
        </w:rPr>
        <w:t xml:space="preserve"> 和表 </w:t>
      </w:r>
      <w:r>
        <w:rPr>
          <w:rFonts w:ascii="Times New Roman" w:hAnsi="Times New Roman" w:eastAsia="宋体"/>
          <w:sz w:val="24"/>
        </w:rPr>
        <w:fldChar w:fldCharType="begin"/>
      </w:r>
      <w:r>
        <w:rPr>
          <w:rFonts w:ascii="Times New Roman" w:hAnsi="Times New Roman" w:eastAsia="宋体"/>
          <w:sz w:val="24"/>
        </w:rPr>
        <w:instrText xml:space="preserve"> REF _RefTable5_1 \h </w:instrText>
      </w:r>
      <w:r>
        <w:rPr>
          <w:rFonts w:ascii="Times New Roman" w:hAnsi="Times New Roman" w:eastAsia="宋体"/>
          <w:sz w:val="24"/>
        </w:rPr>
        <w:fldChar w:fldCharType="separate"/>
      </w:r>
      <w:r>
        <w:rPr>
          <w:rFonts w:ascii="Times New Roman" w:hAnsi="Times New Roman" w:eastAsia="Songti SC"/>
          <w:sz w:val="21"/>
        </w:rPr>
        <w:t>5-1</w:t>
      </w:r>
      <w:r>
        <w:rPr>
          <w:rFonts w:ascii="Times New Roman" w:hAnsi="Times New Roman" w:eastAsia="宋体"/>
          <w:sz w:val="24"/>
        </w:rPr>
        <w:fldChar w:fldCharType="end"/>
      </w:r>
      <w:r>
        <w:rPr>
          <w:rFonts w:ascii="Times New Roman" w:hAnsi="Times New Roman" w:eastAsia="宋体"/>
          <w:sz w:val="24"/>
        </w:rPr>
        <w:t xml:space="preserve"> 所示。</w:t>
      </w:r>
    </w:p>
    <w:p w14:paraId="2B480502">
      <w:pPr>
        <w:keepNext/>
        <w:spacing w:before="80" w:after="80" w:line="240" w:lineRule="auto"/>
        <w:ind w:left="0" w:right="0" w:firstLine="0"/>
        <w:jc w:val="center"/>
      </w:pPr>
      <w:r>
        <w:rPr>
          <w:rFonts w:ascii="Times New Roman" w:hAnsi="Times New Roman" w:eastAsia="Songti SC"/>
          <w:sz w:val="21"/>
        </w:rPr>
        <w:t xml:space="preserve">表 </w:t>
      </w:r>
      <w:bookmarkStart w:id="65" w:name="_RefTable5_1"/>
      <w:r>
        <w:rPr>
          <w:rFonts w:ascii="Times New Roman" w:hAnsi="Times New Roman" w:eastAsia="Songti SC"/>
          <w:sz w:val="21"/>
        </w:rPr>
        <w:t>5-</w:t>
      </w:r>
      <w:r>
        <w:rPr>
          <w:rFonts w:ascii="Times New Roman" w:hAnsi="Times New Roman" w:eastAsia="Songti SC"/>
          <w:sz w:val="21"/>
        </w:rPr>
        <w:fldChar w:fldCharType="begin"/>
      </w:r>
      <w:r>
        <w:rPr>
          <w:rFonts w:ascii="Times New Roman" w:hAnsi="Times New Roman" w:eastAsia="Songti SC"/>
          <w:sz w:val="21"/>
        </w:rPr>
        <w:instrText xml:space="preserve"> SEQ TableCh5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65"/>
      <w:r>
        <w:rPr>
          <w:rFonts w:ascii="Times New Roman" w:hAnsi="Times New Roman" w:eastAsia="Songti SC"/>
          <w:sz w:val="21"/>
        </w:rPr>
        <w:t xml:space="preserve">  研究进度安排</w:t>
      </w:r>
    </w:p>
    <w:tbl>
      <w:tblPr>
        <w:tblStyle w:val="1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25"/>
        <w:gridCol w:w="2938"/>
        <w:gridCol w:w="2759"/>
      </w:tblGrid>
      <w:tr w14:paraId="63DBB9E9">
        <w:trPr>
          <w:tblHeader/>
          <w:jc w:val="center"/>
        </w:trPr>
        <w:tc>
          <w:tcPr>
            <w:tcW w:w="4148" w:type="dxa"/>
            <w:vAlign w:val="center"/>
          </w:tcPr>
          <w:p w14:paraId="1D9D80BF">
            <w:pPr>
              <w:spacing w:before="0" w:after="0" w:line="240" w:lineRule="auto"/>
              <w:ind w:firstLine="0"/>
              <w:jc w:val="center"/>
            </w:pPr>
            <w:r>
              <w:rPr>
                <w:rFonts w:ascii="Times New Roman" w:hAnsi="Times New Roman" w:eastAsia="宋体"/>
                <w:b/>
                <w:sz w:val="17"/>
              </w:rPr>
              <w:t>阶段</w:t>
            </w:r>
          </w:p>
        </w:tc>
        <w:tc>
          <w:tcPr>
            <w:tcW w:w="4148" w:type="dxa"/>
            <w:vAlign w:val="center"/>
          </w:tcPr>
          <w:p w14:paraId="30BF555A">
            <w:pPr>
              <w:spacing w:before="0" w:after="0" w:line="240" w:lineRule="auto"/>
              <w:ind w:firstLine="0"/>
              <w:jc w:val="center"/>
            </w:pPr>
            <w:r>
              <w:rPr>
                <w:rFonts w:ascii="Times New Roman" w:hAnsi="Times New Roman" w:eastAsia="宋体"/>
                <w:b/>
                <w:sz w:val="17"/>
              </w:rPr>
              <w:t>计划内容</w:t>
            </w:r>
          </w:p>
        </w:tc>
        <w:tc>
          <w:tcPr>
            <w:tcW w:w="4148" w:type="dxa"/>
            <w:vAlign w:val="center"/>
          </w:tcPr>
          <w:p w14:paraId="127EB996">
            <w:pPr>
              <w:spacing w:before="0" w:after="0" w:line="240" w:lineRule="auto"/>
              <w:ind w:firstLine="0"/>
              <w:jc w:val="center"/>
            </w:pPr>
            <w:r>
              <w:rPr>
                <w:rFonts w:ascii="Times New Roman" w:hAnsi="Times New Roman" w:eastAsia="宋体"/>
                <w:b/>
                <w:sz w:val="17"/>
              </w:rPr>
              <w:t>预期材料</w:t>
            </w:r>
          </w:p>
        </w:tc>
      </w:tr>
      <w:tr w14:paraId="31A682BC">
        <w:trPr>
          <w:jc w:val="center"/>
        </w:trPr>
        <w:tc>
          <w:tcPr>
            <w:tcW w:w="2765" w:type="dxa"/>
            <w:vAlign w:val="center"/>
          </w:tcPr>
          <w:p w14:paraId="6C50AB11">
            <w:pPr>
              <w:spacing w:before="0" w:after="0" w:line="240" w:lineRule="auto"/>
              <w:ind w:firstLine="0"/>
              <w:jc w:val="center"/>
            </w:pPr>
            <w:r>
              <w:rPr>
                <w:rFonts w:ascii="Times New Roman" w:hAnsi="Times New Roman" w:eastAsia="宋体"/>
                <w:b w:val="0"/>
                <w:sz w:val="17"/>
              </w:rPr>
              <w:t>2026年9月14日—9月30日：开题申请与方案确认</w:t>
            </w:r>
          </w:p>
        </w:tc>
        <w:tc>
          <w:tcPr>
            <w:tcW w:w="2765" w:type="dxa"/>
            <w:vAlign w:val="center"/>
          </w:tcPr>
          <w:p w14:paraId="4BFEE2CC">
            <w:pPr>
              <w:spacing w:before="0" w:after="0" w:line="240" w:lineRule="auto"/>
              <w:ind w:firstLine="0"/>
              <w:jc w:val="center"/>
            </w:pPr>
            <w:r>
              <w:rPr>
                <w:rFonts w:ascii="Times New Roman" w:hAnsi="Times New Roman" w:eastAsia="宋体"/>
                <w:b w:val="0"/>
                <w:sz w:val="17"/>
              </w:rPr>
              <w:t>完成开题报告修改与提交；明确研究问题、模型组合、数据范围、实验变量、评价指标和复现要求。</w:t>
            </w:r>
          </w:p>
        </w:tc>
        <w:tc>
          <w:tcPr>
            <w:tcW w:w="2765" w:type="dxa"/>
            <w:vAlign w:val="center"/>
          </w:tcPr>
          <w:p w14:paraId="66F2A173">
            <w:pPr>
              <w:spacing w:before="0" w:after="0" w:line="240" w:lineRule="auto"/>
              <w:ind w:firstLine="0"/>
              <w:jc w:val="center"/>
            </w:pPr>
            <w:r>
              <w:rPr>
                <w:rFonts w:ascii="Times New Roman" w:hAnsi="Times New Roman" w:eastAsia="宋体"/>
                <w:b w:val="0"/>
                <w:sz w:val="17"/>
              </w:rPr>
              <w:t>开题报告、研究方案、文献与任务清单</w:t>
            </w:r>
          </w:p>
        </w:tc>
      </w:tr>
      <w:tr w14:paraId="61DC8D82">
        <w:trPr>
          <w:jc w:val="center"/>
        </w:trPr>
        <w:tc>
          <w:tcPr>
            <w:tcW w:w="2765" w:type="dxa"/>
            <w:vAlign w:val="center"/>
          </w:tcPr>
          <w:p w14:paraId="5572DCE0">
            <w:pPr>
              <w:spacing w:before="0" w:after="0" w:line="240" w:lineRule="auto"/>
              <w:ind w:firstLine="0"/>
              <w:jc w:val="center"/>
            </w:pPr>
            <w:r>
              <w:rPr>
                <w:rFonts w:ascii="Times New Roman" w:hAnsi="Times New Roman" w:eastAsia="宋体"/>
                <w:b w:val="0"/>
                <w:sz w:val="17"/>
              </w:rPr>
              <w:t>2026年10月—11月：资料、数据与兼容性准备</w:t>
            </w:r>
          </w:p>
        </w:tc>
        <w:tc>
          <w:tcPr>
            <w:tcW w:w="2765" w:type="dxa"/>
            <w:vAlign w:val="center"/>
          </w:tcPr>
          <w:p w14:paraId="47213C2D">
            <w:pPr>
              <w:spacing w:before="0" w:after="0" w:line="240" w:lineRule="auto"/>
              <w:ind w:firstLine="0"/>
              <w:jc w:val="center"/>
            </w:pPr>
            <w:r>
              <w:rPr>
                <w:rFonts w:ascii="Times New Roman" w:hAnsi="Times New Roman" w:eastAsia="宋体"/>
                <w:b w:val="0"/>
                <w:sz w:val="17"/>
              </w:rPr>
              <w:t>继续调研文献；筛选公开 Function Calling 数据，完成去重、划分和字段映射；审计 tokenizer、消息模板、工具 schema、特殊 token 与模型版本。</w:t>
            </w:r>
          </w:p>
        </w:tc>
        <w:tc>
          <w:tcPr>
            <w:tcW w:w="2765" w:type="dxa"/>
            <w:vAlign w:val="center"/>
          </w:tcPr>
          <w:p w14:paraId="0E2E969C">
            <w:pPr>
              <w:spacing w:before="0" w:after="0" w:line="240" w:lineRule="auto"/>
              <w:ind w:firstLine="0"/>
              <w:jc w:val="center"/>
            </w:pPr>
            <w:r>
              <w:rPr>
                <w:rFonts w:ascii="Times New Roman" w:hAnsi="Times New Roman" w:eastAsia="宋体"/>
                <w:b w:val="0"/>
                <w:sz w:val="17"/>
              </w:rPr>
              <w:t>文献记录、数据清单、审计报告、统一数据格式</w:t>
            </w:r>
          </w:p>
        </w:tc>
      </w:tr>
      <w:tr w14:paraId="6B04A86C">
        <w:trPr>
          <w:jc w:val="center"/>
        </w:trPr>
        <w:tc>
          <w:tcPr>
            <w:tcW w:w="2765" w:type="dxa"/>
            <w:vAlign w:val="center"/>
          </w:tcPr>
          <w:p w14:paraId="3D3265E4">
            <w:pPr>
              <w:spacing w:before="0" w:after="0" w:line="240" w:lineRule="auto"/>
              <w:ind w:firstLine="0"/>
              <w:jc w:val="center"/>
            </w:pPr>
            <w:r>
              <w:rPr>
                <w:rFonts w:ascii="Times New Roman" w:hAnsi="Times New Roman" w:eastAsia="宋体"/>
                <w:b w:val="0"/>
                <w:sz w:val="17"/>
              </w:rPr>
              <w:t>2026年12月—2027年1月：训练与推理管线实现</w:t>
            </w:r>
          </w:p>
        </w:tc>
        <w:tc>
          <w:tcPr>
            <w:tcW w:w="2765" w:type="dxa"/>
            <w:vAlign w:val="center"/>
          </w:tcPr>
          <w:p w14:paraId="7B0979CD">
            <w:pPr>
              <w:spacing w:before="0" w:after="0" w:line="240" w:lineRule="auto"/>
              <w:ind w:firstLine="0"/>
              <w:jc w:val="center"/>
            </w:pPr>
            <w:r>
              <w:rPr>
                <w:rFonts w:ascii="Times New Roman" w:hAnsi="Times New Roman" w:eastAsia="宋体"/>
                <w:b w:val="0"/>
                <w:sz w:val="17"/>
              </w:rPr>
              <w:t>实现 LoRA 训练、学生 rollout、教师评分、全词表／Top-K／K1 接口和统一评测脚本；通过小规模试运行确定上下文长度、批量大小与数值精度。</w:t>
            </w:r>
          </w:p>
        </w:tc>
        <w:tc>
          <w:tcPr>
            <w:tcW w:w="2765" w:type="dxa"/>
            <w:vAlign w:val="center"/>
          </w:tcPr>
          <w:p w14:paraId="00703432">
            <w:pPr>
              <w:spacing w:before="0" w:after="0" w:line="240" w:lineRule="auto"/>
              <w:ind w:firstLine="0"/>
              <w:jc w:val="center"/>
            </w:pPr>
            <w:r>
              <w:rPr>
                <w:rFonts w:ascii="Times New Roman" w:hAnsi="Times New Roman" w:eastAsia="宋体"/>
                <w:b w:val="0"/>
                <w:sz w:val="17"/>
              </w:rPr>
              <w:t>可运行代码、接口测试、试运行记录与固定配置</w:t>
            </w:r>
          </w:p>
        </w:tc>
      </w:tr>
      <w:tr w14:paraId="134EE532">
        <w:trPr>
          <w:jc w:val="center"/>
        </w:trPr>
        <w:tc>
          <w:tcPr>
            <w:tcW w:w="2765" w:type="dxa"/>
            <w:vAlign w:val="center"/>
          </w:tcPr>
          <w:p w14:paraId="631AEB8B">
            <w:pPr>
              <w:spacing w:before="0" w:after="0" w:line="240" w:lineRule="auto"/>
              <w:ind w:firstLine="0"/>
              <w:jc w:val="center"/>
            </w:pPr>
            <w:r>
              <w:rPr>
                <w:rFonts w:ascii="Times New Roman" w:hAnsi="Times New Roman" w:eastAsia="宋体"/>
                <w:b w:val="0"/>
                <w:sz w:val="17"/>
              </w:rPr>
              <w:t>2027年2月—3月：正式实验与中期申请</w:t>
            </w:r>
          </w:p>
        </w:tc>
        <w:tc>
          <w:tcPr>
            <w:tcW w:w="2765" w:type="dxa"/>
            <w:vAlign w:val="center"/>
          </w:tcPr>
          <w:p w14:paraId="3E9DB321">
            <w:pPr>
              <w:spacing w:before="0" w:after="0" w:line="240" w:lineRule="auto"/>
              <w:ind w:firstLine="0"/>
              <w:jc w:val="center"/>
            </w:pPr>
            <w:r>
              <w:rPr>
                <w:rFonts w:ascii="Times New Roman" w:hAnsi="Times New Roman" w:eastAsia="宋体"/>
                <w:b w:val="0"/>
                <w:sz w:val="17"/>
              </w:rPr>
              <w:t>在统一数据、训练预算和生成协议下开展主要对照实验；形成阶段性结果和资源记录，并于 2027 年 3 月提交中期申请。</w:t>
            </w:r>
          </w:p>
        </w:tc>
        <w:tc>
          <w:tcPr>
            <w:tcW w:w="2765" w:type="dxa"/>
            <w:vAlign w:val="center"/>
          </w:tcPr>
          <w:p w14:paraId="3DAA4D48">
            <w:pPr>
              <w:spacing w:before="0" w:after="0" w:line="240" w:lineRule="auto"/>
              <w:ind w:firstLine="0"/>
              <w:jc w:val="center"/>
            </w:pPr>
            <w:r>
              <w:rPr>
                <w:rFonts w:ascii="Times New Roman" w:hAnsi="Times New Roman" w:eastAsia="宋体"/>
                <w:b w:val="0"/>
                <w:sz w:val="17"/>
              </w:rPr>
              <w:t>训练检查点、配置与日志、阶段性指标、中期材料</w:t>
            </w:r>
          </w:p>
        </w:tc>
      </w:tr>
      <w:tr w14:paraId="7D609C3A">
        <w:trPr>
          <w:jc w:val="center"/>
        </w:trPr>
        <w:tc>
          <w:tcPr>
            <w:tcW w:w="2765" w:type="dxa"/>
            <w:vAlign w:val="center"/>
          </w:tcPr>
          <w:p w14:paraId="2821F67D">
            <w:pPr>
              <w:spacing w:before="0" w:after="0" w:line="240" w:lineRule="auto"/>
              <w:ind w:firstLine="0"/>
              <w:jc w:val="center"/>
            </w:pPr>
            <w:r>
              <w:rPr>
                <w:rFonts w:ascii="Times New Roman" w:hAnsi="Times New Roman" w:eastAsia="宋体"/>
                <w:b w:val="0"/>
                <w:sz w:val="17"/>
              </w:rPr>
              <w:t>2027年3月—4月：补充实验、部署评测与统计分析</w:t>
            </w:r>
          </w:p>
        </w:tc>
        <w:tc>
          <w:tcPr>
            <w:tcW w:w="2765" w:type="dxa"/>
            <w:vAlign w:val="center"/>
          </w:tcPr>
          <w:p w14:paraId="462082D6">
            <w:pPr>
              <w:spacing w:before="0" w:after="0" w:line="240" w:lineRule="auto"/>
              <w:ind w:firstLine="0"/>
              <w:jc w:val="center"/>
            </w:pPr>
            <w:r>
              <w:rPr>
                <w:rFonts w:ascii="Times New Roman" w:hAnsi="Times New Roman" w:eastAsia="宋体"/>
                <w:b w:val="0"/>
                <w:sz w:val="17"/>
              </w:rPr>
              <w:t>完成主要组合、必要的重复实验与消融实验；搭建 Function Calling／Agent 测试环境，统计任务正确性、训练稳定性、显存、吞吐、延迟和训练耗时。</w:t>
            </w:r>
          </w:p>
        </w:tc>
        <w:tc>
          <w:tcPr>
            <w:tcW w:w="2765" w:type="dxa"/>
            <w:vAlign w:val="center"/>
          </w:tcPr>
          <w:p w14:paraId="240C3C05">
            <w:pPr>
              <w:spacing w:before="0" w:after="0" w:line="240" w:lineRule="auto"/>
              <w:ind w:firstLine="0"/>
              <w:jc w:val="center"/>
            </w:pPr>
            <w:r>
              <w:rPr>
                <w:rFonts w:ascii="Times New Roman" w:hAnsi="Times New Roman" w:eastAsia="宋体"/>
                <w:b w:val="0"/>
                <w:sz w:val="17"/>
              </w:rPr>
              <w:t>原始结果、统计表、误差分类、对比图与复现记录</w:t>
            </w:r>
          </w:p>
        </w:tc>
      </w:tr>
      <w:tr w14:paraId="00B1C773">
        <w:trPr>
          <w:jc w:val="center"/>
        </w:trPr>
        <w:tc>
          <w:tcPr>
            <w:tcW w:w="2765" w:type="dxa"/>
            <w:vAlign w:val="center"/>
          </w:tcPr>
          <w:p w14:paraId="26199C17">
            <w:pPr>
              <w:spacing w:before="0" w:after="0" w:line="240" w:lineRule="auto"/>
              <w:ind w:firstLine="0"/>
              <w:jc w:val="center"/>
            </w:pPr>
            <w:r>
              <w:rPr>
                <w:rFonts w:ascii="Times New Roman" w:hAnsi="Times New Roman" w:eastAsia="宋体"/>
                <w:b w:val="0"/>
                <w:sz w:val="17"/>
              </w:rPr>
              <w:t>2027年4月—5月：论文撰写、结题与答辩</w:t>
            </w:r>
          </w:p>
        </w:tc>
        <w:tc>
          <w:tcPr>
            <w:tcW w:w="2765" w:type="dxa"/>
            <w:vAlign w:val="center"/>
          </w:tcPr>
          <w:p w14:paraId="6C687A60">
            <w:pPr>
              <w:spacing w:before="0" w:after="0" w:line="240" w:lineRule="auto"/>
              <w:ind w:firstLine="0"/>
              <w:jc w:val="center"/>
            </w:pPr>
            <w:r>
              <w:rPr>
                <w:rFonts w:ascii="Times New Roman" w:hAnsi="Times New Roman" w:eastAsia="宋体"/>
                <w:b w:val="0"/>
                <w:sz w:val="17"/>
              </w:rPr>
              <w:t>完成结果分析、资源—性能权衡和失败案例讨论；整理复现材料，撰写并修改毕业论文；预计于 2027 年 5 月完成结题申请与答辩。</w:t>
            </w:r>
          </w:p>
        </w:tc>
        <w:tc>
          <w:tcPr>
            <w:tcW w:w="2765" w:type="dxa"/>
            <w:vAlign w:val="center"/>
          </w:tcPr>
          <w:p w14:paraId="5D013A9B">
            <w:pPr>
              <w:spacing w:before="0" w:after="0" w:line="240" w:lineRule="auto"/>
              <w:ind w:firstLine="0"/>
              <w:jc w:val="center"/>
            </w:pPr>
            <w:r>
              <w:rPr>
                <w:rFonts w:ascii="Times New Roman" w:hAnsi="Times New Roman" w:eastAsia="宋体"/>
                <w:b w:val="0"/>
                <w:sz w:val="17"/>
              </w:rPr>
              <w:t>论文定稿、复现说明、结题材料与答辩材料</w:t>
            </w:r>
          </w:p>
        </w:tc>
      </w:tr>
    </w:tbl>
    <w:p w14:paraId="5C44C5F3">
      <w:pPr>
        <w:spacing w:after="160"/>
        <w:ind w:firstLine="0"/>
        <w:jc w:val="center"/>
      </w:pPr>
      <w:r>
        <w:drawing>
          <wp:inline distT="0" distB="0" distL="114300" distR="114300">
            <wp:extent cx="5806440" cy="28797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5806440" cy="2879994"/>
                    </a:xfrm>
                    <a:prstGeom prst="rect">
                      <a:avLst/>
                    </a:prstGeom>
                  </pic:spPr>
                </pic:pic>
              </a:graphicData>
            </a:graphic>
          </wp:inline>
        </w:drawing>
      </w:r>
    </w:p>
    <w:p w14:paraId="7EFD41D3">
      <w:pPr>
        <w:spacing w:before="0" w:after="120" w:line="240" w:lineRule="auto"/>
        <w:ind w:firstLine="0"/>
        <w:jc w:val="center"/>
      </w:pPr>
      <w:r>
        <w:rPr>
          <w:rFonts w:ascii="Times New Roman" w:hAnsi="Times New Roman" w:eastAsia="宋体"/>
          <w:sz w:val="21"/>
        </w:rPr>
        <w:t xml:space="preserve">图 </w:t>
      </w:r>
      <w:bookmarkStart w:id="66" w:name="_RefFigure3"/>
      <w:r>
        <w:rPr>
          <w:rFonts w:ascii="Times New Roman" w:hAnsi="Times New Roman" w:eastAsia="宋体"/>
          <w:sz w:val="21"/>
        </w:rPr>
        <w:fldChar w:fldCharType="begin"/>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4</w:t>
      </w:r>
      <w:r>
        <w:rPr>
          <w:rFonts w:ascii="Times New Roman" w:hAnsi="Times New Roman" w:eastAsia="宋体"/>
          <w:sz w:val="21"/>
        </w:rPr>
        <w:fldChar w:fldCharType="end"/>
      </w:r>
      <w:bookmarkEnd w:id="66"/>
      <w:r>
        <w:rPr>
          <w:rFonts w:ascii="Times New Roman" w:hAnsi="Times New Roman" w:eastAsia="宋体"/>
          <w:sz w:val="21"/>
        </w:rPr>
        <w:t xml:space="preserve">  项目总体进度安排</w:t>
      </w:r>
    </w:p>
    <w:p w14:paraId="13935738">
      <w:pPr>
        <w:ind w:firstLine="420"/>
        <w:jc w:val="both"/>
      </w:pPr>
      <w:r>
        <w:t>整个研究周期为 2026 年 9 月至 2027 年 5 月。2026 年内重点完成开题、数据准备、兼容性审计和训练管线实现；2027 年 2 月起开展正式实验，并在 3 月中期申请前形成阶段性结果；随后完成补充实验、部署评测与统计分析，4—5 月集中完成论文、结题和答辩材料。</w:t>
      </w:r>
    </w:p>
    <w:p w14:paraId="2E4BC355">
      <w:pPr>
        <w:pStyle w:val="3"/>
      </w:pPr>
      <w:bookmarkStart w:id="67" w:name="_Toc1944428250"/>
      <w:r>
        <w:rPr>
          <w:rFonts w:ascii="黑体" w:hAnsi="黑体" w:eastAsia="黑体" w:cs="黑体"/>
          <w:b/>
          <w:color w:val="000000"/>
          <w:sz w:val="24"/>
        </w:rPr>
        <w:t>5.2 预期达到的目标</w:t>
      </w:r>
      <w:bookmarkEnd w:id="67"/>
    </w:p>
    <w:p w14:paraId="5C45F9E1">
      <w:pPr>
        <w:pStyle w:val="17"/>
        <w:ind w:firstLine="420"/>
        <w:jc w:val="both"/>
      </w:pPr>
      <w:r>
        <w:t xml:space="preserve">1. 建立以 Qwen3-0.6B 为学生、冻结的 Qwen3-4B 为教师的单轮 Function Calling 在线策略蒸馏流程，形成可复现的学生轨迹、位置标注与分层错误记录。</w:t>
      </w:r>
    </w:p>
    <w:p w14:paraId="661280AE">
      <w:pPr>
        <w:pStyle w:val="17"/>
        <w:ind w:firstLine="420"/>
        <w:jc w:val="both"/>
      </w:pPr>
      <w:r>
        <w:t xml:space="preserve">2. 量化常规 Top-K 的尾部总量损失、决策 token 漏选和梯度误差，完成与完整词表目标及已有尾部类别方法的受控对照。</w:t>
      </w:r>
    </w:p>
    <w:p w14:paraId="4D24F9B5">
      <w:pPr>
        <w:pStyle w:val="17"/>
        <w:ind w:firstLine="420"/>
        <w:jc w:val="both"/>
      </w:pPr>
      <w:r>
        <w:t xml:space="preserve">3. 实现并验证决策感知的尾部保真蒸馏候选方案，在相同反馈预算下比较固定 K、质量阈值 K 和组件消融，报告函数调用结果、训练稳定性、教师查询与资源成本。</w:t>
      </w:r>
    </w:p>
    <w:p w14:paraId="444409D5">
      <w:pPr>
        <w:pStyle w:val="17"/>
        <w:ind w:firstLine="420"/>
        <w:jc w:val="both"/>
      </w:pPr>
      <w:r>
        <w:t>4. 同时记录损失、梯度、熵、残余概率质量、反馈字节数、教师前向时间、训练显存和任务表现，分析效果与资源开销之间的关系。</w:t>
      </w:r>
    </w:p>
    <w:p w14:paraId="1F6068D2">
      <w:pPr>
        <w:pStyle w:val="17"/>
        <w:ind w:firstLine="420"/>
        <w:jc w:val="both"/>
      </w:pPr>
      <w:r>
        <w:t>5. 通过 vLLM 或等效的可复现测试程序评估最终学生模型，报告适用边界与失败案例，不把尚未运行的对比写成性能结论。</w:t>
      </w:r>
    </w:p>
    <w:p w14:paraId="34BA0ABE">
      <w:pPr>
        <w:pStyle w:val="17"/>
        <w:ind w:firstLine="420"/>
        <w:jc w:val="both"/>
      </w:pPr>
      <w:r>
        <w:t>6. 完成项目文档、实验记录、毕业论文和答辩材料。</w:t>
      </w:r>
    </w:p>
    <w:p w14:paraId="11B7E0CE">
      <w:pPr>
        <w:ind w:firstLine="420"/>
        <w:jc w:val="both"/>
      </w:pPr>
      <w:r>
        <w:t>预期形成一套可复现的单轮工具调用 OPD 流程、一种待实验检验的尾部质量保留目标及其监督粒度选择策略，并提供完整的基线、消融、成本统计和失败案例。最终论文将以实际结果判断方法是否有效；即使未取得性能优势，也需明确其原因和适用条件。</w:t>
      </w:r>
    </w:p>
    <w:p w14:paraId="629A1AD4">
      <w:pPr>
        <w:pStyle w:val="2"/>
      </w:pPr>
      <w:bookmarkStart w:id="68" w:name="_Toc1746941351"/>
      <w:r>
        <w:rPr>
          <w:rFonts w:ascii="黑体" w:hAnsi="黑体" w:eastAsia="黑体" w:cs="黑体"/>
          <w:b/>
          <w:color w:val="000000"/>
          <w:sz w:val="28"/>
        </w:rPr>
        <w:t>6．课题已具备和所需的条件、经费</w:t>
      </w:r>
      <w:bookmarkEnd w:id="68"/>
    </w:p>
    <w:p w14:paraId="15508BCB">
      <w:pPr>
        <w:pStyle w:val="3"/>
      </w:pPr>
      <w:bookmarkStart w:id="69" w:name="_Toc446864473"/>
      <w:r>
        <w:rPr>
          <w:rFonts w:ascii="黑体" w:hAnsi="黑体" w:eastAsia="黑体" w:cs="黑体"/>
          <w:b/>
          <w:color w:val="000000"/>
          <w:sz w:val="24"/>
        </w:rPr>
        <w:t>6.1 已具备条件</w:t>
      </w:r>
      <w:bookmarkEnd w:id="69"/>
    </w:p>
    <w:p w14:paraId="27E56054">
      <w:pPr>
        <w:ind w:firstLine="420"/>
        <w:jc w:val="both"/>
      </w:pPr>
      <w:r>
        <w:t>目前已经明确研究方向、模型组合、LoRA 后训练路线和 Function Calling 应用场景，并完成相关文献与模型资料调研。PyTorch、Transformers、PEFT、Datasets 和 vLLM 等开源工具可支持后续的数据处理、模型训练与部署评测。</w:t>
      </w:r>
    </w:p>
    <w:p w14:paraId="649F9E8B">
      <w:pPr>
        <w:pStyle w:val="3"/>
      </w:pPr>
      <w:bookmarkStart w:id="70" w:name="_Toc700884152"/>
      <w:r>
        <w:rPr>
          <w:rFonts w:ascii="黑体" w:hAnsi="黑体" w:eastAsia="黑体" w:cs="黑体"/>
          <w:b/>
          <w:color w:val="000000"/>
          <w:sz w:val="24"/>
        </w:rPr>
        <w:t>6.2 所需条件</w:t>
      </w:r>
      <w:bookmarkEnd w:id="70"/>
    </w:p>
    <w:p w14:paraId="246A73AD">
      <w:pPr>
        <w:ind w:firstLine="420"/>
        <w:jc w:val="both"/>
      </w:pPr>
      <w:r>
        <w:t>软件环境包括 Python、PyTorch、Transformers、PEFT、Datasets 和 vLLM；硬件需要支持 Qwen3-4B 教师推理、Qwen3-0.6B 学生 rollout 与 LoRA 更新。实验将依据可用显存设置序列长度、批量大小、梯度累积、混合精度和教师输出缓存。</w:t>
      </w:r>
    </w:p>
    <w:p w14:paraId="56F2417D">
      <w:pPr>
        <w:pStyle w:val="3"/>
      </w:pPr>
      <w:bookmarkStart w:id="71" w:name="_Toc812138869"/>
      <w:r>
        <w:rPr>
          <w:rFonts w:ascii="黑体" w:hAnsi="黑体" w:eastAsia="黑体" w:cs="黑体"/>
          <w:b/>
          <w:color w:val="000000"/>
          <w:sz w:val="24"/>
        </w:rPr>
        <w:t>6.3 经费</w:t>
      </w:r>
      <w:bookmarkEnd w:id="71"/>
    </w:p>
    <w:p w14:paraId="31301070">
      <w:pPr>
        <w:spacing w:before="0" w:after="0" w:line="360" w:lineRule="auto"/>
        <w:ind w:firstLine="420"/>
        <w:jc w:val="both"/>
      </w:pPr>
      <w:r>
        <w:rPr>
          <w:rFonts w:ascii="Times New Roman" w:hAnsi="Times New Roman" w:eastAsia="宋体"/>
          <w:sz w:val="24"/>
        </w:rPr>
        <w:t>经费主要用于租赁 GPU 算力，支持 Qwen3-4B 教师在线评分、Qwen3-0.6B 学生 rollout、LoRA 训练，以及多组对照与必要的重复实验。预算按计划上限编制，实际支出将依据 GPU 实例类型、有效运行时长和存储用量据实结算。</w:t>
      </w:r>
    </w:p>
    <w:p w14:paraId="190CF806">
      <w:pPr>
        <w:spacing w:before="0" w:after="0" w:line="360" w:lineRule="auto"/>
        <w:ind w:firstLine="420"/>
        <w:jc w:val="both"/>
        <w:rPr>
          <w:rFonts w:ascii="Times New Roman" w:hAnsi="Times New Roman" w:eastAsia="宋体"/>
          <w:sz w:val="24"/>
        </w:rPr>
      </w:pPr>
      <w:r>
        <w:rPr>
          <w:rFonts w:ascii="Times New Roman" w:hAnsi="Times New Roman" w:eastAsia="宋体"/>
          <w:sz w:val="24"/>
        </w:rPr>
        <w:t>为避免无效支出，正式训练前先在小规模数据上完成 tokenizer、模板、schema 和损失实现审计。实验统一记录 GPU 型号、计费时长、失败重跑原因和有效训练时长，以便把资源消耗与性能收益对应起来。</w:t>
      </w:r>
    </w:p>
    <w:p w14:paraId="646AF9F9">
      <w:pPr>
        <w:keepNext/>
        <w:spacing w:before="80" w:after="80" w:line="240" w:lineRule="auto"/>
        <w:ind w:left="0" w:right="0" w:firstLine="0"/>
        <w:jc w:val="center"/>
      </w:pPr>
      <w:r>
        <w:rPr>
          <w:rFonts w:ascii="Times New Roman" w:hAnsi="Times New Roman" w:eastAsia="Songti SC"/>
          <w:sz w:val="21"/>
        </w:rPr>
        <w:t xml:space="preserve">表 </w:t>
      </w:r>
      <w:bookmarkStart w:id="72" w:name="_RefTable6_1"/>
      <w:r>
        <w:rPr>
          <w:rFonts w:ascii="Times New Roman" w:hAnsi="Times New Roman" w:eastAsia="Songti SC"/>
          <w:sz w:val="21"/>
        </w:rPr>
        <w:t>6-</w:t>
      </w:r>
      <w:r>
        <w:rPr>
          <w:rFonts w:ascii="Times New Roman" w:hAnsi="Times New Roman" w:eastAsia="Songti SC"/>
          <w:sz w:val="21"/>
        </w:rPr>
        <w:fldChar w:fldCharType="begin"/>
      </w:r>
      <w:r>
        <w:rPr>
          <w:rFonts w:ascii="Times New Roman" w:hAnsi="Times New Roman" w:eastAsia="Songti SC"/>
          <w:sz w:val="21"/>
        </w:rPr>
        <w:instrText xml:space="preserve"> SEQ TableCh6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72"/>
      <w:r>
        <w:rPr>
          <w:rFonts w:ascii="Times New Roman" w:hAnsi="Times New Roman" w:eastAsia="Songti SC"/>
          <w:sz w:val="21"/>
        </w:rPr>
        <w:t xml:space="preserve">  经费预算</w:t>
      </w:r>
    </w:p>
    <w:tbl>
      <w:tblPr>
        <w:tblStyle w:val="1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76"/>
        <w:gridCol w:w="2076"/>
        <w:gridCol w:w="2076"/>
        <w:gridCol w:w="2076"/>
      </w:tblGrid>
      <w:tr w14:paraId="0C2DD1FB">
        <w:trPr>
          <w:jc w:val="center"/>
        </w:trPr>
        <w:tc>
          <w:tcPr>
            <w:tcW w:w="2076" w:type="dxa"/>
            <w:vAlign w:val="center"/>
          </w:tcPr>
          <w:p w14:paraId="3C121689">
            <w:pPr>
              <w:spacing w:before="0" w:after="0" w:line="240" w:lineRule="auto"/>
              <w:ind w:firstLine="0"/>
              <w:jc w:val="center"/>
            </w:pPr>
            <w:r>
              <w:rPr>
                <w:rFonts w:ascii="Times New Roman" w:hAnsi="Times New Roman" w:eastAsia="宋体"/>
                <w:b/>
                <w:sz w:val="17"/>
              </w:rPr>
              <w:t>经费项目</w:t>
            </w:r>
          </w:p>
        </w:tc>
        <w:tc>
          <w:tcPr>
            <w:tcW w:w="2076" w:type="dxa"/>
            <w:vAlign w:val="center"/>
          </w:tcPr>
          <w:p w14:paraId="504374F8">
            <w:pPr>
              <w:spacing w:before="0" w:after="0" w:line="240" w:lineRule="auto"/>
              <w:ind w:firstLine="0"/>
              <w:jc w:val="center"/>
            </w:pPr>
            <w:r>
              <w:rPr>
                <w:rFonts w:ascii="Times New Roman" w:hAnsi="Times New Roman" w:eastAsia="宋体"/>
                <w:b/>
                <w:sz w:val="17"/>
              </w:rPr>
              <w:t>预算金额（元）</w:t>
            </w:r>
          </w:p>
        </w:tc>
        <w:tc>
          <w:tcPr>
            <w:tcW w:w="2076" w:type="dxa"/>
            <w:vAlign w:val="center"/>
          </w:tcPr>
          <w:p w14:paraId="7EA34E55">
            <w:pPr>
              <w:spacing w:before="0" w:after="0" w:line="240" w:lineRule="auto"/>
              <w:ind w:firstLine="0"/>
              <w:jc w:val="center"/>
            </w:pPr>
            <w:r>
              <w:rPr>
                <w:rFonts w:ascii="Times New Roman" w:hAnsi="Times New Roman" w:eastAsia="宋体"/>
                <w:b/>
                <w:sz w:val="17"/>
              </w:rPr>
              <w:t>主要用途</w:t>
            </w:r>
          </w:p>
        </w:tc>
        <w:tc>
          <w:tcPr>
            <w:tcW w:w="2076" w:type="dxa"/>
            <w:vAlign w:val="center"/>
          </w:tcPr>
          <w:p w14:paraId="51138F93">
            <w:pPr>
              <w:spacing w:before="0" w:after="0" w:line="240" w:lineRule="auto"/>
              <w:ind w:firstLine="0"/>
              <w:jc w:val="center"/>
            </w:pPr>
            <w:r>
              <w:rPr>
                <w:rFonts w:ascii="Times New Roman" w:hAnsi="Times New Roman" w:eastAsia="宋体"/>
                <w:b/>
                <w:sz w:val="17"/>
              </w:rPr>
              <w:t>控制方式</w:t>
            </w:r>
          </w:p>
        </w:tc>
      </w:tr>
      <w:tr w14:paraId="4EE61648">
        <w:trPr>
          <w:jc w:val="center"/>
        </w:trPr>
        <w:tc>
          <w:tcPr>
            <w:tcW w:w="2076" w:type="dxa"/>
            <w:vAlign w:val="center"/>
          </w:tcPr>
          <w:p w14:paraId="749F58B2">
            <w:pPr>
              <w:spacing w:before="0" w:after="0" w:line="240" w:lineRule="auto"/>
              <w:ind w:firstLine="0"/>
              <w:jc w:val="center"/>
            </w:pPr>
            <w:r>
              <w:rPr>
                <w:rFonts w:ascii="Times New Roman" w:hAnsi="Times New Roman" w:eastAsia="宋体"/>
                <w:b w:val="0"/>
                <w:sz w:val="17"/>
              </w:rPr>
              <w:t>GPU 算力租赁</w:t>
            </w:r>
          </w:p>
        </w:tc>
        <w:tc>
          <w:tcPr>
            <w:tcW w:w="2076" w:type="dxa"/>
            <w:vAlign w:val="center"/>
          </w:tcPr>
          <w:p w14:paraId="4FE87205">
            <w:pPr>
              <w:spacing w:before="0" w:after="0" w:line="240" w:lineRule="auto"/>
              <w:ind w:firstLine="0"/>
              <w:jc w:val="center"/>
              <w:rPr>
                <w:rFonts w:hint="default" w:eastAsia="宋体"/>
                <w:lang w:val="en-US" w:eastAsia="zh-CN"/>
              </w:rPr>
            </w:pPr>
            <w:r>
              <w:rPr>
                <w:rFonts w:hint="eastAsia"/>
                <w:b w:val="0"/>
                <w:sz w:val="17"/>
                <w:lang w:eastAsia="zh-CN"/>
              </w:rPr>
              <w:t>～</w:t>
            </w:r>
            <w:r>
              <w:rPr>
                <w:rFonts w:hint="eastAsia"/>
                <w:b w:val="0"/>
                <w:sz w:val="17"/>
                <w:lang w:val="en-US" w:eastAsia="zh-CN"/>
              </w:rPr>
              <w:t>1000</w:t>
            </w:r>
          </w:p>
        </w:tc>
        <w:tc>
          <w:tcPr>
            <w:tcW w:w="2076" w:type="dxa"/>
            <w:vAlign w:val="center"/>
          </w:tcPr>
          <w:p w14:paraId="5D512F11">
            <w:pPr>
              <w:spacing w:before="0" w:after="0" w:line="240" w:lineRule="auto"/>
              <w:ind w:firstLine="0"/>
              <w:jc w:val="center"/>
              <w:rPr>
                <w:rFonts w:hint="default" w:eastAsia="宋体"/>
                <w:lang w:val="en-US" w:eastAsia="zh-CN"/>
              </w:rPr>
            </w:pPr>
            <w:r>
              <w:rPr>
                <w:rFonts w:ascii="Times New Roman" w:hAnsi="Times New Roman" w:eastAsia="宋体"/>
                <w:b w:val="0"/>
                <w:sz w:val="17"/>
              </w:rPr>
              <w:t>教师在线推理、学生 rollout、LoRA 训练、多组对照和必要的重复实验；计划使用 NVIDIA GeForce RTX 5090 32 GB</w:t>
            </w:r>
          </w:p>
        </w:tc>
        <w:tc>
          <w:tcPr>
            <w:tcW w:w="2076" w:type="dxa"/>
            <w:vAlign w:val="center"/>
          </w:tcPr>
          <w:p w14:paraId="0925485A">
            <w:pPr>
              <w:spacing w:before="0" w:after="0" w:line="240" w:lineRule="auto"/>
              <w:ind w:firstLine="0"/>
              <w:jc w:val="center"/>
              <w:rPr>
                <w:rFonts w:hint="default" w:eastAsia="宋体"/>
                <w:lang w:val="en-US" w:eastAsia="zh-CN"/>
              </w:rPr>
            </w:pPr>
            <w:r>
              <w:rPr>
                <w:rFonts w:ascii="Times New Roman" w:hAnsi="Times New Roman" w:eastAsia="宋体"/>
                <w:b w:val="0"/>
                <w:sz w:val="17"/>
              </w:rPr>
              <w:t>按小时计费，预计费率为 8 元／小时</w:t>
            </w:r>
          </w:p>
        </w:tc>
      </w:tr>
      <w:tr w14:paraId="525F4864">
        <w:trPr>
          <w:jc w:val="center"/>
        </w:trPr>
        <w:tc>
          <w:tcPr>
            <w:tcW w:w="2076" w:type="dxa"/>
            <w:vAlign w:val="center"/>
          </w:tcPr>
          <w:p w14:paraId="302DE3CF">
            <w:pPr>
              <w:spacing w:before="0" w:after="0" w:line="240" w:lineRule="auto"/>
              <w:ind w:firstLine="0"/>
              <w:jc w:val="center"/>
            </w:pPr>
            <w:r>
              <w:rPr>
                <w:rFonts w:ascii="Times New Roman" w:hAnsi="Times New Roman" w:eastAsia="宋体"/>
                <w:b w:val="0"/>
                <w:sz w:val="17"/>
              </w:rPr>
              <w:t>合计</w:t>
            </w:r>
          </w:p>
        </w:tc>
        <w:tc>
          <w:tcPr>
            <w:tcW w:w="2076" w:type="dxa"/>
            <w:vAlign w:val="center"/>
          </w:tcPr>
          <w:p w14:paraId="4A52070C">
            <w:pPr>
              <w:spacing w:before="0" w:after="0" w:line="240" w:lineRule="auto"/>
              <w:ind w:firstLine="0"/>
              <w:jc w:val="center"/>
              <w:rPr>
                <w:rFonts w:hint="default" w:eastAsia="宋体"/>
                <w:lang w:val="en-US" w:eastAsia="zh-CN"/>
              </w:rPr>
            </w:pPr>
            <w:r>
              <w:rPr>
                <w:rFonts w:hint="eastAsia"/>
                <w:b w:val="0"/>
                <w:sz w:val="17"/>
                <w:lang w:val="en-US" w:eastAsia="zh-CN"/>
              </w:rPr>
              <w:t>～</w:t>
            </w:r>
            <w:r>
              <w:rPr>
                <w:rFonts w:hint="default"/>
                <w:b w:val="0"/>
                <w:sz w:val="17"/>
                <w:lang w:val="en-US" w:eastAsia="zh-CN"/>
              </w:rPr>
              <w:t>1000</w:t>
            </w:r>
          </w:p>
        </w:tc>
        <w:tc>
          <w:tcPr>
            <w:tcW w:w="2076" w:type="dxa"/>
            <w:vAlign w:val="center"/>
          </w:tcPr>
          <w:p w14:paraId="3475160D">
            <w:pPr>
              <w:spacing w:before="0" w:after="0" w:line="240" w:lineRule="auto"/>
              <w:ind w:firstLine="0"/>
              <w:jc w:val="center"/>
              <w:rPr>
                <w:rFonts w:hint="default" w:eastAsia="宋体"/>
                <w:lang w:val="en-US" w:eastAsia="zh-CN"/>
              </w:rPr>
            </w:pPr>
            <w:r>
              <w:rPr>
                <w:rFonts w:hint="default"/>
                <w:lang w:val="en-US" w:eastAsia="zh-CN"/>
              </w:rPr>
              <w:t>—</w:t>
            </w:r>
          </w:p>
        </w:tc>
        <w:tc>
          <w:tcPr>
            <w:tcW w:w="2076" w:type="dxa"/>
            <w:vAlign w:val="center"/>
          </w:tcPr>
          <w:p w14:paraId="4887EE35">
            <w:pPr>
              <w:spacing w:before="0" w:after="0" w:line="240" w:lineRule="auto"/>
              <w:ind w:firstLine="0"/>
              <w:jc w:val="center"/>
              <w:rPr>
                <w:rFonts w:hint="default" w:eastAsia="宋体"/>
                <w:lang w:val="en-US" w:eastAsia="zh-CN"/>
              </w:rPr>
            </w:pPr>
            <w:r>
              <w:rPr>
                <w:rFonts w:hint="default"/>
                <w:lang w:val="en-US" w:eastAsia="zh-CN"/>
              </w:rPr>
              <w:t>—</w:t>
            </w:r>
          </w:p>
        </w:tc>
      </w:tr>
    </w:tbl>
    <w:p w14:paraId="15A9EA17">
      <w:pPr>
        <w:pStyle w:val="2"/>
        <w:pageBreakBefore/>
      </w:pPr>
      <w:bookmarkStart w:id="73" w:name="_Toc211910951"/>
      <w:r>
        <w:rPr>
          <w:rFonts w:ascii="黑体" w:hAnsi="黑体" w:eastAsia="黑体" w:cs="黑体"/>
          <w:b/>
          <w:color w:val="000000"/>
          <w:sz w:val="28"/>
        </w:rPr>
        <w:t>7．研究过程中可能遇到的困难和问题，解决的措施</w:t>
      </w:r>
      <w:bookmarkEnd w:id="73"/>
    </w:p>
    <w:p w14:paraId="2A5C30F9">
      <w:pPr>
        <w:ind w:firstLine="420"/>
        <w:jc w:val="both"/>
      </w:pPr>
      <w:r>
        <w:t>研究中可能遇到的问题主要集中在数据与接口、蒸馏估计、训练资源和部署评测四个方面，相应措施如下：</w:t>
      </w:r>
    </w:p>
    <w:p w14:paraId="21DF0A10">
      <w:pPr>
        <w:keepNext/>
        <w:spacing w:before="80" w:after="80" w:line="240" w:lineRule="auto"/>
        <w:ind w:left="0" w:right="0" w:firstLine="0"/>
        <w:jc w:val="center"/>
      </w:pPr>
      <w:r>
        <w:rPr>
          <w:rFonts w:ascii="Times New Roman" w:hAnsi="Times New Roman" w:eastAsia="Songti SC"/>
          <w:sz w:val="21"/>
        </w:rPr>
        <w:t xml:space="preserve">表 </w:t>
      </w:r>
      <w:bookmarkStart w:id="74" w:name="_RefTable7_1"/>
      <w:r>
        <w:rPr>
          <w:rFonts w:ascii="Times New Roman" w:hAnsi="Times New Roman" w:eastAsia="Songti SC"/>
          <w:sz w:val="21"/>
        </w:rPr>
        <w:t>7-</w:t>
      </w:r>
      <w:r>
        <w:rPr>
          <w:rFonts w:ascii="Times New Roman" w:hAnsi="Times New Roman" w:eastAsia="Songti SC"/>
          <w:sz w:val="21"/>
        </w:rPr>
        <w:fldChar w:fldCharType="begin"/>
      </w:r>
      <w:r>
        <w:rPr>
          <w:rFonts w:ascii="Times New Roman" w:hAnsi="Times New Roman" w:eastAsia="Songti SC"/>
          <w:sz w:val="21"/>
        </w:rPr>
        <w:instrText xml:space="preserve"> SEQ TableCh7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74"/>
      <w:r>
        <w:rPr>
          <w:rFonts w:ascii="Times New Roman" w:hAnsi="Times New Roman" w:eastAsia="Songti SC"/>
          <w:sz w:val="21"/>
        </w:rPr>
        <w:t xml:space="preserve">  研究困难及解决措施</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48"/>
        <w:gridCol w:w="4148"/>
      </w:tblGrid>
      <w:tr w14:paraId="75D113B3">
        <w:trPr>
          <w:tblHeader/>
        </w:trPr>
        <w:tc>
          <w:tcPr>
            <w:tcW w:w="4148" w:type="dxa"/>
          </w:tcPr>
          <w:p w14:paraId="4D407EE9">
            <w:pPr>
              <w:ind w:firstLine="0"/>
              <w:jc w:val="left"/>
            </w:pPr>
            <w:r>
              <w:rPr>
                <w:b/>
              </w:rPr>
              <w:t>可能遇到的困难和问题</w:t>
            </w:r>
          </w:p>
        </w:tc>
        <w:tc>
          <w:tcPr>
            <w:tcW w:w="4148" w:type="dxa"/>
          </w:tcPr>
          <w:p w14:paraId="1E1D7A71">
            <w:pPr>
              <w:ind w:firstLine="0"/>
              <w:jc w:val="left"/>
            </w:pPr>
            <w:r>
              <w:t>解决措施</w:t>
            </w:r>
          </w:p>
        </w:tc>
      </w:tr>
      <w:tr w14:paraId="1085C875">
        <w:tc>
          <w:tcPr>
            <w:tcW w:w="4148" w:type="dxa"/>
          </w:tcPr>
          <w:p w14:paraId="46825A20">
            <w:pPr>
              <w:ind w:firstLine="0"/>
              <w:jc w:val="left"/>
            </w:pPr>
            <w:r>
              <w:t>师生 tokenizer、模板或特殊 token 不兼容</w:t>
            </w:r>
          </w:p>
        </w:tc>
        <w:tc>
          <w:tcPr>
            <w:tcW w:w="4148" w:type="dxa"/>
          </w:tcPr>
          <w:p w14:paraId="1363BBD0">
            <w:pPr>
              <w:ind w:firstLine="0"/>
              <w:jc w:val="left"/>
            </w:pPr>
            <w:r>
              <w:t>训练前审计并记录版本，通过对齐测试统一蒸馏输入。</w:t>
            </w:r>
          </w:p>
        </w:tc>
      </w:tr>
      <w:tr w14:paraId="134BDAAD">
        <w:tc>
          <w:tcPr>
            <w:tcW w:w="4148" w:type="dxa"/>
          </w:tcPr>
          <w:p w14:paraId="269B361C">
            <w:pPr>
              <w:ind w:firstLine="0"/>
              <w:jc w:val="left"/>
            </w:pPr>
            <w:r>
              <w:t>教师全词表反馈开销过高</w:t>
            </w:r>
          </w:p>
        </w:tc>
        <w:tc>
          <w:tcPr>
            <w:tcW w:w="4148" w:type="dxa"/>
          </w:tcPr>
          <w:p w14:paraId="60A7D942">
            <w:pPr>
              <w:ind w:firstLine="0"/>
              <w:jc w:val="left"/>
            </w:pPr>
            <w:r>
              <w:t>比较全词表、Top-K 和 K1 的反馈量，并采用分块计算、缓存与梯度累积控制资源开销。</w:t>
            </w:r>
          </w:p>
        </w:tc>
      </w:tr>
      <w:tr w14:paraId="66668A77">
        <w:tc>
          <w:tcPr>
            <w:tcW w:w="4148" w:type="dxa"/>
          </w:tcPr>
          <w:p w14:paraId="56DC85CD">
            <w:pPr>
              <w:ind w:firstLine="0"/>
              <w:jc w:val="left"/>
            </w:pPr>
            <w:r>
              <w:t>Top-K/K1 估计不稳定</w:t>
            </w:r>
          </w:p>
        </w:tc>
        <w:tc>
          <w:tcPr>
            <w:tcW w:w="4148" w:type="dxa"/>
          </w:tcPr>
          <w:p w14:paraId="05CCDD09">
            <w:pPr>
              <w:ind w:firstLine="0"/>
              <w:jc w:val="left"/>
            </w:pPr>
            <w:r>
              <w:t>记录支持集外概率、熵和异常损失；在主方案稳定运行后，再评估额外的稳定化方法。</w:t>
            </w:r>
          </w:p>
        </w:tc>
      </w:tr>
      <w:tr w14:paraId="675E933A">
        <w:tc>
          <w:tcPr>
            <w:tcW w:w="4148" w:type="dxa"/>
          </w:tcPr>
          <w:p w14:paraId="650F6C3E">
            <w:pPr>
              <w:ind w:firstLine="0"/>
              <w:jc w:val="left"/>
            </w:pPr>
            <w:r>
              <w:t>离线 token 指标与端到端调用结果不一致</w:t>
            </w:r>
          </w:p>
        </w:tc>
        <w:tc>
          <w:tcPr>
            <w:tcW w:w="4148" w:type="dxa"/>
          </w:tcPr>
          <w:p w14:paraId="3BB1B133">
            <w:pPr>
              <w:ind w:firstLine="0"/>
              <w:jc w:val="left"/>
            </w:pPr>
            <w:r>
              <w:t>分层报告格式、函数、参数、执行和端到端任务指标，并保留失败轨迹。</w:t>
            </w:r>
          </w:p>
        </w:tc>
      </w:tr>
      <w:tr w14:paraId="664DFE22">
        <w:tc>
          <w:tcPr>
            <w:tcW w:w="4148" w:type="dxa"/>
          </w:tcPr>
          <w:p w14:paraId="2D772E21">
            <w:pPr>
              <w:ind w:firstLine="0"/>
              <w:jc w:val="left"/>
            </w:pPr>
            <w:r>
              <w:t>推理后端兼容性问题</w:t>
            </w:r>
          </w:p>
        </w:tc>
        <w:tc>
          <w:tcPr>
            <w:tcW w:w="4148" w:type="dxa"/>
          </w:tcPr>
          <w:p w14:paraId="0595ED00">
            <w:pPr>
              <w:ind w:firstLine="0"/>
              <w:jc w:val="left"/>
            </w:pPr>
            <w:r>
              <w:t>先完成最小推理验证，再固定 vLLM 或自建测试程序的版本、加载方式与测量参数。</w:t>
            </w:r>
          </w:p>
        </w:tc>
      </w:tr>
    </w:tbl>
    <w:p w14:paraId="7661A5B1">
      <w:pPr>
        <w:ind w:firstLine="420"/>
        <w:jc w:val="both"/>
      </w:pPr>
      <w:r>
        <w:t>实施时先审计数据、模型、tokenizer 和消息模板，再用少量单轮样本检查状态标记、支持集累计质量、残余概率、损失数值与梯度。训练资源通过短序列验证、小批量训练、梯度累积和必要的教师反馈缓存控制。完整分布、常规 Top-K、残余类别 Top-K 与 K1 应共享输入、mask、评测规则和记录格式，并保存异常 loss、非法结构及失败调用以便追溯。</w:t>
      </w:r>
    </w:p>
    <w:p w14:paraId="59D0F03A">
      <w:pPr>
        <w:ind w:firstLine="420"/>
        <w:jc w:val="both"/>
      </w:pPr>
      <w:r>
        <w:t>实验日志按数据与接口、蒸馏估计、训练资源和部署评测四类记录问题。评测结果分层报告格式解析、函数选择、参数生成、工具执行和端到端任务完成情况，以便分别分析算法效果、资源成本与系统性能。</w:t>
      </w:r>
    </w:p>
    <w:p w14:paraId="1E1D72DA">
      <w:pPr>
        <w:ind w:firstLine="420"/>
        <w:jc w:val="both"/>
      </w:pPr>
      <w:r>
        <w:t>方法风险主要有两类：若教师分布在大多数有效位置过于集中，Top-K 外的概率质量可能很小，残余类别难以产生可测差异；若概率质量分散，自适应 K 可能频繁达到上限，未必节省反馈开销。研究先在小样本上统计这些分布，再以相同 K 或相同反馈预算做消融；若候选方法不优于简洁基线，应如实报告并据错误类型缩小改进范围。支持集并集与极端概率比裁剪仅作为后续备选，不与主方法同时改变。</w:t>
      </w:r>
    </w:p>
    <w:p w14:paraId="0874BB6A">
      <w:pPr>
        <w:pStyle w:val="2"/>
      </w:pPr>
      <w:bookmarkStart w:id="75" w:name="_Toc1059466731"/>
      <w:r>
        <w:rPr>
          <w:rFonts w:ascii="黑体" w:hAnsi="黑体" w:eastAsia="黑体" w:cs="黑体"/>
          <w:b/>
          <w:color w:val="000000"/>
          <w:sz w:val="28"/>
        </w:rPr>
        <w:t>8．主要参考文献</w:t>
      </w:r>
      <w:bookmarkEnd w:id="75"/>
    </w:p>
    <w:p w14:paraId="1DB37AB9">
      <w:pPr>
        <w:pStyle w:val="17"/>
        <w:numPr>
          <w:ilvl w:val="0"/>
          <w:numId w:val="1"/>
        </w:numPr>
        <w:ind w:firstLine="420"/>
        <w:jc w:val="both"/>
      </w:pPr>
      <w:r>
        <w:t>Hinton G, Vinyals O, Dean J. Distilling the Knowledge in a Neural Network[EB/OL]. arXiv:1503.02531, 2015.</w:t>
      </w:r>
    </w:p>
    <w:p w14:paraId="1ADC76CC">
      <w:pPr>
        <w:pStyle w:val="17"/>
        <w:numPr>
          <w:ilvl w:val="0"/>
          <w:numId w:val="1"/>
        </w:numPr>
        <w:ind w:firstLine="420"/>
        <w:jc w:val="both"/>
      </w:pPr>
      <w:r>
        <w:t>Kim Y, Rush A M. Sequence-Level Knowledge Distillation[C]//Proceedings of the 2016 Conference on Empirical Methods in Natural Language Processing. ACL, 2016: 1317-1327. DOI:10.18653/v1/D16-1139.</w:t>
      </w:r>
    </w:p>
    <w:p w14:paraId="4F6C6FD9">
      <w:pPr>
        <w:pStyle w:val="17"/>
        <w:numPr>
          <w:ilvl w:val="0"/>
          <w:numId w:val="1"/>
        </w:numPr>
        <w:ind w:firstLine="420"/>
        <w:jc w:val="both"/>
      </w:pPr>
      <w:r>
        <w:t>Ross S, Gordon G J, Bagnell J A. A Reduction of Imitation Learning and Structured Prediction to No-Regret Online Learning[C]//Proceedings of the Fourteenth International Conference on Artificial Intelligence and Statistics. PMLR, 2011, 15: 627-635.</w:t>
      </w:r>
    </w:p>
    <w:p w14:paraId="419C77D5">
      <w:pPr>
        <w:pStyle w:val="17"/>
        <w:numPr>
          <w:ilvl w:val="0"/>
          <w:numId w:val="1"/>
        </w:numPr>
        <w:ind w:firstLine="420"/>
        <w:jc w:val="both"/>
      </w:pPr>
      <w:r>
        <w:t>Lin A, Wohlwend J, Chen H, et al. Autoregressive Knowledge Distillation through Imitation Learning[C]//Proceedings of the 2020 Conference on Empirical Methods in Natural Language Processing. ACL, 2020: 6121-6133. DOI:10.18653/v1/2020.emnlp-main.494.</w:t>
      </w:r>
    </w:p>
    <w:p w14:paraId="42B2BBD4">
      <w:pPr>
        <w:pStyle w:val="17"/>
        <w:numPr>
          <w:ilvl w:val="0"/>
          <w:numId w:val="1"/>
        </w:numPr>
        <w:ind w:firstLine="420"/>
        <w:jc w:val="both"/>
      </w:pPr>
      <w:r>
        <w:t>Huszár F. How (not) to Train your Generative Model: Scheduled Sampling, Likelihood, Adversary?[EB/OL]. arXiv:1511.05101, 2015.</w:t>
      </w:r>
    </w:p>
    <w:p w14:paraId="6C24ECAE">
      <w:pPr>
        <w:pStyle w:val="17"/>
        <w:numPr>
          <w:ilvl w:val="0"/>
          <w:numId w:val="1"/>
        </w:numPr>
        <w:ind w:firstLine="420"/>
        <w:jc w:val="both"/>
      </w:pPr>
      <w:r>
        <w:t>Wen Y, Li Z, Du W, et al. f-Divergence Minimization for Sequence-Level Knowledge Distillation[C]//Proceedings of the 61st Annual Meeting of the Association for Computational Linguistics. ACL, 2023: 10817-10834. DOI:10.18653/v1/2023.acl-long.605.</w:t>
      </w:r>
    </w:p>
    <w:p w14:paraId="1545F16B">
      <w:pPr>
        <w:pStyle w:val="17"/>
        <w:numPr>
          <w:ilvl w:val="0"/>
          <w:numId w:val="1"/>
        </w:numPr>
        <w:ind w:firstLine="420"/>
        <w:jc w:val="both"/>
      </w:pPr>
      <w:r>
        <w:t>Agarwal R, Vieillard N, Zhou Y, et al. On-Policy Distillation of Language Models: Learning from Self-Generated Mistakes[C]//International Conference on Learning Representations. 2024. arXiv:2306.13649.</w:t>
      </w:r>
    </w:p>
    <w:p w14:paraId="7DB42AF6">
      <w:pPr>
        <w:pStyle w:val="17"/>
        <w:numPr>
          <w:ilvl w:val="0"/>
          <w:numId w:val="1"/>
        </w:numPr>
        <w:ind w:firstLine="420"/>
        <w:jc w:val="both"/>
      </w:pPr>
      <w:r>
        <w:t>Gu Y, Dong L, Wei F, et al. MiniLLM: Knowledge Distillation of Large Language Models[C]//International Conference on Learning Representations. 2024. arXiv:2306.08543.</w:t>
      </w:r>
    </w:p>
    <w:p w14:paraId="719D2FB1">
      <w:pPr>
        <w:pStyle w:val="17"/>
        <w:numPr>
          <w:ilvl w:val="0"/>
          <w:numId w:val="1"/>
        </w:numPr>
        <w:ind w:firstLine="420"/>
        <w:jc w:val="both"/>
      </w:pPr>
      <w:r>
        <w:t>Ko J, Kim S, Chen T, et al. DistiLLM: Towards Streamlined Distillation for Large Language Models[C]//Proceedings of the 41st International Conference on Machine Learning. PMLR, 2024, 235: 24872-24895.</w:t>
      </w:r>
    </w:p>
    <w:p w14:paraId="1C80C04E">
      <w:pPr>
        <w:pStyle w:val="17"/>
        <w:numPr>
          <w:ilvl w:val="0"/>
          <w:numId w:val="1"/>
        </w:numPr>
        <w:ind w:firstLine="420"/>
        <w:jc w:val="both"/>
      </w:pPr>
      <w:r>
        <w:t>Koo J, Hwang Y, Kim Y, et al. SWITCH: Studying with Teacher for Knowledge Distillation of Large Language Models[C]//Findings of the Association for Computational Linguistics: NAACL 2025. ACL, 2025: 3733-3746. DOI:10.18653/v1/2025.findings-naacl.206.</w:t>
      </w:r>
    </w:p>
    <w:p w14:paraId="23921927">
      <w:pPr>
        <w:pStyle w:val="17"/>
        <w:numPr>
          <w:ilvl w:val="0"/>
          <w:numId w:val="1"/>
        </w:numPr>
        <w:ind w:firstLine="420"/>
        <w:jc w:val="both"/>
      </w:pPr>
      <w:r>
        <w:t>Zhang D, Yang Z, Janghorbani S, et al. Fast and Effective On-Policy Distillation from Reasoning Prefixes[C]//Findings of the Association for Computational Linguistics: ACL 2026. ACL, 2026: 25553-25569. DOI:10.18653/v1/2026.findings-acl.1276.</w:t>
      </w:r>
    </w:p>
    <w:p w14:paraId="32C3FCC3">
      <w:pPr>
        <w:pStyle w:val="17"/>
        <w:numPr>
          <w:ilvl w:val="0"/>
          <w:numId w:val="1"/>
        </w:numPr>
        <w:ind w:firstLine="420"/>
        <w:jc w:val="both"/>
      </w:pPr>
      <w:r>
        <w:t>Jang I, Yeom J, Yeo J, et al. Stable On-Policy Distillation through Adaptive Target Reformulation[C]//Findings of the Association for Computational Linguistics: ACL 2026. ACL, 2026: 42217-42227. DOI:10.18653/v1/2026.findings-acl.2094.</w:t>
      </w:r>
    </w:p>
    <w:p w14:paraId="4B227259">
      <w:pPr>
        <w:pStyle w:val="17"/>
        <w:numPr>
          <w:ilvl w:val="0"/>
          <w:numId w:val="1"/>
        </w:numPr>
        <w:ind w:firstLine="420"/>
        <w:jc w:val="both"/>
      </w:pPr>
      <w:r>
        <w:t>Kim G, Jang D, Yang E. PromptKD: Distilling Student-Friendly Knowledge for Generative Language Models via Prompt Tuning[C]//Findings of the Association for Computational Linguistics: EMNLP 2024. ACL, 2024: 6266-6282. DOI:10.18653/v1/2024.findings-emnlp.364.</w:t>
      </w:r>
    </w:p>
    <w:p w14:paraId="529E3E43">
      <w:pPr>
        <w:pStyle w:val="17"/>
        <w:numPr>
          <w:ilvl w:val="0"/>
          <w:numId w:val="1"/>
        </w:numPr>
        <w:ind w:firstLine="420"/>
        <w:jc w:val="both"/>
      </w:pPr>
      <w:r>
        <w:t>Zhu X, Li J, Liu Y, et al. A Survey on Model Compression for Large Language Models[J]. Transactions of the Association for Computational Linguistics, 2024, 12: 1556-1577. DOI:10.1162/tacl_a_00704.</w:t>
      </w:r>
    </w:p>
    <w:p w14:paraId="319C7304">
      <w:pPr>
        <w:pStyle w:val="17"/>
        <w:numPr>
          <w:ilvl w:val="0"/>
          <w:numId w:val="1"/>
        </w:numPr>
        <w:ind w:firstLine="420"/>
        <w:jc w:val="both"/>
      </w:pPr>
      <w:r>
        <w:t>Peng H, Lv X, Bai Y, et al. Pre-training Distillation for Large Language Models: A Design Space Exploration[C]//Proceedings of the 63rd Annual Meeting of the Association for Computational Linguistics. ACL, 2025: 3603-3618. DOI:10.18653/v1/2025.acl-long.181.</w:t>
      </w:r>
    </w:p>
    <w:p w14:paraId="6F2F83D3">
      <w:pPr>
        <w:pStyle w:val="17"/>
        <w:numPr>
          <w:ilvl w:val="0"/>
          <w:numId w:val="1"/>
        </w:numPr>
        <w:ind w:firstLine="420"/>
        <w:jc w:val="both"/>
      </w:pPr>
      <w:r>
        <w:t>Qwen Team. Qwen3 Technical Report[EB/OL]. arXiv:2505.09388, 2025. DOI:10.48550/arXiv.2505.09388.</w:t>
      </w:r>
    </w:p>
    <w:p w14:paraId="3D1CC9FC">
      <w:pPr>
        <w:pStyle w:val="17"/>
        <w:numPr>
          <w:ilvl w:val="0"/>
          <w:numId w:val="1"/>
        </w:numPr>
        <w:ind w:firstLine="420"/>
        <w:jc w:val="both"/>
      </w:pPr>
      <w:r>
        <w:t>Kullback S, Leibler R A. On Information and Sufficiency[J]. The Annals of Mathematical Statistics, 1951, 22(1): 79-86. DOI:10.1214/aoms/1177729694.</w:t>
      </w:r>
    </w:p>
    <w:p w14:paraId="2E214B5B">
      <w:pPr>
        <w:pStyle w:val="17"/>
        <w:numPr>
          <w:ilvl w:val="0"/>
          <w:numId w:val="1"/>
        </w:numPr>
        <w:ind w:firstLine="420"/>
        <w:jc w:val="both"/>
      </w:pPr>
      <w:r>
        <w:t>Lin J. Divergence Measures Based on the Shannon Entropy[J]. IEEE Transactions on Information Theory, 1991, 37(1): 145-151.</w:t>
      </w:r>
    </w:p>
    <w:p w14:paraId="6841C405">
      <w:pPr>
        <w:pStyle w:val="17"/>
        <w:numPr>
          <w:ilvl w:val="0"/>
          <w:numId w:val="1"/>
        </w:numPr>
        <w:ind w:firstLine="420"/>
        <w:jc w:val="both"/>
      </w:pPr>
      <w:r>
        <w:t>Hu E J, Shen Y, Wallis P, et al. LoRA: Low-Rank Adaptation of Large Language Models[C]//International Conference on Learning Representations. 2022. arXiv:2106.09685.</w:t>
      </w:r>
    </w:p>
    <w:p w14:paraId="366C4C73">
      <w:pPr>
        <w:pStyle w:val="17"/>
        <w:numPr>
          <w:ilvl w:val="0"/>
          <w:numId w:val="1"/>
        </w:numPr>
        <w:ind w:firstLine="420"/>
        <w:jc w:val="both"/>
      </w:pPr>
      <w:r>
        <w:t>Kwon W, Li Z, Zhuang S, et al. Efficient Memory Management for Large Language Model Serving with PagedAttention[C]//Proceedings of the 29th Symposium on Operating Systems Principles. ACM, 2023: 611-626. DOI:10.1145/3600006.3613165.</w:t>
      </w:r>
    </w:p>
    <w:p w14:paraId="3C944867">
      <w:pPr>
        <w:pStyle w:val="17"/>
        <w:numPr>
          <w:ilvl w:val="0"/>
          <w:numId w:val="1"/>
        </w:numPr>
        <w:ind w:firstLine="420"/>
        <w:jc w:val="both"/>
      </w:pPr>
      <w:r>
        <w:t>Yao S, Zhao J, Yu D, et al. ReAct: Synergizing Reasoning and Acting in Language Models[C]//International Conference on Learning Representations. 2023. arXiv:2210.03629.</w:t>
      </w:r>
    </w:p>
    <w:p w14:paraId="7EC0CC1B">
      <w:pPr>
        <w:pStyle w:val="17"/>
        <w:numPr>
          <w:ilvl w:val="0"/>
          <w:numId w:val="1"/>
        </w:numPr>
        <w:ind w:firstLine="420"/>
        <w:jc w:val="both"/>
      </w:pPr>
      <w:r>
        <w:t>Patil S G, Zhang T, Wang X, et al. Gorilla: Large Language Model Connected with Massive APIs[EB/OL]. arXiv:2305.15334, 2023.</w:t>
      </w:r>
    </w:p>
    <w:p w14:paraId="272697B3">
      <w:pPr>
        <w:pStyle w:val="17"/>
        <w:numPr>
          <w:ilvl w:val="0"/>
          <w:numId w:val="1"/>
        </w:numPr>
        <w:ind w:firstLine="420"/>
        <w:jc w:val="both"/>
      </w:pPr>
      <w:r>
        <w:t>Li M, Zhao Y, Yu B, et al. API-Bank: A Comprehensive Benchmark for Tool-Augmented LLMs[C]//Proceedings of the 2023 Conference on Empirical Methods in Natural Language Processing. ACL, 2023: 3102-3116. DOI:10.18653/v1/2023.emnlp-main.187.</w:t>
      </w:r>
    </w:p>
    <w:p w14:paraId="27EE8778">
      <w:pPr>
        <w:pStyle w:val="17"/>
        <w:numPr>
          <w:ilvl w:val="0"/>
          <w:numId w:val="1"/>
        </w:numPr>
        <w:ind w:firstLine="420"/>
        <w:jc w:val="both"/>
      </w:pPr>
      <w:r>
        <w:t>Qin Y, Liang S, Ye Y, et al. ToolLLM: Facilitating Large Language Models to Master 16000+ Real-world APIs[EB/OL]. arXiv:2307.16789, 2023.</w:t>
      </w:r>
    </w:p>
    <w:p w14:paraId="18515301">
      <w:pPr>
        <w:pStyle w:val="17"/>
        <w:numPr>
          <w:ilvl w:val="0"/>
          <w:numId w:val="1"/>
        </w:numPr>
        <w:ind w:firstLine="420"/>
        <w:jc w:val="both"/>
      </w:pPr>
      <w:r>
        <w:t>Liu Z, Hoang T, Zhang J, et al. APIGen: Automated Pipeline for Generating Verifiable and Diverse Function-Calling Datasets[C]//Advances in Neural Information Processing Systems. 2024. DOI:10.52202/079017-1725.</w:t>
      </w:r>
    </w:p>
    <w:p w14:paraId="79D77904">
      <w:pPr>
        <w:pStyle w:val="17"/>
        <w:numPr>
          <w:ilvl w:val="0"/>
          <w:numId w:val="1"/>
        </w:numPr>
        <w:ind w:firstLine="420"/>
        <w:jc w:val="both"/>
      </w:pPr>
      <w:r>
        <w:t>Liu W, Huang X, Zeng X, et al. ToolACE: Winning the Points of LLM Function Calling[C]//International Conference on Learning Representations. 2025. arXiv:2409.00920.</w:t>
      </w:r>
    </w:p>
    <w:p w14:paraId="77EEE5FF">
      <w:pPr>
        <w:pStyle w:val="17"/>
        <w:numPr>
          <w:ilvl w:val="0"/>
          <w:numId w:val="1"/>
        </w:numPr>
        <w:ind w:firstLine="420"/>
        <w:jc w:val="both"/>
      </w:pPr>
      <w:r>
        <w:t>Patil S G, Mao H, Yan F, et al. The Berkeley Function Calling Leaderboard (BFCL): From Tool Use to Agentic Evaluation of Large Language Models[C]//Proceedings of the 42nd International Conference on Machine Learning. PMLR, 2025, 267: 48371-48392.</w:t>
      </w:r>
    </w:p>
    <w:p w14:paraId="156614AF">
      <w:pPr>
        <w:pStyle w:val="17"/>
        <w:numPr>
          <w:ilvl w:val="0"/>
          <w:numId w:val="1"/>
        </w:numPr>
        <w:ind w:firstLine="420"/>
        <w:jc w:val="both"/>
      </w:pPr>
      <w:r>
        <w:t>吴春志, 赵玉龙, 刘鑫, 等. 大语言模型微调方法研究综述[J]. 中文信息学报, 2025, 39(2): 1-26.</w:t>
      </w:r>
    </w:p>
    <w:p w14:paraId="20C6A79D">
      <w:pPr>
        <w:pStyle w:val="17"/>
        <w:numPr>
          <w:ilvl w:val="0"/>
          <w:numId w:val="1"/>
        </w:numPr>
        <w:ind w:firstLine="420"/>
        <w:jc w:val="both"/>
      </w:pPr>
      <w:r>
        <w:t>舒善富, 刘超, 孙毓忠, 等. 基于自适应知识蒸馏的代码大模型轻量化[J]. 软件学报, 2026, 37(6): 2431-2454. DOI:10.13328/j.cnki.jos.007462.</w:t>
      </w:r>
    </w:p>
    <w:p w14:paraId="A30B0001">
      <w:pPr>
        <w:pStyle w:val="17"/>
        <w:numPr>
          <w:ilvl w:val="0"/>
          <w:numId w:val="1"/>
        </w:numPr>
        <w:ind w:firstLine="420"/>
        <w:jc w:val="both"/>
      </w:pPr>
      <w:r>
        <w:t xml:space="preserve">Anshumann, Zaidi M A, Kedia A, et al. Sparse Logit Sampling: Accelerating Knowledge Distillation in LLMs[C]//Proceedings of the 63rd Annual Meeting of the Association for Computational Linguistics (Volume 1: Long Papers). 2025: 18085-18108. DOI:10.18653/v1/2025.acl-long.885.</w:t>
      </w:r>
    </w:p>
    <w:p w14:paraId="A30B0002">
      <w:pPr>
        <w:pStyle w:val="17"/>
        <w:numPr>
          <w:ilvl w:val="0"/>
          <w:numId w:val="1"/>
        </w:numPr>
        <w:ind w:firstLine="420"/>
        <w:jc w:val="both"/>
      </w:pPr>
      <w:r>
        <w:t xml:space="preserve">Huang H, Wei H. Tail-Aware Top-k On-Policy Distillation[EB/OL]. arXiv:2608.14728, 2026.</w:t>
      </w:r>
    </w:p>
    <w:p w14:paraId="A30B0003">
      <w:pPr>
        <w:pStyle w:val="17"/>
        <w:numPr>
          <w:ilvl w:val="0"/>
          <w:numId w:val="1"/>
        </w:numPr>
        <w:ind w:firstLine="420"/>
        <w:jc w:val="both"/>
      </w:pPr>
      <w:r>
        <w:t xml:space="preserve">Meng L, Gan S, Li Y, et al. Unbiased Top-k Estimation for On-Policy Distillation[EB/OL]. arXiv:2609.34447, 2026.</w:t>
      </w:r>
    </w:p>
    <w:p w14:paraId="A30B0004">
      <w:pPr>
        <w:pStyle w:val="17"/>
        <w:numPr>
          <w:ilvl w:val="0"/>
          <w:numId w:val="1"/>
        </w:numPr>
        <w:ind w:firstLine="420"/>
        <w:jc w:val="both"/>
      </w:pPr>
      <w:r>
        <w:t xml:space="preserve">Shen J, Chen G, Mao C. When Top-K Misses the Decision: Tool-Call Drift in Multi-Teacher On-Policy Distillation[EB/OL]. arXiv:2607.07050, 2026.</w:t>
      </w:r>
    </w:p>
    <w:p w14:paraId="A30B0005">
      <w:pPr>
        <w:pStyle w:val="17"/>
        <w:numPr>
          <w:ilvl w:val="0"/>
          <w:numId w:val="1"/>
        </w:numPr>
        <w:ind w:firstLine="420"/>
        <w:jc w:val="both"/>
      </w:pPr>
      <w:r>
        <w:t xml:space="preserve">Yang P, Xing L, Dai X, et al. ResOPD: Tail Residualization for Sparse On-Policy Distillation[EB/OL]. arXiv:2610.04882, 2026.</w:t>
      </w:r>
    </w:p>
    <w:sectPr>
      <w:footerReference r:id="rId5" w:type="default"/>
      <w:pgSz w:w="11906" w:h="16838"/>
      <w:pgMar w:top="1440" w:right="1800" w:bottom="1440" w:left="1800" w:header="851" w:footer="992" w:gutter="0"/>
      <w:pgNumType w:start="1"/>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Times New Roman Regular">
    <w:panose1 w:val="02020503050405090304"/>
    <w:charset w:val="00"/>
    <w:family w:val="auto"/>
    <w:pitch w:val="default"/>
    <w:sig w:usb0="E0000AFF" w:usb1="00007843" w:usb2="00000001" w:usb3="00000000" w:csb0="400001BF" w:csb1="DFF70000"/>
  </w:font>
  <w:font w:name="汉仪中黑KW">
    <w:panose1 w:val="00020600040101010101"/>
    <w:charset w:val="86"/>
    <w:family w:val="auto"/>
    <w:pitch w:val="default"/>
    <w:sig w:usb0="A00002BF" w:usb1="18EF7CFA" w:usb2="00000016" w:usb3="00000000" w:csb0="00040000" w:csb1="00000000"/>
  </w:font>
  <w:font w:name="等线 Light">
    <w:altName w:val="汉仪中等线KW"/>
    <w:panose1 w:val="02010600030101010101"/>
    <w:charset w:val="86"/>
    <w:family w:val="auto"/>
    <w:pitch w:val="default"/>
    <w:sig w:usb0="00000000" w:usb1="00000000" w:usb2="00000016" w:usb3="00000000" w:csb0="0004000F" w:csb1="00000000"/>
  </w:font>
  <w:font w:name="汉仪中等线KW">
    <w:panose1 w:val="01010104010101010101"/>
    <w:charset w:val="86"/>
    <w:family w:val="auto"/>
    <w:pitch w:val="default"/>
    <w:sig w:usb0="800002BF" w:usb1="004F7CFA" w:usb2="00000000" w:usb3="00000000" w:csb0="00040001" w:csb1="00000000"/>
  </w:font>
  <w:font w:name="TimesNewRomanPSMT">
    <w:panose1 w:val="02020503050405090304"/>
    <w:charset w:val="00"/>
    <w:family w:val="roman"/>
    <w:pitch w:val="default"/>
    <w:sig w:usb0="E0000AFF" w:usb1="00007843" w:usb2="00000001" w:usb3="00000000" w:csb0="400001BF" w:csb1="DFF70000"/>
  </w:font>
  <w:font w:name="楷体_GB2312">
    <w:altName w:val="汉仪楷体简"/>
    <w:panose1 w:val="00000000000000000000"/>
    <w:charset w:val="86"/>
    <w:family w:val="modern"/>
    <w:pitch w:val="default"/>
    <w:sig w:usb0="00000000" w:usb1="00000000" w:usb2="00000010" w:usb3="00000000" w:csb0="00040000" w:csb1="00000000"/>
  </w:font>
  <w:font w:name="汉仪楷体简">
    <w:panose1 w:val="02010600000101010101"/>
    <w:charset w:val="86"/>
    <w:family w:val="auto"/>
    <w:pitch w:val="default"/>
    <w:sig w:usb0="00000001" w:usb1="080E0800" w:usb2="00000002" w:usb3="00000000" w:csb0="00040000" w:csb1="00000000"/>
  </w:font>
  <w:font w:name="Heiti SC">
    <w:panose1 w:val="02000000000000000000"/>
    <w:charset w:val="86"/>
    <w:family w:val="auto"/>
    <w:pitch w:val="default"/>
    <w:sig w:usb0="8000002F" w:usb1="0800004A" w:usb2="00000000" w:usb3="00000000" w:csb0="203E0000" w:csb1="00000000"/>
  </w:font>
  <w:font w:name="Songti SC">
    <w:panose1 w:val="02010800040101010101"/>
    <w:charset w:val="86"/>
    <w:family w:val="auto"/>
    <w:pitch w:val="default"/>
    <w:sig w:usb0="00000001" w:usb1="080F0000" w:usb2="00000000" w:usb3="00000000" w:csb0="00040000" w:csb1="00000000"/>
  </w:font>
  <w:font w:name="DejaVu Math TeX Gyre">
    <w:panose1 w:val="02000503000000000000"/>
    <w:charset w:val="00"/>
    <w:family w:val="auto"/>
    <w:pitch w:val="default"/>
    <w:sig w:usb0="A10000EF" w:usb1="4201F9EE" w:usb2="02000000" w:usb3="00000000" w:csb0="60000193" w:csb1="0DD40000"/>
  </w:font>
  <w:font w:name="Cambria Math">
    <w:altName w:val="Kingsoft Math"/>
    <w:panose1 w:val="00000000000000000000"/>
    <w:charset w:val="00"/>
    <w:family w:val="auto"/>
    <w:pitch w:val="default"/>
    <w:sig w:usb0="00000000" w:usb1="00000000" w:usb2="00000000" w:usb3="00000000" w:csb0="00000000" w:csb1="00000000"/>
  </w:font>
  <w:font w:name="Kingsoft Math">
    <w:panose1 w:val="02040503050406030204"/>
    <w:charset w:val="00"/>
    <w:family w:val="auto"/>
    <w:pitch w:val="default"/>
    <w:sig w:usb0="80000087" w:usb1="00002068" w:usb2="00000000" w:usb3="00000000" w:csb0="2000019F" w:csb1="00000000"/>
  </w:font>
  <w:font w:name="等线 Light">
    <w:altName w:val="汉仪中等线KW"/>
    <w:panose1 w:val="00000000000000000000"/>
    <w:charset w:val="00"/>
    <w:family w:val="auto"/>
    <w:pitch w:val="default"/>
    <w:sig w:usb0="00000000" w:usb1="00000000" w:usb2="00000000" w:usb3="00000000" w:csb0="00000000" w:csb1="00000000"/>
  </w:font>
  <w:font w:name="Kingsoft Sign">
    <w:panose1 w:val="05050102010706020507"/>
    <w:charset w:val="00"/>
    <w:family w:val="auto"/>
    <w:pitch w:val="default"/>
    <w:sig w:usb0="00000000" w:usb1="10000000" w:usb2="00000000" w:usb3="00000000" w:csb0="00000001"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宋体-简">
    <w:panose1 w:val="02010800040101010101"/>
    <w:charset w:val="86"/>
    <w:family w:val="auto"/>
    <w:pitch w:val="default"/>
    <w:sig w:usb0="00000001" w:usb1="080F0000" w:usb2="00000000" w:usb3="00000000" w:csb0="00040000" w:csb1="00000000"/>
  </w:font>
  <w:font w:name="Arial Unicode MS">
    <w:panose1 w:val="020B0604020202020204"/>
    <w:charset w:val="86"/>
    <w:family w:val="auto"/>
    <w:pitch w:val="default"/>
    <w:sig w:usb0="FFFFFFFF" w:usb1="E9FFFFFF" w:usb2="0000003F" w:usb3="00000000" w:csb0="603F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AC643C">
    <w:pPr>
      <w:jc w:val="center"/>
    </w:pPr>
    <w:r>
      <w:rPr>
        <w:rFonts w:ascii="Times New Roman" w:hAnsi="Times New Roman" w:eastAsia="Times New Roman"/>
        <w:b w:val="0"/>
        <w:sz w:val="21"/>
      </w:rPr>
      <w:fldChar w:fldCharType="begin"/>
    </w:r>
    <w:r>
      <w:rPr>
        <w:rFonts w:ascii="Times New Roman" w:hAnsi="Times New Roman" w:eastAsia="Times New Roman"/>
        <w:b w:val="0"/>
        <w:sz w:val="21"/>
      </w:rPr>
      <w:instrText xml:space="preserve"> PAGE </w:instrText>
    </w:r>
    <w:r>
      <w:rPr>
        <w:rFonts w:ascii="Times New Roman" w:hAnsi="Times New Roman" w:eastAsia="Times New Roman"/>
        <w:b w:val="0"/>
        <w:sz w:val="21"/>
      </w:rPr>
      <w:fldChar w:fldCharType="separate"/>
    </w:r>
    <w:r>
      <w:rPr>
        <w:rFonts w:ascii="Times New Roman" w:hAnsi="Times New Roman" w:eastAsia="Times New Roman"/>
        <w:b w:val="0"/>
        <w:sz w:val="21"/>
      </w:rPr>
      <w:t>1</w:t>
    </w:r>
    <w:r>
      <w:rPr>
        <w:rFonts w:ascii="Times New Roman" w:hAnsi="Times New Roman" w:eastAsia="Times New Roman"/>
        <w:b w:val="0"/>
        <w:sz w:val="21"/>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D7C4D94"/>
    <w:multiLevelType w:val="multilevel"/>
    <w:tmpl w:val="1D7C4D94"/>
    <w:lvl w:ilvl="0" w:tentative="0">
      <w:start w:val="1"/>
      <w:numFmt w:val="decimal"/>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updateFields w:val="true"/>
  <w:zoom w:percent="126"/>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47C4"/>
    <w:rsid w:val="0002402A"/>
    <w:rsid w:val="00117620"/>
    <w:rsid w:val="001E5415"/>
    <w:rsid w:val="002C591E"/>
    <w:rsid w:val="00341B2C"/>
    <w:rsid w:val="003664A6"/>
    <w:rsid w:val="003A2072"/>
    <w:rsid w:val="004F07E7"/>
    <w:rsid w:val="004F5CCA"/>
    <w:rsid w:val="00737F6A"/>
    <w:rsid w:val="007C1F51"/>
    <w:rsid w:val="00866FFA"/>
    <w:rsid w:val="00871284"/>
    <w:rsid w:val="009800B0"/>
    <w:rsid w:val="00986FB1"/>
    <w:rsid w:val="00A847C4"/>
    <w:rsid w:val="00C914EC"/>
    <w:rsid w:val="00CA7789"/>
    <w:rsid w:val="00E816A5"/>
    <w:rsid w:val="00EB066F"/>
    <w:rsid w:val="00F04C38"/>
    <w:rsid w:val="00FD19E3"/>
    <w:rsid w:val="00FF6926"/>
    <w:rsid w:val="18FA7239"/>
    <w:rsid w:val="1BFF95D6"/>
    <w:rsid w:val="277F1F49"/>
    <w:rsid w:val="2AFBDEC4"/>
    <w:rsid w:val="30F14EBC"/>
    <w:rsid w:val="3576D8EF"/>
    <w:rsid w:val="379AF903"/>
    <w:rsid w:val="37D6E10D"/>
    <w:rsid w:val="3A77A649"/>
    <w:rsid w:val="3DFA4833"/>
    <w:rsid w:val="43FE21F8"/>
    <w:rsid w:val="4D4E6686"/>
    <w:rsid w:val="4F47DDF6"/>
    <w:rsid w:val="4FD9A5F8"/>
    <w:rsid w:val="4FFF8CCD"/>
    <w:rsid w:val="5B7F2A6F"/>
    <w:rsid w:val="5BBFD06E"/>
    <w:rsid w:val="5BEE7428"/>
    <w:rsid w:val="5DFFEF69"/>
    <w:rsid w:val="5F3F4A54"/>
    <w:rsid w:val="5F7FB192"/>
    <w:rsid w:val="5FFB665B"/>
    <w:rsid w:val="655A2287"/>
    <w:rsid w:val="65F78774"/>
    <w:rsid w:val="673FE172"/>
    <w:rsid w:val="676F45A0"/>
    <w:rsid w:val="6AE7AADF"/>
    <w:rsid w:val="6BFF7062"/>
    <w:rsid w:val="6CBA34AD"/>
    <w:rsid w:val="6DF84CE9"/>
    <w:rsid w:val="6E7DA8AD"/>
    <w:rsid w:val="6E8FB321"/>
    <w:rsid w:val="6EFBC10C"/>
    <w:rsid w:val="6FFF75D6"/>
    <w:rsid w:val="71BE9EA7"/>
    <w:rsid w:val="767FF00F"/>
    <w:rsid w:val="76DF3DEB"/>
    <w:rsid w:val="775FAE0F"/>
    <w:rsid w:val="77AEF49C"/>
    <w:rsid w:val="77EE8E39"/>
    <w:rsid w:val="77FB661E"/>
    <w:rsid w:val="78BF61AC"/>
    <w:rsid w:val="7991A463"/>
    <w:rsid w:val="7AFF5A11"/>
    <w:rsid w:val="7B9E8126"/>
    <w:rsid w:val="7C2FAA71"/>
    <w:rsid w:val="7D7F20D4"/>
    <w:rsid w:val="7EE7C957"/>
    <w:rsid w:val="7F5FB383"/>
    <w:rsid w:val="7FAD5313"/>
    <w:rsid w:val="7FB32125"/>
    <w:rsid w:val="7FBE517B"/>
    <w:rsid w:val="7FD6C748"/>
    <w:rsid w:val="7FFFCF3E"/>
    <w:rsid w:val="94EE1148"/>
    <w:rsid w:val="9AE84B35"/>
    <w:rsid w:val="9FB74D0D"/>
    <w:rsid w:val="A6911C8D"/>
    <w:rsid w:val="B2BB4892"/>
    <w:rsid w:val="B5CF164B"/>
    <w:rsid w:val="B77E3856"/>
    <w:rsid w:val="B9EB55EE"/>
    <w:rsid w:val="BD7F5271"/>
    <w:rsid w:val="BDDE8346"/>
    <w:rsid w:val="BDF597FE"/>
    <w:rsid w:val="BFD64E60"/>
    <w:rsid w:val="BFFA814C"/>
    <w:rsid w:val="C9BF4A34"/>
    <w:rsid w:val="CEFA19E4"/>
    <w:rsid w:val="D1F5787E"/>
    <w:rsid w:val="D31D7AD7"/>
    <w:rsid w:val="D35ABAD8"/>
    <w:rsid w:val="D77D16B1"/>
    <w:rsid w:val="D7F785DA"/>
    <w:rsid w:val="D7FE7F1F"/>
    <w:rsid w:val="D8C4F9D8"/>
    <w:rsid w:val="D9FA0EC0"/>
    <w:rsid w:val="DA1EC6EC"/>
    <w:rsid w:val="DA7EEAC6"/>
    <w:rsid w:val="DB7FEAF2"/>
    <w:rsid w:val="DDFFC49F"/>
    <w:rsid w:val="E77E4C6A"/>
    <w:rsid w:val="E7EF89C5"/>
    <w:rsid w:val="E9E7C479"/>
    <w:rsid w:val="EEFF0AD6"/>
    <w:rsid w:val="EFEEC315"/>
    <w:rsid w:val="F3E35A1F"/>
    <w:rsid w:val="F67432E3"/>
    <w:rsid w:val="F6FAC322"/>
    <w:rsid w:val="F76F48F5"/>
    <w:rsid w:val="F77BC61A"/>
    <w:rsid w:val="F7977A33"/>
    <w:rsid w:val="F7E1E449"/>
    <w:rsid w:val="F9EF1204"/>
    <w:rsid w:val="F9FB7683"/>
    <w:rsid w:val="FBEF9E1A"/>
    <w:rsid w:val="FCB7DDE0"/>
    <w:rsid w:val="FDCE3F8B"/>
    <w:rsid w:val="FE75DB6D"/>
    <w:rsid w:val="FEBB3654"/>
    <w:rsid w:val="FEFE32C2"/>
    <w:rsid w:val="FF7CB763"/>
    <w:rsid w:val="FF7F5F9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21"/>
    <w:qFormat/>
    <w:uiPriority w:val="9"/>
    <w:pPr>
      <w:keepNext/>
      <w:keepLines/>
      <w:spacing w:before="340" w:after="330" w:line="578" w:lineRule="auto"/>
      <w:outlineLvl w:val="0"/>
    </w:pPr>
    <w:rPr>
      <w:rFonts w:ascii="黑体" w:hAnsi="黑体" w:eastAsia="黑体" w:cs="黑体"/>
      <w:bCs/>
      <w:color w:val="000000"/>
      <w:kern w:val="44"/>
      <w:sz w:val="28"/>
      <w:szCs w:val="44"/>
    </w:rPr>
  </w:style>
  <w:style w:type="paragraph" w:styleId="3">
    <w:name w:val="heading 2"/>
    <w:basedOn w:val="1"/>
    <w:next w:val="1"/>
    <w:link w:val="20"/>
    <w:unhideWhenUsed/>
    <w:qFormat/>
    <w:uiPriority w:val="9"/>
    <w:pPr>
      <w:keepNext/>
      <w:keepLines/>
      <w:spacing w:before="260" w:after="260" w:line="416" w:lineRule="auto"/>
      <w:outlineLvl w:val="1"/>
    </w:pPr>
    <w:rPr>
      <w:rFonts w:asciiTheme="majorHAnsi" w:hAnsiTheme="majorHAnsi" w:eastAsiaTheme="majorEastAsia" w:cstheme="majorBidi"/>
      <w:bCs/>
      <w:color w:val="000000"/>
      <w:sz w:val="24"/>
      <w:szCs w:val="32"/>
    </w:rPr>
  </w:style>
  <w:style w:type="paragraph" w:styleId="4">
    <w:name w:val="heading 3"/>
    <w:basedOn w:val="1"/>
    <w:next w:val="1"/>
    <w:link w:val="22"/>
    <w:unhideWhenUsed/>
    <w:qFormat/>
    <w:uiPriority w:val="9"/>
    <w:pPr>
      <w:keepNext/>
      <w:keepLines/>
      <w:spacing w:before="260" w:after="260" w:line="416" w:lineRule="auto"/>
      <w:outlineLvl w:val="2"/>
    </w:pPr>
    <w:rPr>
      <w:rFonts w:ascii="黑体" w:hAnsi="黑体" w:eastAsia="黑体" w:cs="黑体"/>
      <w:bCs/>
      <w:color w:val="000000"/>
      <w:sz w:val="24"/>
      <w:szCs w:val="32"/>
    </w:rPr>
  </w:style>
  <w:style w:type="character" w:default="1" w:styleId="12">
    <w:name w:val="Default Paragraph Font"/>
    <w:semiHidden/>
    <w:unhideWhenUsed/>
    <w:uiPriority w:val="1"/>
  </w:style>
  <w:style w:type="table" w:default="1" w:styleId="10">
    <w:name w:val="Normal Table"/>
    <w:semiHidden/>
    <w:unhideWhenUsed/>
    <w:uiPriority w:val="99"/>
    <w:tblPr>
      <w:tblCellMar>
        <w:top w:w="0" w:type="dxa"/>
        <w:left w:w="108" w:type="dxa"/>
        <w:bottom w:w="0" w:type="dxa"/>
        <w:right w:w="108" w:type="dxa"/>
      </w:tblCellMar>
    </w:tblPr>
  </w:style>
  <w:style w:type="paragraph" w:styleId="5">
    <w:name w:val="footer"/>
    <w:basedOn w:val="1"/>
    <w:link w:val="24"/>
    <w:unhideWhenUsed/>
    <w:uiPriority w:val="99"/>
    <w:pPr>
      <w:tabs>
        <w:tab w:val="center" w:pos="4153"/>
        <w:tab w:val="right" w:pos="8306"/>
      </w:tabs>
      <w:snapToGrid w:val="0"/>
      <w:spacing w:line="240" w:lineRule="auto"/>
      <w:jc w:val="left"/>
    </w:pPr>
    <w:rPr>
      <w:sz w:val="18"/>
      <w:szCs w:val="18"/>
    </w:rPr>
  </w:style>
  <w:style w:type="paragraph" w:styleId="6">
    <w:name w:val="header"/>
    <w:basedOn w:val="1"/>
    <w:link w:val="23"/>
    <w:unhideWhenUsed/>
    <w:uiPriority w:val="99"/>
    <w:pPr>
      <w:pBdr>
        <w:bottom w:val="single" w:color="auto" w:sz="6" w:space="1"/>
      </w:pBdr>
      <w:tabs>
        <w:tab w:val="center" w:pos="4153"/>
        <w:tab w:val="right" w:pos="8306"/>
      </w:tabs>
      <w:snapToGrid w:val="0"/>
      <w:spacing w:line="240" w:lineRule="auto"/>
      <w:jc w:val="center"/>
    </w:pPr>
    <w:rPr>
      <w:sz w:val="18"/>
      <w:szCs w:val="18"/>
    </w:rPr>
  </w:style>
  <w:style w:type="paragraph" w:styleId="7">
    <w:name w:val="toc 1"/>
    <w:basedOn w:val="1"/>
    <w:next w:val="1"/>
    <w:semiHidden/>
    <w:unhideWhenUsed/>
    <w:uiPriority w:val="39"/>
  </w:style>
  <w:style w:type="paragraph" w:styleId="8">
    <w:name w:val="toc 2"/>
    <w:basedOn w:val="1"/>
    <w:next w:val="1"/>
    <w:semiHidden/>
    <w:unhideWhenUsed/>
    <w:uiPriority w:val="39"/>
    <w:pPr>
      <w:ind w:left="420" w:leftChars="200"/>
    </w:pPr>
  </w:style>
  <w:style w:type="paragraph" w:styleId="9">
    <w:name w:val="Normal (Web)"/>
    <w:basedOn w:val="1"/>
    <w:semiHidden/>
    <w:unhideWhenUsed/>
    <w:uiPriority w:val="99"/>
    <w:pPr>
      <w:widowControl/>
      <w:spacing w:before="100" w:beforeAutospacing="1" w:after="100" w:afterAutospacing="1"/>
      <w:jc w:val="left"/>
    </w:pPr>
    <w:rPr>
      <w:rFonts w:ascii="宋体" w:hAnsi="宋体" w:cs="宋体"/>
      <w:kern w:val="0"/>
    </w:rPr>
  </w:style>
  <w:style w:type="table" w:styleId="11">
    <w:name w:val="Table Grid"/>
    <w:basedOn w:val="10"/>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3">
    <w:name w:val="样式 (中文) 黑体 小二 居中"/>
    <w:basedOn w:val="1"/>
    <w:uiPriority w:val="0"/>
    <w:pPr>
      <w:snapToGrid w:val="0"/>
      <w:spacing w:before="400" w:after="200" w:line="300" w:lineRule="auto"/>
      <w:jc w:val="center"/>
    </w:pPr>
    <w:rPr>
      <w:rFonts w:eastAsia="黑体" w:cs="宋体"/>
      <w:sz w:val="36"/>
      <w:szCs w:val="20"/>
    </w:rPr>
  </w:style>
  <w:style w:type="paragraph" w:customStyle="1" w:styleId="14">
    <w:name w:val="节"/>
    <w:basedOn w:val="1"/>
    <w:uiPriority w:val="0"/>
    <w:pPr>
      <w:snapToGrid w:val="0"/>
      <w:spacing w:beforeLines="50" w:afterLines="50" w:line="300" w:lineRule="auto"/>
    </w:pPr>
    <w:rPr>
      <w:rFonts w:eastAsia="黑体"/>
      <w:sz w:val="30"/>
    </w:rPr>
  </w:style>
  <w:style w:type="paragraph" w:customStyle="1" w:styleId="15">
    <w:name w:val="条"/>
    <w:basedOn w:val="1"/>
    <w:uiPriority w:val="0"/>
    <w:pPr>
      <w:snapToGrid w:val="0"/>
      <w:spacing w:beforeLines="50" w:afterLines="50" w:line="300" w:lineRule="auto"/>
    </w:pPr>
    <w:rPr>
      <w:rFonts w:eastAsia="黑体"/>
      <w:sz w:val="28"/>
    </w:rPr>
  </w:style>
  <w:style w:type="paragraph" w:customStyle="1" w:styleId="16">
    <w:name w:val="款"/>
    <w:basedOn w:val="1"/>
    <w:uiPriority w:val="0"/>
    <w:pPr>
      <w:snapToGrid w:val="0"/>
      <w:spacing w:line="300" w:lineRule="auto"/>
    </w:pPr>
    <w:rPr>
      <w:rFonts w:eastAsia="黑体"/>
    </w:rPr>
  </w:style>
  <w:style w:type="paragraph" w:styleId="17">
    <w:name w:val="List Paragraph"/>
    <w:basedOn w:val="1"/>
    <w:qFormat/>
    <w:uiPriority w:val="34"/>
    <w:pPr>
      <w:ind w:firstLine="420" w:firstLineChars="200"/>
      <w:jc w:val="both"/>
    </w:pPr>
  </w:style>
  <w:style w:type="character" w:customStyle="1" w:styleId="18">
    <w:name w:val="fontstyle01"/>
    <w:basedOn w:val="12"/>
    <w:uiPriority w:val="0"/>
    <w:rPr>
      <w:rFonts w:hint="eastAsia" w:ascii="宋体" w:hAnsi="宋体" w:eastAsia="宋体"/>
      <w:color w:val="000000"/>
      <w:sz w:val="24"/>
      <w:szCs w:val="24"/>
    </w:rPr>
  </w:style>
  <w:style w:type="character" w:customStyle="1" w:styleId="19">
    <w:name w:val="fontstyle21"/>
    <w:basedOn w:val="12"/>
    <w:uiPriority w:val="0"/>
    <w:rPr>
      <w:rFonts w:hint="default" w:ascii="TimesNewRomanPSMT" w:hAnsi="TimesNewRomanPSMT"/>
      <w:color w:val="000000"/>
      <w:sz w:val="24"/>
      <w:szCs w:val="24"/>
    </w:rPr>
  </w:style>
  <w:style w:type="character" w:customStyle="1" w:styleId="20">
    <w:name w:val="标题 2 字符"/>
    <w:basedOn w:val="12"/>
    <w:link w:val="3"/>
    <w:uiPriority w:val="9"/>
    <w:rPr>
      <w:rFonts w:asciiTheme="majorHAnsi" w:hAnsiTheme="majorHAnsi" w:eastAsiaTheme="majorEastAsia" w:cstheme="majorBidi"/>
      <w:b/>
      <w:bCs/>
      <w:sz w:val="30"/>
      <w:szCs w:val="32"/>
    </w:rPr>
  </w:style>
  <w:style w:type="character" w:customStyle="1" w:styleId="21">
    <w:name w:val="标题 1 字符"/>
    <w:basedOn w:val="12"/>
    <w:link w:val="2"/>
    <w:uiPriority w:val="9"/>
    <w:rPr>
      <w:rFonts w:ascii="Times New Roman" w:hAnsi="Times New Roman" w:eastAsia="宋体" w:cs="Times New Roman"/>
      <w:b/>
      <w:bCs/>
      <w:kern w:val="44"/>
      <w:sz w:val="32"/>
      <w:szCs w:val="44"/>
    </w:rPr>
  </w:style>
  <w:style w:type="character" w:customStyle="1" w:styleId="22">
    <w:name w:val="标题 3 字符"/>
    <w:basedOn w:val="12"/>
    <w:link w:val="4"/>
    <w:uiPriority w:val="9"/>
    <w:rPr>
      <w:rFonts w:ascii="Times New Roman" w:hAnsi="Times New Roman" w:eastAsia="宋体" w:cs="Times New Roman"/>
      <w:b/>
      <w:bCs/>
      <w:sz w:val="28"/>
      <w:szCs w:val="32"/>
    </w:rPr>
  </w:style>
  <w:style w:type="character" w:customStyle="1" w:styleId="23">
    <w:name w:val="页眉 字符"/>
    <w:basedOn w:val="12"/>
    <w:link w:val="6"/>
    <w:uiPriority w:val="99"/>
    <w:rPr>
      <w:rFonts w:ascii="Times New Roman" w:hAnsi="Times New Roman" w:eastAsia="宋体" w:cs="Times New Roman"/>
      <w:sz w:val="18"/>
      <w:szCs w:val="18"/>
    </w:rPr>
  </w:style>
  <w:style w:type="character" w:customStyle="1" w:styleId="24">
    <w:name w:val="页脚 字符"/>
    <w:basedOn w:val="12"/>
    <w:link w:val="5"/>
    <w:uiPriority w:val="99"/>
    <w:rPr>
      <w:rFonts w:ascii="Times New Roman" w:hAnsi="Times New Roman" w:eastAsia="宋体" w:cs="Times New Roman"/>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31</Pages>
  <Words>14962</Words>
  <Characters>21926</Characters>
  <Lines>34</Lines>
  <Paragraphs>9</Paragraphs>
  <TotalTime>10</TotalTime>
  <ScaleCrop>false</ScaleCrop>
  <LinksUpToDate>false</LinksUpToDate>
  <CharactersWithSpaces>23540</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2022-10-17T02:38:00Z</dcterms:created>
  <dc:creator>董 睿璞</dc:creator>
  <cp:lastModifiedBy>Dr.Oppenheimer</cp:lastModifiedBy>
  <dcterms:modified xsi:type="dcterms:W3CDTF">2026-09-27T11:43:03Z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2052-12.1.28496.28496</vt:lpwstr>
  </property>
  <property fmtid="{D5CDD505-2E9C-101B-9397-08002B2CF9AE}" pid="3" name="ICV">
    <vt:lpwstr>0A57C0DBE9B026AC4C0EB16A35E8C83E_42</vt:lpwstr>
  </property>
</Properties>
</file>