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张子琦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1、阅读相关文献，梳理函数调用训练数据集和评测指标，完成模型与数据的适配准备。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2、搭建训练与推理流程，完成SFT基线，打通学生生成、教师反馈与参数更新流程。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3、实现蒸馏方法原型，开展数值和梯度等基础验证，整理配置与运行记录。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1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2026.10.12—10.18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第1周工作情况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阅读GKD（Agarwal等，ICLR 2024，arXiv:2306.13649）和MiniLLM（Gu等，ICLR 2024，arXiv:2306.08543），前者利用学生生成序列上的教师监督缓解训练与推理分布差异，后者以反向KL改善分布匹配，为在线采样及散度目标设计提供参考。同时查找xLAM-60k训练集，参考BFCL（Patil等，ICML 2025）梳理AST匹配准确率及可执行样例的执行结果准确率。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2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第2周工作计划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梳理函数调用样本的输入输出格式，了解SFT数据处理和训练流程，明确基线实验需要准备的模型、数据与运行环境。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查看了xLAM-60k中的query、tools和answers等字段，梳理用户问题、工具定义和目标函数调用之间的对应关系；了解函数调用样本转换为训练对话格式的处理方式，并整理训练集与评测集划分、工具调用格式等注意事项，作为后续SFT基线的准备。模型训练尚未开始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数据格式和训练环境仍需核对，暂未开展模型训练。</w:t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817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选择合适的模型，准备训练环境和数据，先完成监督微调（SFT），建立后续蒸馏实验的基线。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正在进行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近期需准备学术会议材料，训练与基线验证进度有所延后。</w:t>
            </w: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