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7</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7</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10</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16</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17</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20</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22</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研究思路与问题展开</w:t>
      </w:r>
      <w:r>
        <w:tab/>
      </w:r>
      <w:r>
        <w:fldChar w:fldCharType="begin"/>
      </w:r>
      <w:r>
        <w:instrText xml:space="preserve"> PAGEREF _Toc816010318 \h </w:instrText>
      </w:r>
      <w:r>
        <w:fldChar w:fldCharType="separate"/>
      </w:r>
      <w:r>
        <w:t>22</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 xml:space="preserve">3.2 在线策略蒸馏的三个研究切入点</w:t>
      </w:r>
      <w:r>
        <w:tab/>
      </w:r>
      <w:r>
        <w:fldChar w:fldCharType="begin"/>
      </w:r>
      <w:r>
        <w:instrText xml:space="preserve"> PAGEREF _Toc854844884 \h </w:instrText>
      </w:r>
      <w:r>
        <w:fldChar w:fldCharType="separate"/>
      </w:r>
      <w:r>
        <w:t>22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 xml:space="preserve">3.3 Top-K 稀疏反馈的缺陷与拟改进方法</w:t>
      </w:r>
      <w:r>
        <w:tab/>
      </w:r>
      <w:r>
        <w:fldChar w:fldCharType="begin"/>
      </w:r>
      <w:r>
        <w:instrText xml:space="preserve"> PAGEREF _Toc712366958 \h </w:instrText>
      </w:r>
      <w:r>
        <w:fldChar w:fldCharType="separate"/>
      </w:r>
      <w:r>
        <w:t>24</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 xml:space="preserve">3.4 验证路径与预期研究产出</w:t>
      </w:r>
      <w:r>
        <w:tab/>
      </w:r>
      <w:r>
        <w:fldChar w:fldCharType="begin"/>
      </w:r>
      <w:r>
        <w:instrText xml:space="preserve"> PAGEREF _Toc530131081 \h </w:instrText>
      </w:r>
      <w:r>
        <w:fldChar w:fldCharType="separate"/>
      </w:r>
      <w:r>
        <w:t>25</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3.5 本章总结</w:t>
      </w:r>
      <w:r>
        <w:rPr>
          <w:rFonts w:hint="eastAsia" w:ascii="黑体" w:hAnsi="黑体" w:eastAsia="黑体" w:cs="黑体"/>
          <w:lang w:val="en-US" w:eastAsia="zh-CN"/>
        </w:rPr>
        <w:t/>
      </w:r>
      <w:r>
        <w:tab/>
      </w:r>
      <w:r>
        <w:fldChar w:fldCharType="begin"/>
      </w:r>
      <w:r>
        <w:instrText xml:space="preserve"> PAGEREF _Toc3426964 \h </w:instrText>
      </w:r>
      <w:r>
        <w:fldChar w:fldCharType="separate"/>
      </w:r>
      <w:r>
        <w:t>26</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27</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27</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29</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31</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散度目标分析与稀疏反馈定义</w:t>
      </w:r>
      <w:r>
        <w:tab/>
      </w:r>
      <w:r>
        <w:fldChar w:fldCharType="begin"/>
      </w:r>
      <w:r>
        <w:instrText xml:space="preserve"> PAGEREF _Toc307070742 \h </w:instrText>
      </w:r>
      <w:r>
        <w:fldChar w:fldCharType="separate"/>
      </w:r>
      <w:r>
        <w:t>34</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37</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41</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41</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41</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43</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45</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45</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45</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45</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47</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49</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 xml:space="preserve">本课题面向大语言模型的工具调用后训练，考察在线策略蒸馏的三个相互关联的环节：学生实际访问的生成状态、师生分布的匹配目标，以及有限教师反馈中保留的候选 token。前两者决定在何处学习、按何种偏好更新学生；第三者决定这些偏好能否在稀疏反馈中传递。本文先建立三方面的可比分析，再针对 Top-K 反馈可能遗漏的尾部信息研究改进方法。</w:t>
      </w:r>
    </w:p>
    <w:p w14:paraId="4589AFE8">
      <w:pPr>
        <w:ind w:firstLine="420"/>
        <w:jc w:val="both"/>
      </w:pPr>
      <w:r>
        <w:t xml:space="preserve">研究计划采用 Qwen3-0.6B 作为 LoRA 学生、冻结的 Qwen3-4B 作为教师，从公开 Function Calling 数据筛选单轮样本。在学生生成的前缀上比较有效监督位置和完整词表散度的行为差异，随后固定状态与主损失，诊断 Top-K 截断及其尾部信息损失。候选方法在关键位置补入学生高概率的决策 token，并检验同预算下的任务表现与成本。模型版本、数据来源、划分和硬件条件在实验前统一记录。</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 xml:space="preserve">1. 梳理在线策略蒸馏中学生状态、散度目标与监督粒度的研究进展，建立单轮工具调用的可复现训练与分层评价流程。</w:t>
      </w:r>
    </w:p>
    <w:p w14:paraId="6CEC8EBA">
      <w:pPr>
        <w:pStyle w:val="17"/>
        <w:ind w:firstLine="420"/>
        <w:jc w:val="both"/>
      </w:pPr>
      <w:r>
        <w:t xml:space="preserve">2. 在统一学生轨迹上研究完整词表散度的行为偏好，并诊断 Top-K 截断对尾部总概率、关键决策 token 和梯度的影响。</w:t>
      </w:r>
    </w:p>
    <w:p w14:paraId="1582C878">
      <w:pPr>
        <w:pStyle w:val="17"/>
        <w:ind w:firstLine="420"/>
        <w:jc w:val="both"/>
      </w:pPr>
      <w:r>
        <w:t xml:space="preserve">3. 研究决策感知的稀疏反馈候选方法，以同预算对照和组件消融检验其任务效果、训练稳定性与额外资源成本。</w:t>
      </w:r>
    </w:p>
    <w:p w14:paraId="1280B22F">
      <w:pPr>
        <w:ind w:firstLine="420"/>
        <w:jc w:val="both"/>
      </w:pPr>
      <w:r>
        <w:t xml:space="preserve">本课题从在线策略蒸馏的状态、目标和反馈三个环节逐步收束研究范围：状态分析保证教师监督落在学生会访问的前缀，散度分析说明不同分布匹配目标引导何种行为，稀疏反馈分析揭示目标在有限预算下可能发生的失真。由此提出的 Top-K 改进须与完整词表、固定 Top-K 及已有尾部修正方法比较；其实际价值由工具调用结果和资源记录共同判断。</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 xml:space="preserve">在线策略蒸馏把教师监督带到学生真实访问的前缀上[7]，却也使教师需要在大量生成位置返回分布。完整词表反馈保留全部候选的相对关系，存储和传输开销随词表及序列长度增长。Top-K 只保留少量高概率候选，K1 sampled-token 则以单样本估计进一步压缩反馈。前缀蒸馏和蒸馏设计空间研究表明，反馈预算已经成为在线方法能否实施的重要约束[11][15]。</w:t>
      </w:r>
    </w:p>
    <w:p w14:paraId="4D26498B">
      <w:pPr>
        <w:ind w:firstLine="420"/>
        <w:jc w:val="both"/>
      </w:pPr>
      <w:r>
        <w:t xml:space="preserve">稀疏反馈改变了训练目标。Sparse Logit Sampling 指出，直接缓存教师 Top-K 会产生有偏的分布估计[30]。TA-OPD 进一步发现，当师生都在教师 Top-K 内归一化时，目标忽略支持集外的总概率，学生尾部概率与熵可能在训练中上升；该工作用一个尾部类别保留剩余概率总量[31]。TT-OPD 与 ResOPD 则利用采样残差修正稀疏估计[32][34]。尾部总量的补偿已有明确先行工作。</w:t>
      </w:r>
    </w:p>
    <w:p w14:paraId="7BE9DE7C">
      <w:pPr>
        <w:spacing w:before="0" w:after="0" w:line="360" w:lineRule="auto"/>
        <w:ind w:firstLine="420"/>
        <w:jc w:val="both"/>
      </w:pPr>
      <w:r>
        <w:rPr>
          <w:rFonts w:ascii="Times New Roman" w:hAnsi="Times New Roman" w:eastAsia="宋体"/>
          <w:sz w:val="24"/>
        </w:rPr>
        <w:t xml:space="preserve">另一类信息损失与总概率大小无关。Shen 等在多教师工具调用蒸馏中发现，即使教师 Top-K 覆盖几乎全部教师概率，也可能漏掉学生高估的工具调用入口 token；该坐标的修正会改变完整调用行为[33]。质量覆盖率因此无法单独衡量决策梯度是否完整。尾部类别可以约束“其余 token 合计多少概率”，但无法区分尾部中哪一个函数入口或结构 token 应被单独修正。</w:t>
      </w:r>
    </w:p>
    <w:p w14:paraId="3028239A">
      <w:pPr>
        <w:spacing w:before="0" w:after="0" w:line="360" w:lineRule="auto"/>
        <w:ind w:firstLine="420"/>
        <w:jc w:val="both"/>
      </w:pPr>
      <w:r>
        <w:rPr>
          <w:rFonts w:ascii="Times New Roman" w:hAnsi="Times New Roman" w:eastAsia="宋体"/>
          <w:sz w:val="24"/>
        </w:rPr>
        <w:t xml:space="preserve">现有工作分别处理了尾部总量、估计偏差和遗漏的学生候选[31][32][33][34]。对单教师、单轮 Function Calling 而言，关键问题进一步落在资源分配上：哪些生成位置需要显式保留低教师概率、高学生概率的决策 token，哪些位置可使用较小的支持集？全局增大 K 会提高反馈成本，仅按教师累计概率选 K 仍可能漏掉学生偏好的关键坐标。本文因此把位置风险、候选保留和反馈预算放入同一个方法设计。</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 xml:space="preserve">Function Calling 提供了检验稀疏反馈价值的可观察结果。函数入口和函数名决定是否调用工具及调用哪一个工具，参数键、结构符号和参数值分别影响 schema 合法性、解析与执行。公开数据和 BFCL 等评测允许把这些错误分开统计[25][26][27]。本文将词表层面的尾部质量与梯度误差，最终对应到函数误选、过度调用、格式错误和端到端成功率，建立从概率压缩到实际行为的证据链。</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 xml:space="preserve">现有研究为在线策略蒸馏提供了三个主要切入点。首先，GKD 等方法让教师在学生实际生成的前缀上评分，缓解训练与推理状态不一致的问题[7]。其次，Forward KL、Reverse KL、JSD 与 skew KL 对概率区域赋予不同权重，影响学生的覆盖、集中程度与训练稳定性[7][8][9][12]。再次，完整词表反馈较为充分，却需要较高的存储和传输成本；Top-K 与 sampled-token 方法以较少的教师信息换取可实施性[11][15][30]。状态、目标和反馈共同决定蒸馏效果，比较其中任何一项都需要固定另外两项。</w:t>
      </w:r>
    </w:p>
    <w:p w14:paraId="0A9C58A2">
      <w:pPr>
        <w:ind w:firstLine="420"/>
        <w:jc w:val="both"/>
      </w:pPr>
      <w:r>
        <w:t xml:space="preserve">上述切入点中，稀疏反馈留下了值得进一步研究的具体缺陷。教师 Top-K 内重新归一化会忽略支持集外的总概率，已有尾部类别方法对此作了补偿[31]；只看教师累计概率仍可能漏掉学生高估的工具调用决策 token，已有多教师研究揭示了这种风险[33]。采样修正也已用于缓解稀疏估计偏差[32][34]。这些结果尚不能直接推出单教师、单轮 Function Calling 中的最佳做法。本文在明确学生状态和散度目标的基础上，测量尾部总量与具体决策候选的遗漏，再研究固定反馈预算下的联合选择机制。</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 xml:space="preserve">3.1 研究思路与问题展开</w:t>
      </w:r>
      <w:bookmarkEnd w:id="17"/>
    </w:p>
    <w:p w14:paraId="71C6F5B5">
      <w:pPr>
        <w:ind w:firstLine="420"/>
        <w:jc w:val="both"/>
      </w:pPr>
      <w:r>
        <w:t xml:space="preserve">本文沿着“学生在哪里学习、分布目标如何引导学习、有限反馈保留什么信号”展开研究。首先建立单轮 Function Calling 的学生生成轨迹和教师同前缀评分，明确有效监督位置及错误类型；随后在相同轨迹上分析散度目标的概率权重与工具调用行为；最后固定主要训练目标，检验稀疏反馈是否遗漏有效信号，并针对 Top-K 的具体缺陷提出候选改进。前三项研究由一般 OPD 问题逐步进入可实施的方法设计。</w:t>
      </w:r>
    </w:p>
    <w:p w14:paraId="1EEDD05E">
      <w:pPr>
        <w:pStyle w:val="3"/>
      </w:pPr>
      <w:bookmarkStart w:id="18" w:name="_Toc854844884"/>
      <w:r>
        <w:rPr>
          <w:rFonts w:ascii="黑体" w:hAnsi="黑体" w:eastAsia="黑体" w:cs="黑体"/>
          <w:b/>
          <w:color w:val="000000"/>
          <w:sz w:val="24"/>
        </w:rPr>
        <w:t xml:space="preserve">3.2 在线策略蒸馏的三个研究切入点</w:t>
      </w:r>
      <w:bookmarkEnd w:id="18"/>
    </w:p>
    <w:p w14:paraId="306F781D">
      <w:pPr>
        <w:ind w:firstLine="420"/>
        <w:jc w:val="both"/>
      </w:pPr>
      <w:r>
        <w:t xml:space="preserve">第一，学生状态上的监督是否有效。学生自主生成时会访问教师示例未覆盖的前缀；在这些位置评分是 OPD 相对离线蒸馏的重要变化[7]。本文建立单轮工具调用轨迹与冻结教师评分流程，按函数入口、函数名、参数键、参数值和结构边界标注可可靠识别的位置。通过统一位置掩码、分层错误统计及少量状态使用对照，确认后续散度和稀疏反馈比较所依据的状态分布。</w:t>
      </w:r>
    </w:p>
    <w:p w14:paraId="7FDDC4C9">
      <w:pPr>
        <w:ind w:firstLine="420"/>
        <w:jc w:val="both"/>
      </w:pPr>
      <w:r>
        <w:t xml:space="preserve">第二，散度目标引导学生学习什么。Forward KL 侧重教师认为合理的候选，Reverse KL 更关注学生当前赋予较高概率的区域；JSD 和 skew KL 提供不同的混合与平滑方式[7][8][9][12]。本文在相同学生前缀、完整词表反馈和训练预算下，比较这些目标对函数选择、过度调用、熵、梯度及训练稳定性的影响，分析不同概率权重如何转化为工具调用行为，并据此确定稀疏反馈研究的主要损失方向。散度比较承担机制分析，不能仅停留在公式计算。</w:t>
      </w:r>
    </w:p>
    <w:p w14:paraId="7FDDC4CA">
      <w:pPr>
        <w:ind w:firstLine="420"/>
        <w:jc w:val="both"/>
      </w:pPr>
      <w:r>
        <w:t xml:space="preserve">第三，有限反馈能否保留所选目标中的有效信号。在固定状态与主要散度方向后，比较完整词表、常规 Top-K 和 sampled-token 监督，定位压缩造成的目标偏差与估计波动[30][31][32]。重点检查 Top-K 外的尾部总概率，以及学生高概率而教师 Top-K 未覆盖的工具调用决策 token：前者改变概率总量约束，后者可能改变具体函数选择[31][33]。如果这些遗漏在本任务中具有可观察的梯度或行为影响，便进入第 3.3 节的方法改进。</w:t>
      </w:r>
    </w:p>
    <w:p w14:paraId="1514E400">
      <w:pPr>
        <w:pStyle w:val="3"/>
      </w:pPr>
      <w:bookmarkStart w:id="19" w:name="_Toc712366958"/>
      <w:r>
        <w:rPr>
          <w:rFonts w:ascii="黑体" w:hAnsi="黑体" w:eastAsia="黑体" w:cs="黑体"/>
          <w:b/>
          <w:color w:val="000000"/>
          <w:sz w:val="24"/>
        </w:rPr>
        <w:t xml:space="preserve">3.3 Top-K 稀疏反馈的缺陷与拟改进方法</w:t>
      </w:r>
      <w:bookmarkEnd w:id="19"/>
    </w:p>
    <w:p w14:paraId="6EF7E413">
      <w:pPr>
        <w:ind w:firstLine="420"/>
        <w:jc w:val="both"/>
      </w:pPr>
      <w:r>
        <w:t xml:space="preserve">现有尾部类别方法能够保留支持集外的概率总量，却无法指出尾部中哪个 token 决定工具调用；只增大教师 Top-K 虽能覆盖更多候选，也会提高反馈量，且教师概率覆盖率不保证学生关键坐标得到修正[31][33]。针对这一缺口，本文拟构造决策感知的支持集：在学生生成的单轮调用中，依据工具 schema 和消息边界标记函数入口、函数名、参数键与结构位置；以教师 Top-K 为基础，检查学生高概率的合法决策候选，将漏选且可能改变调用路径的 token 补入，并取得教师对这些 token 的概率。</w:t>
      </w:r>
    </w:p>
    <w:p w14:paraId="7FDDC4CB">
      <w:pPr>
        <w:ind w:firstLine="420"/>
        <w:jc w:val="both"/>
      </w:pPr>
      <w:r>
        <w:t xml:space="preserve">补入后的显式候选与一个尾部类别共同组成蒸馏目标。尾部类别沿用已有方法表示支持集外的师生概率总量[31]；补入的决策 token 则接受单独的概率约束，使损失能够区分“尾部总量不符”和“某个具体调用候选被高估”。两项处理分别设置消融，并与已有学生感知支持集思路比较[33]。若教师接口只能返回 Top-K，额外候选的概率获取能力须先确认；反馈字节数、查询量和教师计算时间分别记录。</w:t>
      </w:r>
    </w:p>
    <w:p w14:paraId="7FDDC4CC">
      <w:pPr>
        <w:ind w:firstLine="420"/>
        <w:jc w:val="both"/>
      </w:pPr>
      <w:r>
        <w:t xml:space="preserve">在反馈预算固定时，本文进一步研究候选名额的分配。根据训练集诊断子集中的尾部质量差、关键 token 漏选率和完整词表梯度误差估计位置风险，在函数入口等高风险位置保留更多显式候选，在低风险位置缩小支持集。位置权重、K 的上限及阈值只由训练集和验证集确定。最终方法是“关键候选补入、尾部总量保留、位置预算分配”的待验证组合；三个组件均有相应的单独对照，方法贡献取决于同预算实验结果。</w:t>
      </w:r>
    </w:p>
    <w:p w14:paraId="7F13BEDA">
      <w:pPr>
        <w:pStyle w:val="3"/>
      </w:pPr>
      <w:bookmarkStart w:id="20" w:name="_Toc530131081"/>
      <w:r>
        <w:rPr>
          <w:rFonts w:ascii="黑体" w:hAnsi="黑体" w:eastAsia="黑体" w:cs="黑体"/>
          <w:b/>
          <w:color w:val="000000"/>
          <w:sz w:val="24"/>
        </w:rPr>
        <w:t xml:space="preserve">3.4 验证路径与预期研究产出</w:t>
      </w:r>
      <w:bookmarkEnd w:id="20"/>
    </w:p>
    <w:p w14:paraId="7DA378CA">
      <w:pPr>
        <w:ind w:firstLine="420"/>
        <w:jc w:val="both"/>
      </w:pPr>
      <w:r>
        <w:t xml:space="preserve">验证按三个研究切入点依次展开。先检查学生 rollout、教师同前缀评分、位置标注和结构化评测是否可靠；再固定轨迹与完整词表反馈，研究散度方向对梯度、熵和工具调用行为的影响。确定主要损失方向后，在同一批前缀上测量不同 K 的尾部总量、关键 token 漏选和相对完整词表的梯度误差。若遗漏在本任务中不显著，将依据观察结果收缩方法范围。</w:t>
      </w:r>
    </w:p>
    <w:p w14:paraId="7FDDC4CD">
      <w:pPr>
        <w:ind w:firstLine="420"/>
        <w:jc w:val="both"/>
      </w:pPr>
      <w:r>
        <w:t xml:space="preserve">方法比较使用同一学生起点、教师、数据划分、生成协议、主要散度方向和有效训练 token 预算。常规 Top-K、已有尾部类别、仅补入决策候选、仅按位置分配 K 与完整联合方案构成主对照；各组匹配平均反馈条目数，并分别报告额外教师概率获取成本。完整词表提供信息参照，其他散度与 K1 sampled-token 作为机制和低反馈量边界分析。短程实验确认信号与行为的关联后，再决定正式训练规模。</w:t>
      </w:r>
    </w:p>
    <w:p w14:paraId="7FDDC4CE">
      <w:pPr>
        <w:ind w:firstLine="420"/>
        <w:jc w:val="both"/>
      </w:pPr>
      <w:r>
        <w:t xml:space="preserve">研究预期形成三个相互支撑的结果：可复现的学生状态与工具调用错误分层，散度目标对概率权重和任务行为的机制分析，以及 Top-K 信息损失的诊断与同预算改进检验。除函数、参数和格式指标外，还报告损失、梯度、熵、反馈字节数、教师查询、时间和显存。方法是否优于现有稀疏反馈方案，须由实际实验判定。</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 xml:space="preserve">图 1 展示研究问题的递进关系：先确定学生实际访问的状态，再分析散度目标如何改变更新方向，最后考察目标在 Top-K 稀疏反馈中保留了哪些信号。研究重点落在第三环节的具体缺陷及其改进，同时保持前两环节的独立分析与公平控制。尾部类别、采样修正和学生感知支持集已有先行工作[31][32][33][34]；本文将检验面向单轮工具调用的联合选择机制是否具有额外价值。</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在线策略蒸馏的研究切入点与重点改进</w:t>
      </w:r>
      <w:r>
        <w:rPr>
          <w:rFonts w:hint="eastAsia"/>
          <w:sz w:val="21"/>
          <w:lang w:val="en-US" w:eastAsia="zh-CN"/>
        </w:rPr>
        <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 xml:space="preserve">总体路线从在线策略蒸馏的三个环节展开。学生在单轮 Function Calling 中生成轨迹，冻结教师在相同前缀评分，形成可重复的状态与位置集合；完整词表散度比较用于分析概率权重、梯度与工具调用行为，并确定主要损失方向；在该目标下诊断 Top-K 的尾部总量和决策 token 漏选；最后按位置风险分配 K、补入关键候选、保留尾部总概率，更新 LoRA 学生并进行分层评测。图 2 对应这一路径。</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 xml:space="preserve">统一目标使状态选择、散度类型与反馈支持集可以分别定义和控制。先在完整词表上研究 Forward KL、Reverse KL、JSD 和 skew KL 的行为差异；完整词表 Reverse KL 作为当前拟定的信息参照，实际主要损失方向仍须结合前期诊断确定。常规子集归一化 Top-K 用于展示截断误差，已有尾部类别方法作为直接基线[31]。候选方法改变支持集：在关键位置补入学生高概率而教师 Top-K 漏掉的合法决策 token，其余概率归入尾部类别，位置 K 受总反馈预算约束。离散 rollout 提供训练状态，损失对学生 LoRA 参数反向传播。总体优化问题写为：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 xml:space="preserve">实验顺序先核实在策略状态与位置标注，再解释完整词表散度的优化偏好，随后定位固定主要散度下的稀疏反馈缺陷，并通过同预算消融检验候选方法。散度分析与反馈支持集实验分别报告，避免把损失方向变化误认为 Top-K 改进的收益。完整训练配置与原始指标用于追溯行为变化。</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教师不重新生成替代答案，而是在学生已经到达的前缀上评分，使监督对应学生可能实际访问的状态。对同一前缀，师生两侧分别计算 logits 并通过 softmax 得到条件概率分布。状态另按函数选择、参数键、参数值和结构标记分类；无法根据 schema 与解析规则可靠分类的位置单独记录，不把推测的错误位置当作已验证标签。</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给出各环节固定与记录的变量。所有对照组共享输入、生成协议、数据划分和有效位置定义；状态分层实验仅改变同预算下所使用的位置，损失实验则固定轨迹与位置后再切换目标。教师反馈同时记录 Top-K 累计概率、残余质量及所选 K，使后续结果能够区分状态选择、目标定义和反馈粒度的影响。训练、反馈与评测关系见图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 xml:space="preserve">4.4 散度目标分析与稀疏反馈定义</w:t>
      </w:r>
      <w:bookmarkEnd w:id="41"/>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 xml:space="preserve">完整词表的 Forward KL、Reverse KL、JSD 和 skew KL 用于分析不同概率区域的学习权重[7][8][9][12]。在同一学生轨迹、温度和有效位置上，本文比较各目标的梯度方向、熵变化、函数误选与过度调用，再选定稀疏反馈实验的主要散度方向。后续 Top-K 对照固定该方向与支持集协议，保证观察到的差异来自教师反馈而非目标切换。</w:t>
      </w:r>
    </w:p>
    <w:p w14:paraId="32BF1A8F">
      <w:pPr>
        <w:ind w:firstLine="420"/>
        <w:jc w:val="both"/>
      </w:pPr>
      <w:r>
        <w:t xml:space="preserve">表 4-2 将实验组织为完整词表散度分析、稀疏反馈诊断、同预算方法比较和组件消融。各组固定教师、学生起点、数据划分、生成协议与评价规则；散度分析固定反馈粒度，方法比较固定主要散度方向，并统一有效训练 token 数与更新步数。</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tblHeader/>
          <w:jc w:val="center"/>
          <w:cantSplit/>
        </w:trPr>
        <w:tc>
          <w:tcPr>
            <w:tcW w:w="1150" w:type="dxa"/>
            <w:vAlign w:val="center"/>
          </w:tcPr>
          <w:p w14:paraId="0C984810">
            <w:pPr>
              <w:spacing w:before="0" w:after="0" w:line="240" w:lineRule="auto"/>
              <w:ind w:firstLine="0"/>
              <w:jc w:val="left"/>
            </w:pPr>
            <w:r>
              <w:rPr>
                <w:rFonts w:ascii="Times New Roman" w:hAnsi="Times New Roman" w:eastAsia="宋体"/>
                <w:b/>
                <w:sz w:val="19"/>
              </w:rPr>
              <w:t xml:space="preserve">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 xml:space="preserve">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 xml:space="preserve">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 xml:space="preserve">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 xml:space="preserve">研究作用</w:t>
            </w:r>
          </w:p>
        </w:tc>
      </w:tr>
      <w:tr w14:paraId="568DC1CB">
        <w:trPr>
          <w:jc w:val="center"/>
          <w:cantSplit/>
        </w:trPr>
        <w:tc>
          <w:tcPr>
            <w:tcW w:w="1150" w:type="dxa"/>
            <w:vAlign w:val="center"/>
          </w:tcPr>
          <w:p w14:paraId="24BA4DC4">
            <w:pPr>
              <w:spacing w:before="0" w:after="0" w:line="240" w:lineRule="auto"/>
              <w:ind w:firstLine="0"/>
              <w:jc w:val="left"/>
            </w:pPr>
            <w:r>
              <w:rPr>
                <w:rFonts w:ascii="Times New Roman" w:hAnsi="Times New Roman" w:eastAsia="宋体"/>
                <w:b w:val="0"/>
                <w:sz w:val="19"/>
              </w:rPr>
              <w:t xml:space="preserve">完整词表散度</w:t>
            </w:r>
          </w:p>
        </w:tc>
        <w:tc>
          <w:tcPr>
            <w:tcW w:w="2350" w:type="dxa"/>
            <w:vAlign w:val="center"/>
          </w:tcPr>
          <w:p w14:paraId="1E409E4D">
            <w:pPr>
              <w:spacing w:before="0" w:after="0" w:line="240" w:lineRule="auto"/>
              <w:ind w:firstLine="0"/>
              <w:jc w:val="left"/>
            </w:pPr>
            <w:r>
              <w:rPr>
                <w:rFonts w:ascii="Times New Roman" w:hAnsi="Times New Roman" w:eastAsia="宋体"/>
                <w:b w:val="0"/>
                <w:sz w:val="19"/>
              </w:rPr>
              <w:t xml:space="preserve">同轨迹、同反馈</w:t>
            </w:r>
          </w:p>
        </w:tc>
        <w:tc>
          <w:tcPr>
            <w:tcW w:w="1450" w:type="dxa"/>
            <w:vAlign w:val="center"/>
          </w:tcPr>
          <w:p w14:paraId="702B1700">
            <w:pPr>
              <w:spacing w:before="0" w:after="0" w:line="240" w:lineRule="auto"/>
              <w:ind w:firstLine="0"/>
              <w:jc w:val="left"/>
            </w:pPr>
            <w:r>
              <w:rPr>
                <w:rFonts w:ascii="Times New Roman" w:hAnsi="Times New Roman" w:eastAsia="宋体"/>
                <w:b w:val="0"/>
                <w:sz w:val="19"/>
              </w:rPr>
              <w:t xml:space="preserve">FKL、RKL、JSD、skew KL</w:t>
            </w:r>
          </w:p>
        </w:tc>
        <w:tc>
          <w:tcPr>
            <w:tcW w:w="1900" w:type="dxa"/>
            <w:vAlign w:val="center"/>
          </w:tcPr>
          <w:p w14:paraId="169573F0">
            <w:pPr>
              <w:spacing w:before="0" w:after="0" w:line="240" w:lineRule="auto"/>
              <w:ind w:firstLine="0"/>
              <w:jc w:val="left"/>
            </w:pPr>
            <w:r>
              <w:rPr>
                <w:rFonts w:ascii="Times New Roman" w:hAnsi="Times New Roman" w:eastAsia="宋体"/>
                <w:b w:val="0"/>
                <w:sz w:val="19"/>
              </w:rPr>
              <w:t xml:space="preserve">梯度、熵、调用结果</w:t>
            </w:r>
          </w:p>
        </w:tc>
        <w:tc>
          <w:tcPr>
            <w:tcW w:w="1456" w:type="dxa"/>
            <w:vAlign w:val="center"/>
          </w:tcPr>
          <w:p w14:paraId="4AA4DF2E">
            <w:pPr>
              <w:spacing w:before="0" w:after="0" w:line="240" w:lineRule="auto"/>
              <w:ind w:firstLine="0"/>
              <w:jc w:val="left"/>
            </w:pPr>
            <w:r>
              <w:rPr>
                <w:rFonts w:ascii="Times New Roman" w:hAnsi="Times New Roman" w:eastAsia="宋体"/>
                <w:b w:val="0"/>
                <w:sz w:val="19"/>
              </w:rPr>
              <w:t xml:space="preserve">确定主要目标</w:t>
            </w:r>
          </w:p>
        </w:tc>
      </w:tr>
      <w:tr w14:paraId="17480239">
        <w:trPr>
          <w:jc w:val="center"/>
          <w:cantSplit/>
        </w:trPr>
        <w:tc>
          <w:tcPr>
            <w:tcW w:w="1150" w:type="dxa"/>
            <w:vAlign w:val="center"/>
          </w:tcPr>
          <w:p w14:paraId="4DBCBCCE">
            <w:pPr>
              <w:spacing w:before="0" w:after="0" w:line="240" w:lineRule="auto"/>
              <w:ind w:firstLine="0"/>
              <w:jc w:val="left"/>
            </w:pPr>
            <w:r>
              <w:rPr>
                <w:rFonts w:ascii="Times New Roman" w:hAnsi="Times New Roman" w:eastAsia="宋体"/>
                <w:b w:val="0"/>
                <w:sz w:val="19"/>
              </w:rPr>
              <w:t xml:space="preserve">稀疏反馈诊断</w:t>
            </w:r>
          </w:p>
        </w:tc>
        <w:tc>
          <w:tcPr>
            <w:tcW w:w="2350" w:type="dxa"/>
            <w:vAlign w:val="center"/>
          </w:tcPr>
          <w:p w14:paraId="4F4C009D">
            <w:pPr>
              <w:spacing w:before="0" w:after="0" w:line="240" w:lineRule="auto"/>
              <w:ind w:firstLine="0"/>
              <w:jc w:val="left"/>
            </w:pPr>
            <w:r>
              <w:rPr>
                <w:rFonts w:ascii="Times New Roman" w:hAnsi="Times New Roman" w:eastAsia="宋体"/>
                <w:b w:val="0"/>
                <w:sz w:val="19"/>
              </w:rPr>
              <w:t xml:space="preserve">同轨迹、同损失</w:t>
            </w:r>
          </w:p>
        </w:tc>
        <w:tc>
          <w:tcPr>
            <w:tcW w:w="1450" w:type="dxa"/>
            <w:vAlign w:val="center"/>
          </w:tcPr>
          <w:p w14:paraId="11D8717A">
            <w:pPr>
              <w:spacing w:before="0" w:after="0" w:line="240" w:lineRule="auto"/>
              <w:ind w:firstLine="0"/>
              <w:jc w:val="left"/>
            </w:pPr>
            <w:r>
              <w:rPr>
                <w:rFonts w:ascii="Times New Roman" w:hAnsi="Times New Roman" w:eastAsia="宋体"/>
                <w:b w:val="0"/>
                <w:sz w:val="19"/>
              </w:rPr>
              <w:t xml:space="preserve">全词表、Top-K、K1</w:t>
            </w:r>
          </w:p>
        </w:tc>
        <w:tc>
          <w:tcPr>
            <w:tcW w:w="1900" w:type="dxa"/>
            <w:vAlign w:val="center"/>
          </w:tcPr>
          <w:p w14:paraId="3A35555F">
            <w:pPr>
              <w:spacing w:before="0" w:after="0" w:line="240" w:lineRule="auto"/>
              <w:ind w:firstLine="0"/>
              <w:jc w:val="left"/>
            </w:pPr>
            <w:r>
              <w:rPr>
                <w:rFonts w:ascii="Times New Roman" w:hAnsi="Times New Roman" w:eastAsia="宋体"/>
                <w:b w:val="0"/>
                <w:sz w:val="19"/>
              </w:rPr>
              <w:t xml:space="preserve">尾部与梯度误差</w:t>
            </w:r>
          </w:p>
        </w:tc>
        <w:tc>
          <w:tcPr>
            <w:tcW w:w="1456" w:type="dxa"/>
            <w:vAlign w:val="center"/>
          </w:tcPr>
          <w:p w14:paraId="0A52DD0F">
            <w:pPr>
              <w:spacing w:before="0" w:after="0" w:line="240" w:lineRule="auto"/>
              <w:ind w:firstLine="0"/>
              <w:jc w:val="left"/>
            </w:pPr>
            <w:r>
              <w:rPr>
                <w:rFonts w:ascii="Times New Roman" w:hAnsi="Times New Roman" w:eastAsia="宋体"/>
                <w:b w:val="0"/>
                <w:sz w:val="19"/>
              </w:rPr>
              <w:t xml:space="preserve">定位遗漏</w:t>
            </w:r>
          </w:p>
        </w:tc>
      </w:tr>
      <w:tr w14:paraId="5DED9877">
        <w:trPr>
          <w:jc w:val="center"/>
          <w:cantSplit/>
        </w:trPr>
        <w:tc>
          <w:tcPr>
            <w:tcW w:w="1150" w:type="dxa"/>
            <w:vAlign w:val="center"/>
          </w:tcPr>
          <w:p w14:paraId="03D05CC0">
            <w:pPr>
              <w:spacing w:before="0" w:after="0" w:line="240" w:lineRule="auto"/>
              <w:ind w:firstLine="0"/>
              <w:jc w:val="left"/>
            </w:pPr>
            <w:r>
              <w:rPr>
                <w:rFonts w:ascii="Times New Roman" w:hAnsi="Times New Roman" w:eastAsia="宋体"/>
                <w:b w:val="0"/>
                <w:sz w:val="19"/>
              </w:rPr>
              <w:t xml:space="preserve">同预算方法</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 xml:space="preserve">同起点、同预算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 xml:space="preserve">固定 K、尾部类别、决策支持集</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 xml:space="preserve">调用结果与成本</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 xml:space="preserve">检验改进</w:t>
            </w:r>
          </w:p>
        </w:tc>
      </w:tr>
      <w:tr w14:paraId="7FDDC4CF">
        <w:trPr>
          <w:jc w:val="center"/>
          <w:cantSplit/>
        </w:trPr>
        <w:tc>
          <w:tcPr>
            <w:tcW w:w="1150" w:type="dxa"/>
            <w:vAlign w:val="center"/>
          </w:tcPr>
          <w:p w14:paraId="03D05CC0">
            <w:pPr>
              <w:spacing w:before="0" w:after="0" w:line="240" w:lineRule="auto"/>
              <w:ind w:firstLine="0"/>
              <w:jc w:val="left"/>
            </w:pPr>
            <w:r>
              <w:rPr>
                <w:rFonts w:ascii="Times New Roman" w:hAnsi="Times New Roman" w:eastAsia="宋体"/>
                <w:b w:val="0"/>
                <w:sz w:val="19"/>
              </w:rPr>
              <w:t xml:space="preserve">组件消融</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 xml:space="preserve">同训练协议</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 xml:space="preserve">去尾部类、去补入、去分配</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 xml:space="preserve">任务、时间、显存</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 xml:space="preserve">判定各组件作用</w:t>
            </w:r>
          </w:p>
        </w:tc>
      </w:tr>
    </w:tbl>
    <w:p w14:paraId="26F667FD">
      <w:pPr>
        <w:ind w:firstLine="420"/>
        <w:jc w:val="both"/>
      </w:pPr>
      <w:r>
        <w:t xml:space="preserve">完整词表散度实验解释优化偏好并确定主要目标；稀疏诊断分别测量尾部总量、决策坐标与梯度误差；同预算比较检验决策感知支持集；组件消融辨别关键候选补入、尾部类别和位置预算各自的作用。K1 sampled-token 作为极低反馈量边界参照，单独报告估计波动。</w:t>
      </w:r>
    </w:p>
    <w:p w14:paraId="7D429E15">
      <w:pPr>
        <w:ind w:firstLine="420"/>
        <w:jc w:val="both"/>
      </w:pPr>
      <w:r>
        <w:t>完整词表方案直接使用师生完整概率分布计算散度，作为信息最充分的基线。常规 Top-K 方案由教师分布选出支持集，并分别计算教师和学生在该集合内的概率质量：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 xml:space="preserve">常规截断基线在教师支持集内分别归一化师生概率，如式（4-18）所示。TA-OPD 在支持集外增加尾部类别[31]，作为本课题的直接方法基线。候选方法按工具调用位置调整支持集：检查学生高概率的合法决策候选，将教师 Top-K 漏掉的关键 token 补入，再计算新的尾部总概率。尾部类别传递总量信号，补入 token 传递具体决策信号；两者分别设置消融。</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718B00F7">
      <w:pPr>
        <w:ind w:firstLine="420"/>
        <w:jc w:val="both"/>
      </w:pPr>
      <w:r>
        <w:t>K1 sampled-token 将词表求和改写为单样本重要性估计，作为低反馈量基线。样本从提议分布抽取，Forward KL 和 Reverse KL 对应的单样本估计分别为：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0" w:name="_RefEq4_29"/>
            <w:r>
              <w:t>(4-</w:t>
            </w:r>
            <w:r>
              <w:fldChar w:fldCharType="begin"/>
            </w:r>
            <w:r>
              <w:instrText xml:space="preserve"> SEQ Eq4 \* ARABIC </w:instrText>
            </w:r>
            <w:r>
              <w:fldChar w:fldCharType="separate"/>
            </w:r>
            <w:r>
              <w:t>19</w:t>
            </w:r>
            <w:r>
              <w:fldChar w:fldCharType="end"/>
            </w:r>
            <w:r>
              <w:t>)</w:t>
            </w:r>
            <w:bookmarkEnd w:id="5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 xml:space="preserve">K1 sampled-token 使用明确记录的提议分布和随机种子，提议分布须覆盖目标支持集。候选方法的位置权重来自训练集诊断子集，质量阈值和 K 上限由验证集确定；测试集只用于最终评价。补入候选的额外教师 logprob、反馈字节数与教师前向时间分别计量。各目标使用相同的 log-sum-exp、有效位置归一化和有限值检查。</w:t>
      </w:r>
    </w:p>
    <w:p w14:paraId="264AD57D">
      <w:pPr>
        <w:pStyle w:val="3"/>
        <w:jc w:val="left"/>
      </w:pPr>
      <w:bookmarkStart w:id="51" w:name="_Toc534757053"/>
      <w:r>
        <w:rPr>
          <w:rFonts w:ascii="黑体" w:hAnsi="黑体" w:eastAsia="黑体" w:cs="黑体"/>
          <w:b/>
          <w:color w:val="000000"/>
          <w:sz w:val="24"/>
        </w:rPr>
        <w:t>4.5 评价指标和公平性</w:t>
      </w:r>
      <w:bookmarkEnd w:id="51"/>
    </w:p>
    <w:p w14:paraId="1E75A657">
      <w:pPr>
        <w:ind w:firstLine="420"/>
        <w:jc w:val="both"/>
      </w:pPr>
      <w:r>
        <w:t>本文从任务正确性、训练稳定性和资源成本三个层面评价方法，具体指标及其作用见表 4-3。</w:t>
      </w:r>
    </w:p>
    <w:p w14:paraId="245845D3">
      <w:pPr>
        <w:ind w:firstLine="420"/>
        <w:jc w:val="both"/>
      </w:pPr>
      <w:bookmarkStart w:id="76" w:name="_GoBack"/>
      <w:bookmarkEnd w:id="76"/>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2"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2"/>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3" w:name="_RefEq4_32"/>
            <w:r>
              <w:t>(4-</w:t>
            </w:r>
            <w:r>
              <w:fldChar w:fldCharType="begin"/>
            </w:r>
            <w:r>
              <w:instrText xml:space="preserve"> SEQ Eq4 \* ARABIC </w:instrText>
            </w:r>
            <w:r>
              <w:fldChar w:fldCharType="separate"/>
            </w:r>
            <w:r>
              <w:t>20</w:t>
            </w:r>
            <w:r>
              <w:fldChar w:fldCharType="end"/>
            </w:r>
            <w:r>
              <w:t>)</w:t>
            </w:r>
            <w:bookmarkEnd w:id="53"/>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4" w:name="_RefEq4_33"/>
            <w:r>
              <w:t>(4-</w:t>
            </w:r>
            <w:r>
              <w:fldChar w:fldCharType="begin"/>
            </w:r>
            <w:r>
              <w:instrText xml:space="preserve"> SEQ Eq4 \* ARABIC </w:instrText>
            </w:r>
            <w:r>
              <w:fldChar w:fldCharType="separate"/>
            </w:r>
            <w:r>
              <w:t>21</w:t>
            </w:r>
            <w:r>
              <w:fldChar w:fldCharType="end"/>
            </w:r>
            <w:r>
              <w:t>)</w:t>
            </w:r>
            <w:bookmarkEnd w:id="54"/>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5" w:name="_RefEq4_34"/>
            <w:r>
              <w:t>(4-</w:t>
            </w:r>
            <w:r>
              <w:fldChar w:fldCharType="begin"/>
            </w:r>
            <w:r>
              <w:instrText xml:space="preserve"> SEQ Eq4 \* ARABIC </w:instrText>
            </w:r>
            <w:r>
              <w:fldChar w:fldCharType="separate"/>
            </w:r>
            <w:r>
              <w:t>22</w:t>
            </w:r>
            <w:r>
              <w:fldChar w:fldCharType="end"/>
            </w:r>
            <w:r>
              <w:t>)</w:t>
            </w:r>
            <w:bookmarkEnd w:id="55"/>
          </w:p>
        </w:tc>
      </w:tr>
    </w:tbl>
    <w:p w14:paraId="04F1D07C">
      <w:pPr>
        <w:ind w:firstLine="420"/>
        <w:jc w:val="both"/>
      </w:pPr>
      <w:r>
        <w:t>其中“≡”依据 schema 允许的类型转换、顺序不敏感字段和等价表示判定。本文分别报告 JSON 可解析率、schema 合法率、函数选择和参数正确率；只有当数据集提供可执行工具且执行环境经过验证时，才报告工具执行成功率和端到端任务完成率。否则采用结构化调用匹配评价，并明确该指标与真实工具执行的边界。BFCL 的任务划分与判定规则为评测设计提供参考[27]。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6" w:name="_RefEq4_35"/>
            <w:r>
              <w:t>(4-</w:t>
            </w:r>
            <w:r>
              <w:fldChar w:fldCharType="begin"/>
            </w:r>
            <w:r>
              <w:instrText xml:space="preserve"> SEQ Eq4 \* ARABIC </w:instrText>
            </w:r>
            <w:r>
              <w:fldChar w:fldCharType="separate"/>
            </w:r>
            <w:r>
              <w:t>23</w:t>
            </w:r>
            <w:r>
              <w:fldChar w:fldCharType="end"/>
            </w:r>
            <w:r>
              <w:t>)</w:t>
            </w:r>
            <w:bookmarkEnd w:id="56"/>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7" w:name="_RefEq4_36"/>
            <w:r>
              <w:t>(4-</w:t>
            </w:r>
            <w:r>
              <w:fldChar w:fldCharType="begin"/>
            </w:r>
            <w:r>
              <w:instrText xml:space="preserve"> SEQ Eq4 \* ARABIC </w:instrText>
            </w:r>
            <w:r>
              <w:fldChar w:fldCharType="separate"/>
            </w:r>
            <w:r>
              <w:t>24</w:t>
            </w:r>
            <w:r>
              <w:fldChar w:fldCharType="end"/>
            </w:r>
            <w:r>
              <w:t>)</w:t>
            </w:r>
            <w:bookmarkEnd w:id="57"/>
          </w:p>
        </w:tc>
      </w:tr>
    </w:tbl>
    <w:p w14:paraId="3E2F0339">
      <w:pPr>
        <w:ind w:firstLine="420"/>
        <w:jc w:val="both"/>
      </w:pPr>
      <w:r>
        <w:t>熵与支持集重叠用于观察师生概率分布是否接近；针对本研究方法，还将记录教师 Top-K 外的总概率质量、学生对应质量及二者差异，并按函数、参数和结构位置分层分析。与异常损失、梯度范数和格式错误率结合后，可判断差异来自状态选择、截断目标还是监督粒度，避免只凭最终准确率解释机制。</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58" w:name="_RefEq4_37"/>
            <w:r>
              <w:t>(4-</w:t>
            </w:r>
            <w:r>
              <w:fldChar w:fldCharType="begin"/>
            </w:r>
            <w:r>
              <w:instrText xml:space="preserve"> SEQ Eq4 \* ARABIC </w:instrText>
            </w:r>
            <w:r>
              <w:fldChar w:fldCharType="separate"/>
            </w:r>
            <w:r>
              <w:t>25</w:t>
            </w:r>
            <w:r>
              <w:fldChar w:fldCharType="end"/>
            </w:r>
            <w:r>
              <w:t>)</w:t>
            </w:r>
            <w:bookmarkEnd w:id="58"/>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59" w:name="_RefEq4_38"/>
            <w:r>
              <w:t>(4-</w:t>
            </w:r>
            <w:r>
              <w:fldChar w:fldCharType="begin"/>
            </w:r>
            <w:r>
              <w:instrText xml:space="preserve"> SEQ Eq4 \* ARABIC </w:instrText>
            </w:r>
            <w:r>
              <w:fldChar w:fldCharType="separate"/>
            </w:r>
            <w:r>
              <w:t>26</w:t>
            </w:r>
            <w:r>
              <w:fldChar w:fldCharType="end"/>
            </w:r>
            <w:r>
              <w:t>)</w:t>
            </w:r>
            <w:bookmarkEnd w:id="59"/>
          </w:p>
        </w:tc>
      </w:tr>
    </w:tbl>
    <w:p w14:paraId="2DE6B7B8">
      <w:pPr>
        <w:ind w:firstLine="420"/>
        <w:jc w:val="both"/>
      </w:pPr>
      <w:r>
        <w:t>除总成本外，本文同时报告教师处理 token 数、教师前向墙钟时间、峰值显存、训练时间和推理吞吐，并单独统计传输或保存的教师反馈字节数与所选 K 的分布。吞吐量按生成 token 数除以墙钟时间计算。缩小反馈表示可能降低传输和存储开销，但是否节省教师计算须以实际计时为准。</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0" w:name="_RefEq4_39"/>
            <w:r>
              <w:t>(4-</w:t>
            </w:r>
            <w:r>
              <w:fldChar w:fldCharType="begin"/>
            </w:r>
            <w:r>
              <w:instrText xml:space="preserve"> SEQ Eq4 \* ARABIC </w:instrText>
            </w:r>
            <w:r>
              <w:fldChar w:fldCharType="separate"/>
            </w:r>
            <w:r>
              <w:t>27</w:t>
            </w:r>
            <w:r>
              <w:fldChar w:fldCharType="end"/>
            </w:r>
            <w:r>
              <w:t>)</w:t>
            </w:r>
            <w:bookmarkEnd w:id="60"/>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1" w:name="_RefEq4_40"/>
            <w:r>
              <w:t>(4-</w:t>
            </w:r>
            <w:r>
              <w:fldChar w:fldCharType="begin"/>
            </w:r>
            <w:r>
              <w:instrText xml:space="preserve"> SEQ Eq4 \* ARABIC </w:instrText>
            </w:r>
            <w:r>
              <w:fldChar w:fldCharType="separate"/>
            </w:r>
            <w:r>
              <w:t>28</w:t>
            </w:r>
            <w:r>
              <w:fldChar w:fldCharType="end"/>
            </w:r>
            <w:r>
              <w:t>)</w:t>
            </w:r>
            <w:bookmarkEnd w:id="61"/>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62" w:name="_Toc442727076"/>
      <w:r>
        <w:rPr>
          <w:rFonts w:ascii="黑体" w:hAnsi="黑体" w:eastAsia="黑体" w:cs="黑体"/>
          <w:b/>
          <w:color w:val="000000"/>
          <w:sz w:val="24"/>
        </w:rPr>
        <w:t>4.6 可行性分析</w:t>
      </w:r>
      <w:bookmarkEnd w:id="62"/>
    </w:p>
    <w:p w14:paraId="40E26365">
      <w:pPr>
        <w:ind w:firstLine="420"/>
        <w:jc w:val="both"/>
      </w:pPr>
      <w:r>
        <w:t xml:space="preserve">方案采用可获得的小规模同家族模型与开源工具链。冻结教师参与前向评分，学生通过 LoRA 更新；PyTorch、Transformers、PEFT 和 vLLM[20]分别支持训练、适配与部署测量。正式实验前以少量单轮样本检查 tokenizer、模板、状态标记、完整词表散度实现、Top-K 累计质量、尾部类别概率归一化、梯度传播和运行成本。若某一研究环节的现象不明显，就依据真实错误统计调整分析重点，不预写方法收益。</w:t>
      </w:r>
    </w:p>
    <w:p w14:paraId="6CC957E8">
      <w:pPr>
        <w:pStyle w:val="2"/>
      </w:pPr>
      <w:bookmarkStart w:id="63" w:name="_Toc2030613124"/>
      <w:r>
        <w:rPr>
          <w:rFonts w:ascii="黑体" w:hAnsi="黑体" w:eastAsia="黑体" w:cs="黑体"/>
          <w:b/>
          <w:color w:val="000000"/>
          <w:sz w:val="28"/>
        </w:rPr>
        <w:t>5．进度安排，预期达到的目标</w:t>
      </w:r>
      <w:bookmarkEnd w:id="63"/>
    </w:p>
    <w:p w14:paraId="4D67942D">
      <w:pPr>
        <w:pStyle w:val="3"/>
      </w:pPr>
      <w:bookmarkStart w:id="64" w:name="_Toc704656944"/>
      <w:r>
        <w:rPr>
          <w:rFonts w:ascii="黑体" w:hAnsi="黑体" w:eastAsia="黑体" w:cs="黑体"/>
          <w:b/>
          <w:color w:val="000000"/>
          <w:sz w:val="24"/>
        </w:rPr>
        <w:t>5.1 进度安排</w:t>
      </w:r>
      <w:bookmarkEnd w:id="64"/>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5"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5"/>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6"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6"/>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67" w:name="_Toc1944428250"/>
      <w:r>
        <w:rPr>
          <w:rFonts w:ascii="黑体" w:hAnsi="黑体" w:eastAsia="黑体" w:cs="黑体"/>
          <w:b/>
          <w:color w:val="000000"/>
          <w:sz w:val="24"/>
        </w:rPr>
        <w:t>5.2 预期达到的目标</w:t>
      </w:r>
      <w:bookmarkEnd w:id="67"/>
    </w:p>
    <w:p w14:paraId="5C45F9E1">
      <w:pPr>
        <w:pStyle w:val="17"/>
        <w:ind w:firstLine="420"/>
        <w:jc w:val="both"/>
      </w:pPr>
      <w:r>
        <w:t xml:space="preserve">1. 建立以 Qwen3-0.6B 为学生、冻结的 Qwen3-4B 为教师的单轮 Function Calling 在线策略蒸馏流程，形成可复现的学生轨迹、位置标注与分层错误记录。</w:t>
      </w:r>
    </w:p>
    <w:p w14:paraId="661280AE">
      <w:pPr>
        <w:pStyle w:val="17"/>
        <w:ind w:firstLine="420"/>
        <w:jc w:val="both"/>
      </w:pPr>
      <w:r>
        <w:t xml:space="preserve">2. 在统一学生轨迹与完整词表反馈下，分析代表性散度目标的梯度、熵和工具调用行为；随后量化 Top-K 的尾部总量损失、关键决策 token 漏选与梯度误差。</w:t>
      </w:r>
    </w:p>
    <w:p w14:paraId="4D24F9B5">
      <w:pPr>
        <w:pStyle w:val="17"/>
        <w:ind w:firstLine="420"/>
        <w:jc w:val="both"/>
      </w:pPr>
      <w:r>
        <w:t xml:space="preserve">3. 实现并验证决策感知的尾部保真蒸馏候选方案，在相同反馈预算下比较固定 K、质量阈值 K 和组件消融，报告函数调用结果、训练稳定性、教师查询与资源成本。</w:t>
      </w:r>
    </w:p>
    <w:p w14:paraId="444409D5">
      <w:pPr>
        <w:pStyle w:val="17"/>
        <w:ind w:firstLine="420"/>
        <w:jc w:val="both"/>
      </w:pPr>
      <w:r>
        <w:t>4. 同时记录损失、梯度、熵、残余概率质量、反馈字节数、教师前向时间、训练显存和任务表现，分析效果与资源开销之间的关系。</w:t>
      </w:r>
    </w:p>
    <w:p w14:paraId="1F6068D2">
      <w:pPr>
        <w:pStyle w:val="17"/>
        <w:ind w:firstLine="420"/>
        <w:jc w:val="both"/>
      </w:pPr>
      <w:r>
        <w:t>5. 通过 vLLM 或等效的可复现测试程序评估最终学生模型，报告适用边界与失败案例，不把尚未运行的对比写成性能结论。</w:t>
      </w:r>
    </w:p>
    <w:p w14:paraId="34BA0ABE">
      <w:pPr>
        <w:pStyle w:val="17"/>
        <w:ind w:firstLine="420"/>
        <w:jc w:val="both"/>
      </w:pPr>
      <w:r>
        <w:t>6. 完成项目文档、实验记录、毕业论文和答辩材料。</w:t>
      </w:r>
    </w:p>
    <w:p w14:paraId="11B7E0CE">
      <w:pPr>
        <w:ind w:firstLine="420"/>
        <w:jc w:val="both"/>
      </w:pPr>
      <w:r>
        <w:t xml:space="preserve">预期形成可复现的单轮工具调用 OPD 流程、完整词表散度的行为分析，以及待实验检验的决策感知稀疏反馈方法，提供相应基线、消融、成本统计和失败案例。最终论文将依据实际结果判断方法的价值及适用边界。</w:t>
      </w:r>
    </w:p>
    <w:p w14:paraId="629A1AD4">
      <w:pPr>
        <w:pStyle w:val="2"/>
      </w:pPr>
      <w:bookmarkStart w:id="68" w:name="_Toc1746941351"/>
      <w:r>
        <w:rPr>
          <w:rFonts w:ascii="黑体" w:hAnsi="黑体" w:eastAsia="黑体" w:cs="黑体"/>
          <w:b/>
          <w:color w:val="000000"/>
          <w:sz w:val="28"/>
        </w:rPr>
        <w:t>6．课题已具备和所需的条件、经费</w:t>
      </w:r>
      <w:bookmarkEnd w:id="68"/>
    </w:p>
    <w:p w14:paraId="15508BCB">
      <w:pPr>
        <w:pStyle w:val="3"/>
      </w:pPr>
      <w:bookmarkStart w:id="69" w:name="_Toc446864473"/>
      <w:r>
        <w:rPr>
          <w:rFonts w:ascii="黑体" w:hAnsi="黑体" w:eastAsia="黑体" w:cs="黑体"/>
          <w:b/>
          <w:color w:val="000000"/>
          <w:sz w:val="24"/>
        </w:rPr>
        <w:t>6.1 已具备条件</w:t>
      </w:r>
      <w:bookmarkEnd w:id="69"/>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70" w:name="_Toc700884152"/>
      <w:r>
        <w:rPr>
          <w:rFonts w:ascii="黑体" w:hAnsi="黑体" w:eastAsia="黑体" w:cs="黑体"/>
          <w:b/>
          <w:color w:val="000000"/>
          <w:sz w:val="24"/>
        </w:rPr>
        <w:t>6.2 所需条件</w:t>
      </w:r>
      <w:bookmarkEnd w:id="70"/>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71" w:name="_Toc812138869"/>
      <w:r>
        <w:rPr>
          <w:rFonts w:ascii="黑体" w:hAnsi="黑体" w:eastAsia="黑体" w:cs="黑体"/>
          <w:b/>
          <w:color w:val="000000"/>
          <w:sz w:val="24"/>
        </w:rPr>
        <w:t>6.3 经费</w:t>
      </w:r>
      <w:bookmarkEnd w:id="71"/>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2"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2"/>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3" w:name="_Toc211910951"/>
      <w:r>
        <w:rPr>
          <w:rFonts w:ascii="黑体" w:hAnsi="黑体" w:eastAsia="黑体" w:cs="黑体"/>
          <w:b/>
          <w:color w:val="000000"/>
          <w:sz w:val="28"/>
        </w:rPr>
        <w:t>7．研究过程中可能遇到的困难和问题，解决的措施</w:t>
      </w:r>
      <w:bookmarkEnd w:id="73"/>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4"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实施时先审计数据、模型、tokenizer 和消息模板，再用少量单轮样本检查状态标记、支持集累计质量、残余概率、损失数值与梯度。训练资源通过短序列验证、小批量训练、梯度累积和必要的教师反馈缓存控制。完整分布、常规 Top-K、残余类别 Top-K 与 K1 应共享输入、mask、评测规则和记录格式，并保存异常 loss、非法结构及失败调用以便追溯。</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方法风险主要有两类：若教师分布在大多数有效位置过于集中，Top-K 外的概率质量可能很小，残余类别难以产生可测差异；若概率质量分散，自适应 K 可能频繁达到上限，未必节省反馈开销。研究先在小样本上统计这些分布，再以相同 K 或相同反馈预算做消融；若候选方法不优于简洁基线，应如实报告并据错误类型缩小改进范围。支持集并集与极端概率比裁剪仅作为后续备选，不与主方法同时改变。</w:t>
      </w:r>
    </w:p>
    <w:p w14:paraId="0874BB6A">
      <w:pPr>
        <w:pStyle w:val="2"/>
      </w:pPr>
      <w:bookmarkStart w:id="75" w:name="_Toc1059466731"/>
      <w:r>
        <w:rPr>
          <w:rFonts w:ascii="黑体" w:hAnsi="黑体" w:eastAsia="黑体" w:cs="黑体"/>
          <w:b/>
          <w:color w:val="000000"/>
          <w:sz w:val="28"/>
        </w:rPr>
        <w:t>8．主要参考文献</w:t>
      </w:r>
      <w:bookmarkEnd w:id="75"/>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p w14:paraId="A30B0001">
      <w:pPr>
        <w:pStyle w:val="17"/>
        <w:numPr>
          <w:ilvl w:val="0"/>
          <w:numId w:val="1"/>
        </w:numPr>
        <w:ind w:firstLine="420"/>
        <w:jc w:val="both"/>
      </w:pPr>
      <w:r>
        <w:t xml:space="preserve">Anshumann, Zaidi M A, Kedia A, et al. Sparse Logit Sampling: Accelerating Knowledge Distillation in LLMs[C]//Proceedings of the 63rd Annual Meeting of the Association for Computational Linguistics (Volume 1: Long Papers). 2025: 18085-18108. DOI:10.18653/v1/2025.acl-long.885.</w:t>
      </w:r>
    </w:p>
    <w:p w14:paraId="A30B0002">
      <w:pPr>
        <w:pStyle w:val="17"/>
        <w:numPr>
          <w:ilvl w:val="0"/>
          <w:numId w:val="1"/>
        </w:numPr>
        <w:ind w:firstLine="420"/>
        <w:jc w:val="both"/>
      </w:pPr>
      <w:r>
        <w:t xml:space="preserve">Huang H, Wei H. Tail-Aware Top-k On-Policy Distillation[EB/OL]. arXiv:2608.14728, 2026.</w:t>
      </w:r>
    </w:p>
    <w:p w14:paraId="A30B0003">
      <w:pPr>
        <w:pStyle w:val="17"/>
        <w:numPr>
          <w:ilvl w:val="0"/>
          <w:numId w:val="1"/>
        </w:numPr>
        <w:ind w:firstLine="420"/>
        <w:jc w:val="both"/>
      </w:pPr>
      <w:r>
        <w:t xml:space="preserve">Meng L, Gan S, Li Y, et al. Unbiased Top-k Estimation for On-Policy Distillation[EB/OL]. arXiv:2609.34447, 2026.</w:t>
      </w:r>
    </w:p>
    <w:p w14:paraId="A30B0004">
      <w:pPr>
        <w:pStyle w:val="17"/>
        <w:numPr>
          <w:ilvl w:val="0"/>
          <w:numId w:val="1"/>
        </w:numPr>
        <w:ind w:firstLine="420"/>
        <w:jc w:val="both"/>
      </w:pPr>
      <w:r>
        <w:t xml:space="preserve">Shen J, Chen G, Mao C. When Top-K Misses the Decision: Tool-Call Drift in Multi-Teacher On-Policy Distillation[EB/OL]. arXiv:2607.07050, 2026.</w:t>
      </w:r>
    </w:p>
    <w:p w14:paraId="A30B0005">
      <w:pPr>
        <w:pStyle w:val="17"/>
        <w:numPr>
          <w:ilvl w:val="0"/>
          <w:numId w:val="1"/>
        </w:numPr>
        <w:ind w:firstLine="420"/>
        <w:jc w:val="both"/>
      </w:pPr>
      <w:r>
        <w:t xml:space="preserve">Yang P, Xing L, Dai X, et al. ResOPD: Tail Residualization for Sparse On-Policy Distillation[EB/OL]. arXiv:2610.04882, 2026.</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26"/>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14962</Words>
  <Characters>21926</Characters>
  <Lines>34</Lines>
  <Paragraphs>9</Paragraphs>
  <TotalTime>10</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2022-10-17T02:38:00Z</dcterms:created>
  <dc:creator>董 睿璞</dc:creator>
  <cp:lastModifiedBy>Dr.Oppenheimer</cp:lastModifiedBy>
  <dcterms:modified xsi:type="dcterms:W3CDTF">2026-09-27T11:43:03Z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