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4E8FC" w14:textId="77777777" w:rsidR="00A847C4" w:rsidRDefault="00A847C4" w:rsidP="00A847C4">
      <w:pPr>
        <w:spacing w:before="78" w:after="78"/>
        <w:jc w:val="left"/>
        <w:rPr>
          <w:spacing w:val="40"/>
        </w:rPr>
      </w:pPr>
      <w:r>
        <w:rPr>
          <w:rFonts w:hAnsi="宋体" w:hint="eastAsia"/>
          <w:spacing w:val="40"/>
        </w:rPr>
        <w:t>附件</w:t>
      </w:r>
      <w:r>
        <w:rPr>
          <w:spacing w:val="40"/>
        </w:rPr>
        <w:t>2</w:t>
      </w:r>
      <w:r>
        <w:rPr>
          <w:rFonts w:hAnsi="宋体" w:hint="eastAsia"/>
          <w:spacing w:val="40"/>
        </w:rPr>
        <w:t>：</w:t>
      </w:r>
    </w:p>
    <w:p w14:paraId="1F9AC0F9" w14:textId="77777777" w:rsidR="00A847C4" w:rsidRDefault="00A847C4" w:rsidP="00A847C4">
      <w:pPr>
        <w:spacing w:before="78" w:after="78"/>
        <w:ind w:firstLine="883"/>
        <w:jc w:val="center"/>
        <w:rPr>
          <w:rFonts w:eastAsia="楷体_GB2312"/>
          <w:b/>
          <w:spacing w:val="40"/>
          <w:sz w:val="36"/>
        </w:rPr>
      </w:pPr>
    </w:p>
    <w:p w14:paraId="0EE9D77E" w14:textId="77777777" w:rsidR="00A847C4" w:rsidRDefault="00A847C4" w:rsidP="00A847C4">
      <w:pPr>
        <w:spacing w:before="78" w:after="78"/>
        <w:ind w:firstLine="883"/>
        <w:jc w:val="center"/>
        <w:rPr>
          <w:rFonts w:eastAsia="楷体_GB2312"/>
          <w:b/>
          <w:spacing w:val="40"/>
          <w:sz w:val="36"/>
        </w:rPr>
      </w:pPr>
    </w:p>
    <w:p w14:paraId="3BFCB7BE" w14:textId="60A50BAF" w:rsidR="00A847C4" w:rsidRDefault="00A847C4" w:rsidP="00A847C4">
      <w:pPr>
        <w:spacing w:before="78" w:after="78"/>
        <w:jc w:val="center"/>
        <w:rPr>
          <w:rFonts w:eastAsia="楷体_GB2312"/>
          <w:b/>
          <w:spacing w:val="40"/>
          <w:sz w:val="36"/>
        </w:rPr>
      </w:pPr>
      <w:r>
        <w:rPr>
          <w:rFonts w:eastAsia="楷体_GB2312"/>
          <w:b/>
          <w:noProof/>
          <w:spacing w:val="40"/>
          <w:sz w:val="36"/>
        </w:rPr>
        <w:drawing>
          <wp:inline distT="0" distB="0" distL="0" distR="0" wp14:anchorId="2AEA9F7B" wp14:editId="58982A8B">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7410" cy="403860"/>
                    </a:xfrm>
                    <a:prstGeom prst="rect">
                      <a:avLst/>
                    </a:prstGeom>
                    <a:noFill/>
                    <a:ln>
                      <a:noFill/>
                    </a:ln>
                  </pic:spPr>
                </pic:pic>
              </a:graphicData>
            </a:graphic>
          </wp:inline>
        </w:drawing>
      </w:r>
    </w:p>
    <w:p w14:paraId="6921CBFD" w14:textId="77777777" w:rsidR="00A847C4" w:rsidRDefault="00A847C4" w:rsidP="00A847C4">
      <w:pPr>
        <w:spacing w:before="78" w:after="78"/>
        <w:ind w:firstLine="883"/>
        <w:jc w:val="center"/>
        <w:rPr>
          <w:rFonts w:eastAsia="楷体_GB2312"/>
          <w:b/>
          <w:spacing w:val="40"/>
          <w:sz w:val="36"/>
        </w:rPr>
      </w:pPr>
    </w:p>
    <w:p w14:paraId="509B8C31" w14:textId="77777777" w:rsidR="00A847C4" w:rsidRDefault="00A847C4" w:rsidP="00A847C4">
      <w:pPr>
        <w:spacing w:before="78" w:after="78"/>
        <w:jc w:val="center"/>
        <w:rPr>
          <w:b/>
          <w:spacing w:val="40"/>
          <w:sz w:val="48"/>
        </w:rPr>
      </w:pPr>
      <w:r>
        <w:rPr>
          <w:rFonts w:hAnsi="SimHei" w:hint="eastAsia" w:ascii="SimHei" w:eastAsia="黑体" w:cs="SimHei"/>
          <w:b/>
          <w:color w:val="000000"/>
          <w:spacing w:val="40"/>
          <w:sz w:val="48"/>
        </w:rPr>
        <w:t>毕业设计（论文）开题报告</w:t>
      </w:r>
    </w:p>
    <w:p w14:paraId="7A5E0120" w14:textId="77777777" w:rsidR="00A847C4" w:rsidRDefault="00A847C4" w:rsidP="00A847C4">
      <w:pPr>
        <w:spacing w:before="78" w:after="78"/>
        <w:ind w:firstLine="643"/>
        <w:rPr>
          <w:b/>
          <w:sz w:val="32"/>
        </w:rPr>
      </w:pPr>
    </w:p>
    <w:p w14:paraId="035E13DA" w14:textId="77777777" w:rsidR="00A847C4" w:rsidRDefault="00A847C4" w:rsidP="00A847C4">
      <w:pPr>
        <w:spacing w:before="78" w:after="78"/>
        <w:rPr>
          <w:b/>
          <w:sz w:val="32"/>
        </w:rPr>
      </w:pPr>
    </w:p>
    <w:p w14:paraId="4B2C42F9" w14:textId="3C7DB1FD" w:rsidR="00A847C4" w:rsidRPr="00FD19E3" w:rsidRDefault="00A847C4" w:rsidP="00A847C4">
      <w:pPr>
        <w:spacing w:before="78" w:after="78"/>
        <w:ind w:firstLineChars="250" w:firstLine="703"/>
        <w:rPr>
          <w:b/>
          <w:sz w:val="28"/>
          <w:szCs w:val="21"/>
        </w:rPr>
      </w:pPr>
      <w:r w:rsidRPr="00FD19E3">
        <w:rPr>
          <w:rFonts w:hint="eastAsia" w:ascii="SimHei" w:hAnsi="SimHei" w:eastAsia="黑体" w:cs="SimHei"/>
          <w:b/>
          <w:color w:val="000000"/>
          <w:sz w:val="28"/>
          <w:szCs w:val="21"/>
        </w:rPr>
        <w:t>题</w:t>
      </w:r>
      <w:r w:rsidRPr="00FD19E3">
        <w:rPr>
          <w:rFonts w:ascii="SimHei" w:hAnsi="SimHei" w:eastAsia="黑体" w:cs="SimHei"/>
          <w:b/>
          <w:color w:val="000000"/>
          <w:sz w:val="28"/>
          <w:szCs w:val="21"/>
        </w:rPr>
        <w:t xml:space="preserve"> </w:t>
      </w:r>
      <w:r w:rsidRPr="00FD19E3">
        <w:rPr>
          <w:rFonts w:hint="eastAsia" w:ascii="SimHei" w:hAnsi="SimHei" w:eastAsia="黑体" w:cs="SimHei"/>
          <w:b/>
          <w:color w:val="000000"/>
          <w:sz w:val="28"/>
          <w:szCs w:val="21"/>
        </w:rPr>
        <w:t>目</w:t>
      </w:r>
      <w:r w:rsidR="00866FFA" w:rsidRPr="00FD19E3">
        <w:rPr>
          <w:rFonts w:hint="eastAsia" w:ascii="SimHei" w:hAnsi="SimHei" w:eastAsia="黑体" w:cs="SimHei"/>
          <w:b/>
          <w:color w:val="000000"/>
          <w:sz w:val="28"/>
          <w:szCs w:val="21"/>
        </w:rPr>
        <w:t>：</w:t>
      </w:r>
      <w:r w:rsidR="00FD19E3" w:rsidRPr="00FD19E3">
        <w:rPr>
          <w:rFonts w:hint="eastAsia" w:ascii="SimHei" w:hAnsi="SimHei" w:eastAsia="黑体" w:cs="SimHei"/>
          <w:b/>
          <w:color w:val="000000"/>
          <w:sz w:val="28"/>
          <w:szCs w:val="21"/>
        </w:rPr>
        <w:t>基于在线策略蒸馏的大语言模型后训练方法研究</w:t>
      </w:r>
    </w:p>
    <w:p w14:paraId="7C122DCF" w14:textId="149911BC" w:rsidR="00A847C4" w:rsidRDefault="00A847C4" w:rsidP="00A847C4">
      <w:pPr>
        <w:spacing w:before="78" w:after="78"/>
        <w:ind w:firstLine="643"/>
        <w:rPr>
          <w:b/>
          <w:sz w:val="32"/>
        </w:rPr>
      </w:pPr>
    </w:p>
    <w:p w14:paraId="607458DB" w14:textId="77777777" w:rsidR="00A847C4" w:rsidRDefault="00A847C4" w:rsidP="00A847C4">
      <w:pPr>
        <w:spacing w:before="78" w:after="78"/>
        <w:ind w:firstLine="643"/>
        <w:rPr>
          <w:b/>
          <w:sz w:val="32"/>
          <w:u w:val="single"/>
        </w:rPr>
      </w:pPr>
    </w:p>
    <w:p w14:paraId="6A81B0BC" w14:textId="77777777" w:rsidR="00A847C4" w:rsidRDefault="00A847C4" w:rsidP="00A847C4">
      <w:pPr>
        <w:spacing w:before="78" w:after="78"/>
        <w:ind w:firstLine="643"/>
        <w:rPr>
          <w:b/>
          <w:sz w:val="32"/>
          <w:u w:val="single"/>
        </w:rPr>
      </w:pPr>
    </w:p>
    <w:p w14:paraId="0C65FAB6" w14:textId="77777777" w:rsidR="00A847C4" w:rsidRDefault="00A847C4" w:rsidP="00A847C4">
      <w:pPr>
        <w:spacing w:before="78" w:after="78"/>
        <w:ind w:firstLine="643"/>
        <w:rPr>
          <w:b/>
          <w:sz w:val="32"/>
          <w:u w:val="single"/>
        </w:rPr>
      </w:pPr>
    </w:p>
    <w:p w14:paraId="3F4FC680" w14:textId="0AD57348" w:rsidR="00A847C4" w:rsidRDefault="00A847C4" w:rsidP="00A847C4">
      <w:pPr>
        <w:spacing w:beforeLines="80" w:before="249" w:after="60"/>
        <w:ind w:firstLineChars="686" w:firstLine="2204"/>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sidR="00866FFA">
        <w:rPr>
          <w:rFonts w:hint="eastAsia"/>
          <w:b/>
          <w:sz w:val="32"/>
          <w:u w:val="single"/>
        </w:rPr>
        <w:t>待填写</w:t>
      </w:r>
      <w:r w:rsidR="00866FFA">
        <w:rPr>
          <w:b/>
          <w:sz w:val="32"/>
          <w:u w:val="single"/>
        </w:rPr>
        <w:t xml:space="preserve"> </w:t>
      </w:r>
      <w:r>
        <w:rPr>
          <w:b/>
          <w:sz w:val="32"/>
          <w:u w:val="single"/>
        </w:rPr>
        <w:t xml:space="preserve">  </w:t>
      </w:r>
    </w:p>
    <w:p w14:paraId="727EE0AF" w14:textId="5FC339BE"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087E7EA8" w14:textId="0741AE54"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sidR="00866FFA">
        <w:rPr>
          <w:b/>
          <w:sz w:val="32"/>
          <w:u w:val="single"/>
        </w:rPr>
        <w:t xml:space="preserve">待填写</w:t>
      </w:r>
      <w:r>
        <w:rPr>
          <w:b/>
          <w:sz w:val="32"/>
          <w:u w:val="single"/>
        </w:rPr>
        <w:t xml:space="preserve">    </w:t>
      </w:r>
    </w:p>
    <w:p w14:paraId="77CDA7DA" w14:textId="7F1B3115" w:rsidR="00A847C4" w:rsidRDefault="00A847C4" w:rsidP="00A847C4">
      <w:pPr>
        <w:spacing w:beforeLines="80" w:before="249" w:after="60"/>
        <w:ind w:firstLineChars="686" w:firstLine="2204"/>
        <w:rPr>
          <w:b/>
          <w:sz w:val="32"/>
          <w:u w:val="single"/>
        </w:rPr>
      </w:pPr>
      <w:r>
        <w:rPr>
          <w:rFonts w:hint="eastAsia"/>
          <w:b/>
          <w:sz w:val="32"/>
        </w:rPr>
        <w:t>指导教师</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27AD5893" w14:textId="290D82D0" w:rsidR="00A847C4" w:rsidRDefault="00A847C4" w:rsidP="00A847C4">
      <w:pPr>
        <w:spacing w:beforeLines="80" w:before="249" w:after="60"/>
        <w:ind w:firstLineChars="686" w:firstLine="2204"/>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sidR="00866FFA">
        <w:rPr>
          <w:b/>
          <w:sz w:val="32"/>
          <w:u w:val="single"/>
        </w:rPr>
        <w:t>待填写</w:t>
      </w:r>
      <w:r>
        <w:rPr>
          <w:b/>
          <w:sz w:val="32"/>
          <w:u w:val="single"/>
        </w:rPr>
        <w:t xml:space="preserve">         </w:t>
      </w:r>
    </w:p>
    <w:p>
      <w:pPr>
        <w:pStyle w:val="1"/>
      </w:pPr>
      <w:r>
        <w:rPr>
          <w:rFonts w:ascii="SimHei" w:hAnsi="SimHei" w:eastAsia="黑体" w:cs="SimHei"/>
          <w:color w:val="000000"/>
        </w:rPr>
        <w:t>1．课题来源及研究的目的和意义</w:t>
      </w:r>
    </w:p>
    <w:p>
      <w:pPr>
        <w:pStyle w:val="2"/>
      </w:pPr>
      <w:r>
        <w:rPr>
          <w:rFonts w:ascii="SimHei" w:hAnsi="SimHei" w:eastAsia="黑体" w:cs="SimHei"/>
          <w:color w:val="000000"/>
        </w:rPr>
        <w:t>1.1 课题来源</w:t>
      </w:r>
    </w:p>
    <w:p>
      <w:pPr>
        <w:pStyle w:val="a"/>
        <w:jc w:val="both"/>
        <w:ind w:firstLine="420"/>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pPr>
        <w:pStyle w:val="a"/>
        <w:jc w:val="both"/>
        <w:ind w:firstLine="420"/>
      </w:pPr>
      <w:r>
        <w:t>本课题以 Qwen3-0.6B 为学生模型，采用 LoRA 进行后训练；以 Qwen3-4B 为冻结教师模型；训练数据从公开 Function Calling 数据中选择；按照任务要求比较 Forward KL、Reverse KL、广义散度，以及全词表、Top-K、K1 sampled-token 三种监督方案；最终在 vLLM 或自行搭建的 Agent 中完成验证。数据准备阶段统一记录数据集名称、版本、许可证、划分方式和模型版本。</w:t>
      </w:r>
    </w:p>
    <w:p>
      <w:pPr>
        <w:pStyle w:val="2"/>
      </w:pPr>
      <w:r>
        <w:rPr>
          <w:rFonts w:ascii="SimHei" w:hAnsi="SimHei" w:eastAsia="黑体" w:cs="SimHei"/>
          <w:color w:val="000000"/>
        </w:rPr>
        <w:t>1.2 研究背景</w:t>
      </w:r>
    </w:p>
    <w:p>
      <w:pPr>
        <w:pStyle w:val="a"/>
        <w:jc w:val="both"/>
        <w:ind w:firstLine="420"/>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pPr>
        <w:pStyle w:val="a"/>
        <w:jc w:val="both"/>
        <w:ind w:firstLine="420"/>
      </w:pPr>
      <w:r>
        <w:t>Function Calling 是大语言模型连接外部 API 和工具的重要形式。Gorilla/APIBench 关注 API 文档、API 选择和参数正确性[22]；API-Bank 将工具规划、检索和调用放在统一基准中进行评测[23]。ReAct 展示了推理与外部动作交替进行的 Agent 交互形式[21]。这些工作表明，工具增强模型的能力不只体现在自然语言流畅性，还体现在工具选择、结构化参数、调用顺序和执行结果等多个环节。</w:t>
      </w:r>
    </w:p>
    <w:p>
      <w:pPr>
        <w:pStyle w:val="a"/>
        <w:jc w:val="both"/>
        <w:ind w:firstLine="420"/>
      </w:pPr>
      <w:r>
        <w:t>Function Calling 具有相对清晰的自动评测条件。给定用户请求、工具集合和调用 schema，可以分别检查模型是否选择正确函数、是否生成可解析结构、参数键和值是否匹配、调用是否满足类型约束，以及工具执行后是否完成任务。BFCL 将函数调用评测扩展到串行、并行、拒答和 Agent 场景，并讨论了基于结构匹配的评测方式[27]。因此，Function Calling 适合作为研究小模型后训练方法的应用领域，也适合观察 token 级分布匹配是否能够转化为端到端行为。</w:t>
      </w:r>
    </w:p>
    <w:p>
      <w:pPr>
        <w:pStyle w:val="a"/>
        <w:jc w:val="both"/>
        <w:ind w:firstLine="420"/>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pPr>
        <w:pStyle w:val="a"/>
        <w:jc w:val="both"/>
        <w:ind w:firstLine="420"/>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pPr>
        <w:pStyle w:val="2"/>
      </w:pPr>
      <w:r>
        <w:rPr>
          <w:rFonts w:ascii="SimHei" w:hAnsi="SimHei" w:eastAsia="黑体" w:cs="SimHei"/>
          <w:color w:val="000000"/>
        </w:rPr>
        <w:t>1.3 传统后训练方法的局限</w:t>
      </w:r>
    </w:p>
    <w:p>
      <w:pPr>
        <w:pStyle w:val="a"/>
        <w:jc w:val="both"/>
        <w:ind w:firstLine="420"/>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pPr>
        <w:pStyle w:val="a"/>
        <w:jc w:val="both"/>
        <w:ind w:firstLine="420"/>
      </w:pPr>
      <w:r>
        <w:t>强化学习和偏好优化分别依赖环境奖励与回答偏好，训练信号均不同于本课题的 token 分布监督。因此，本课题把强化学习和偏好优化作为背景，不把它们的训练协议并入主比较。</w:t>
      </w:r>
    </w:p>
    <w:p>
      <w:pPr>
        <w:pStyle w:val="a"/>
        <w:jc w:val="both"/>
        <w:ind w:firstLine="420"/>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pPr>
        <w:pStyle w:val="2"/>
      </w:pPr>
      <w:r>
        <w:rPr>
          <w:rFonts w:ascii="SimHei" w:hAnsi="SimHei" w:eastAsia="黑体" w:cs="SimHei"/>
          <w:color w:val="000000"/>
        </w:rPr>
        <w:t>1.4 在线策略蒸馏的研究价值</w:t>
      </w:r>
    </w:p>
    <w:p>
      <w:pPr>
        <w:pStyle w:val="a"/>
        <w:jc w:val="both"/>
        <w:ind w:firstLine="420"/>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pPr>
        <w:pStyle w:val="a"/>
        <w:jc w:val="both"/>
        <w:ind w:firstLine="420"/>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pPr>
        <w:pStyle w:val="a"/>
        <w:jc w:val="both"/>
        <w:ind w:firstLine="420"/>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pPr>
        <w:pStyle w:val="a"/>
        <w:jc w:val="both"/>
        <w:ind w:firstLine="420"/>
      </w:pPr>
      <w:r>
        <w:t>Function Calling 还提供了一个观察 OPD 训练机制的中间层。自然语言回复的质量往往难以完全自动判断，而函数名和参数通常具有明确的结构约束；反过来，结构合法也不一定代表任务完成。由此可以把研究结果分为 token 分布层、结构化生成层和工具执行层：前两层可以分析教师监督是否被学生吸收，最后一层可以检查这些变化是否真正影响 Agent 行为。这种分层关系是本课题选择该领域的重要原因。</w:t>
      </w:r>
    </w:p>
    <w:p>
      <w:pPr>
        <w:pStyle w:val="2"/>
      </w:pPr>
      <w:r>
        <w:rPr>
          <w:rFonts w:ascii="SimHei" w:hAnsi="SimHei" w:eastAsia="黑体" w:cs="SimHei"/>
          <w:color w:val="000000"/>
        </w:rPr>
        <w:t>1.5 研究目的和意义</w:t>
      </w:r>
    </w:p>
    <w:p>
      <w:pPr>
        <w:pStyle w:val="a"/>
        <w:jc w:val="both"/>
        <w:ind w:firstLine="420"/>
      </w:pPr>
      <w:r>
        <w:t>本课题的研究目的如下：</w:t>
      </w:r>
    </w:p>
    <w:p>
      <w:pPr>
        <w:pStyle w:val="a8"/>
        <w:jc w:val="left"/>
        <w:ind w:firstLine="420"/>
      </w:pPr>
      <w:r>
        <w:t>1. 梳理离线蒸馏、在线策略蒸馏、KL 散度和工具增强模型的研究脉络，明确 OPD 在 Function Calling 中的研究问题。</w:t>
      </w:r>
    </w:p>
    <w:p>
      <w:pPr>
        <w:pStyle w:val="a8"/>
        <w:jc w:val="left"/>
        <w:ind w:firstLine="420"/>
      </w:pPr>
      <w:r>
        <w:t>2. 在统一的 OPD 后训练流程下比较主要散度方向与监督信息粒度/估计方式，具体候选矩阵见第3、4节。</w:t>
      </w:r>
    </w:p>
    <w:p>
      <w:pPr>
        <w:pStyle w:val="a8"/>
        <w:jc w:val="left"/>
        <w:ind w:firstLine="420"/>
      </w:pPr>
      <w:r>
        <w:t>3. 从任务效果、训练稳定性、分布变化和资源开销分析方法差异，并在候选的 vLLM 或自建 Agent 后端中观察这些差异与端到端行为的关系。</w:t>
      </w:r>
    </w:p>
    <w:p>
      <w:pPr>
        <w:pStyle w:val="a"/>
        <w:jc w:val="both"/>
        <w:ind w:firstLine="420"/>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pPr>
        <w:pStyle w:val="1"/>
      </w:pPr>
      <w:r>
        <w:rPr>
          <w:rFonts w:ascii="SimHei" w:hAnsi="SimHei" w:eastAsia="黑体" w:cs="SimHei"/>
          <w:color w:val="000000"/>
        </w:rPr>
        <w:t>2．国内外在该方向的研究现状及分析</w:t>
      </w:r>
    </w:p>
    <w:p>
      <w:pPr>
        <w:pStyle w:val="2"/>
      </w:pPr>
      <w:r>
        <w:rPr>
          <w:rFonts w:ascii="SimHei" w:hAnsi="SimHei" w:eastAsia="黑体" w:cs="SimHei"/>
          <w:color w:val="000000"/>
        </w:rPr>
        <w:t>2.1 大语言模型后训练和知识蒸馏</w:t>
      </w:r>
    </w:p>
    <w:p>
      <w:pPr>
        <w:pStyle w:val="a"/>
        <w:jc w:val="both"/>
        <w:ind w:firstLine="420"/>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pPr>
        <w:pStyle w:val="a"/>
        <w:jc w:val="both"/>
        <w:ind w:firstLine="420"/>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pPr>
        <w:pStyle w:val="a"/>
        <w:jc w:val="both"/>
        <w:ind w:firstLine="420"/>
      </w:pPr>
      <w:r>
        <w:t>从训练状态和反馈来源看，可以将相关方法作如下区分：</w:t>
      </w:r>
    </w:p>
    <w:tbl>
      <w:tblPr>
        <w:tblStyle w:val="a9"/>
        <w:tblW w:w="0" w:type="auto"/>
        <w:tblLook w:val="04A0" w:firstRow="1" w:lastRow="0" w:firstColumn="1" w:lastColumn="0" w:noHBand="0" w:noVBand="1"/>
      </w:tblPr>
      <w:tblGrid>
        <w:gridCol w:w="2074"/>
        <w:gridCol w:w="2074"/>
        <w:gridCol w:w="2074"/>
        <w:gridCol w:w="2074"/>
      </w:tblGrid>
      <w:tr>
        <w:trPr>
          <w:tblHeader/>
        </w:trPr>
        <w:tc>
          <w:tcPr>
            <w:tcW w:w="4148" w:type="dxa"/>
            <w:shd w:val="clear" w:color="auto" w:fill="C5E0B3" w:themeFill="accent6" w:themeFillTint="66"/>
          </w:tcPr>
          <w:p>
            <w:pPr>
              <w:pStyle w:val="a"/>
              <w:jc w:val="left"/>
              <w:ind w:firstLine="0"/>
            </w:pPr>
            <w:r>
              <w:rPr>
                <w:b/>
              </w:rPr>
              <w:t>方法类别</w:t>
            </w:r>
          </w:p>
        </w:tc>
        <w:tc>
          <w:tcPr>
            <w:tcW w:w="4148" w:type="dxa"/>
            <w:shd w:val="clear" w:color="auto" w:fill="C5E0B3" w:themeFill="accent6" w:themeFillTint="66"/>
          </w:tcPr>
          <w:p>
            <w:pPr>
              <w:pStyle w:val="a"/>
              <w:jc w:val="left"/>
              <w:ind w:firstLine="0"/>
            </w:pPr>
            <w:r>
              <w:rPr>
                <w:b/>
              </w:rPr>
              <w:t>学生训练时的主要状态</w:t>
            </w:r>
          </w:p>
        </w:tc>
        <w:tc>
          <w:tcPr>
            <w:tcW w:w="4148" w:type="dxa"/>
            <w:shd w:val="clear" w:color="auto" w:fill="C5E0B3" w:themeFill="accent6" w:themeFillTint="66"/>
          </w:tcPr>
          <w:p>
            <w:pPr>
              <w:pStyle w:val="a"/>
              <w:jc w:val="left"/>
              <w:ind w:firstLine="0"/>
            </w:pPr>
            <w:r>
              <w:rPr>
                <w:b/>
              </w:rPr>
              <w:t>监督或奖励来源</w:t>
            </w:r>
          </w:p>
        </w:tc>
        <w:tc>
          <w:tcPr>
            <w:tcW w:w="4148" w:type="dxa"/>
            <w:shd w:val="clear" w:color="auto" w:fill="C5E0B3" w:themeFill="accent6" w:themeFillTint="66"/>
          </w:tcPr>
          <w:p>
            <w:pPr>
              <w:pStyle w:val="a"/>
              <w:jc w:val="left"/>
              <w:ind w:firstLine="0"/>
            </w:pPr>
            <w:r>
              <w:rPr>
                <w:b/>
              </w:rPr>
              <w:t>对本课题的启发</w:t>
            </w:r>
          </w:p>
        </w:tc>
      </w:tr>
      <w:tr>
        <w:tc>
          <w:tcPr>
            <w:tcW w:w="4148" w:type="dxa"/>
          </w:tcPr>
          <w:p>
            <w:pPr>
              <w:pStyle w:val="a"/>
              <w:jc w:val="left"/>
              <w:ind w:firstLine="0"/>
            </w:pPr>
            <w:r>
              <w:t>SFT/离线蒸馏</w:t>
            </w:r>
          </w:p>
        </w:tc>
        <w:tc>
          <w:tcPr>
            <w:tcW w:w="4148" w:type="dxa"/>
          </w:tcPr>
          <w:p>
            <w:pPr>
              <w:pStyle w:val="a"/>
              <w:jc w:val="left"/>
              <w:ind w:firstLine="0"/>
            </w:pPr>
            <w:r>
              <w:t>数据或教师示范前缀</w:t>
            </w:r>
          </w:p>
        </w:tc>
        <w:tc>
          <w:tcPr>
            <w:tcW w:w="4148" w:type="dxa"/>
          </w:tcPr>
          <w:p>
            <w:pPr>
              <w:pStyle w:val="a"/>
              <w:jc w:val="left"/>
              <w:ind w:firstLine="0"/>
            </w:pPr>
            <w:r>
              <w:t>硬标签、教师序列或软分布</w:t>
            </w:r>
          </w:p>
        </w:tc>
        <w:tc>
          <w:tcPr>
            <w:tcW w:w="4148" w:type="dxa"/>
          </w:tcPr>
          <w:p>
            <w:pPr>
              <w:pStyle w:val="a"/>
              <w:jc w:val="left"/>
              <w:ind w:firstLine="0"/>
            </w:pPr>
            <w:r>
              <w:t>作为 OPD 分布偏移问题的对照背景</w:t>
            </w:r>
          </w:p>
        </w:tc>
      </w:tr>
      <w:tr>
        <w:tc>
          <w:tcPr>
            <w:tcW w:w="4148" w:type="dxa"/>
          </w:tcPr>
          <w:p>
            <w:pPr>
              <w:pStyle w:val="a"/>
              <w:jc w:val="left"/>
              <w:ind w:firstLine="0"/>
            </w:pPr>
            <w:r>
              <w:t>模仿学习式蒸馏</w:t>
            </w:r>
          </w:p>
        </w:tc>
        <w:tc>
          <w:tcPr>
            <w:tcW w:w="4148" w:type="dxa"/>
          </w:tcPr>
          <w:p>
            <w:pPr>
              <w:pStyle w:val="a"/>
              <w:jc w:val="left"/>
              <w:ind w:firstLine="0"/>
            </w:pPr>
            <w:r>
              <w:t>学生访问的部分状态</w:t>
            </w:r>
          </w:p>
        </w:tc>
        <w:tc>
          <w:tcPr>
            <w:tcW w:w="4148" w:type="dxa"/>
          </w:tcPr>
          <w:p>
            <w:pPr>
              <w:pStyle w:val="a"/>
              <w:jc w:val="left"/>
              <w:ind w:firstLine="0"/>
            </w:pPr>
            <w:r>
              <w:t>专家动作或教师反馈</w:t>
            </w:r>
          </w:p>
        </w:tc>
        <w:tc>
          <w:tcPr>
            <w:tcW w:w="4148" w:type="dxa"/>
          </w:tcPr>
          <w:p>
            <w:pPr>
              <w:pStyle w:val="a"/>
              <w:jc w:val="left"/>
              <w:ind w:firstLine="0"/>
            </w:pPr>
            <w:r>
              <w:t>说明为什么要让教师观察学生前缀</w:t>
            </w:r>
          </w:p>
        </w:tc>
      </w:tr>
      <w:tr>
        <w:tc>
          <w:tcPr>
            <w:tcW w:w="4148" w:type="dxa"/>
          </w:tcPr>
          <w:p>
            <w:pPr>
              <w:pStyle w:val="a"/>
              <w:jc w:val="left"/>
              <w:ind w:firstLine="0"/>
            </w:pPr>
            <w:r>
              <w:t>OPD</w:t>
            </w:r>
          </w:p>
        </w:tc>
        <w:tc>
          <w:tcPr>
            <w:tcW w:w="4148" w:type="dxa"/>
          </w:tcPr>
          <w:p>
            <w:pPr>
              <w:pStyle w:val="a"/>
              <w:jc w:val="left"/>
              <w:ind w:firstLine="0"/>
            </w:pPr>
            <w:r>
              <w:t>学生自身生成轨迹</w:t>
            </w:r>
          </w:p>
        </w:tc>
        <w:tc>
          <w:tcPr>
            <w:tcW w:w="4148" w:type="dxa"/>
          </w:tcPr>
          <w:p>
            <w:pPr>
              <w:pStyle w:val="a"/>
              <w:jc w:val="left"/>
              <w:ind w:firstLine="0"/>
            </w:pPr>
            <w:r>
              <w:t>教师 token 分布或 log-prob</w:t>
            </w:r>
          </w:p>
        </w:tc>
        <w:tc>
          <w:tcPr>
            <w:tcW w:w="4148" w:type="dxa"/>
          </w:tcPr>
          <w:p>
            <w:pPr>
              <w:pStyle w:val="a"/>
              <w:jc w:val="left"/>
              <w:ind w:firstLine="0"/>
            </w:pPr>
            <w:r>
              <w:t>本课题的主要研究对象</w:t>
            </w:r>
          </w:p>
        </w:tc>
      </w:tr>
      <w:tr>
        <w:tc>
          <w:tcPr>
            <w:tcW w:w="4148" w:type="dxa"/>
          </w:tcPr>
          <w:p>
            <w:pPr>
              <w:pStyle w:val="a"/>
              <w:jc w:val="left"/>
              <w:ind w:firstLine="0"/>
            </w:pPr>
            <w:r>
              <w:t>偏好优化/RL</w:t>
            </w:r>
          </w:p>
        </w:tc>
        <w:tc>
          <w:tcPr>
            <w:tcW w:w="4148" w:type="dxa"/>
          </w:tcPr>
          <w:p>
            <w:pPr>
              <w:pStyle w:val="a"/>
              <w:jc w:val="left"/>
              <w:ind w:firstLine="0"/>
            </w:pPr>
            <w:r>
              <w:t>学生采样或离线偏好状态</w:t>
            </w:r>
          </w:p>
        </w:tc>
        <w:tc>
          <w:tcPr>
            <w:tcW w:w="4148" w:type="dxa"/>
          </w:tcPr>
          <w:p>
            <w:pPr>
              <w:pStyle w:val="a"/>
              <w:jc w:val="left"/>
              <w:ind w:firstLine="0"/>
            </w:pPr>
            <w:r>
              <w:t>偏好关系、环境奖励</w:t>
            </w:r>
          </w:p>
        </w:tc>
        <w:tc>
          <w:tcPr>
            <w:tcW w:w="4148" w:type="dxa"/>
          </w:tcPr>
          <w:p>
            <w:pPr>
              <w:pStyle w:val="a"/>
              <w:jc w:val="left"/>
              <w:ind w:firstLine="0"/>
            </w:pPr>
            <w:r>
              <w:t>说明密集教师反馈与稀疏奖励的差异</w:t>
            </w:r>
          </w:p>
        </w:tc>
      </w:tr>
    </w:tbl>
    <w:p>
      <w:pPr>
        <w:pStyle w:val="a"/>
        <w:jc w:val="both"/>
        <w:ind w:firstLine="420"/>
      </w:pPr>
      <w:r>
        <w:t>实际系统可以先使用 SFT 再进行 OPD，也可以将教师反馈与任务奖励结合。本课题聚焦 LoRA-OPD 路线，主要研究学生策略采样、教师分布反馈、散度方向和监督信息粒度，RLHF、DPO 及多阶段 Agent 训练作为相关工作进行讨论。</w:t>
      </w:r>
    </w:p>
    <w:p>
      <w:pPr>
        <w:pStyle w:val="2"/>
      </w:pPr>
      <w:r>
        <w:rPr>
          <w:rFonts w:ascii="SimHei" w:hAnsi="SimHei" w:eastAsia="黑体" w:cs="SimHei"/>
          <w:color w:val="000000"/>
        </w:rPr>
        <w:t>2.2 分布偏移与在线策略蒸馏</w:t>
      </w:r>
    </w:p>
    <w:p>
      <w:pPr>
        <w:pStyle w:val="a"/>
        <w:jc w:val="both"/>
        <w:ind w:firstLine="420"/>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pPr>
        <w:pStyle w:val="a"/>
        <w:jc w:val="both"/>
        <w:ind w:firstLine="420"/>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pPr>
        <w:pStyle w:val="a"/>
        <w:jc w:val="both"/>
        <w:ind w:firstLine="420"/>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pPr>
        <w:pStyle w:val="a"/>
        <w:jc w:val="both"/>
        <w:ind w:firstLine="420"/>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pPr>
        <w:pStyle w:val="a"/>
        <w:jc w:val="both"/>
        <w:ind w:firstLine="420"/>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pPr>
        <w:pStyle w:val="2"/>
      </w:pPr>
      <w:r>
        <w:rPr>
          <w:rFonts w:ascii="SimHei" w:hAnsi="SimHei" w:eastAsia="黑体" w:cs="SimHei"/>
          <w:color w:val="000000"/>
        </w:rPr>
        <w:t>2.3 KL 散度方向与广义散度</w:t>
      </w:r>
    </w:p>
    <w:p>
      <w:pPr>
        <w:pStyle w:val="a"/>
        <w:jc w:val="both"/>
        <w:ind w:firstLine="420"/>
      </w:pPr>
      <w:r>
        <w:t>KL 散度的经典定义来自 Kullback 和 Leibler 的信息论研究[17]。令 p_T 和 p_S 分别表示教师分布和学生分布，Forward KL 与 Reverse KL 定义为：</w:t>
      </w:r>
    </w:p>
    <w:p>
      <w:pPr>
        <w:pStyle w:val="a"/>
        <w:jc w:val="center"/>
        <w:ind w:firstLine="0"/>
      </w:pPr>
      <m:oMath xmlns:mml="http://www.w3.org/1998/Math/MathML">
        <m:sSub>
          <m:e>
            <m:r>
              <m:t>D</m:t>
            </m:r>
          </m:e>
          <m:sub>
            <m:r>
              <m:rPr>
                <m:sty m:val="p"/>
              </m:rPr>
              <m:t>FKL</m:t>
            </m:r>
          </m:sub>
        </m:sSub>
        <m:d>
          <m:dPr>
            <m:sepChr m:val=","/>
          </m:dPr>
          <m:e>
            <m:sSub>
              <m:e>
                <m:r>
                  <m:t>p</m:t>
                </m:r>
              </m:e>
              <m:sub>
                <m:r>
                  <m:t>T</m:t>
                </m:r>
              </m:sub>
            </m:sSub>
            <m:r>
              <m:t>∥</m:t>
            </m:r>
            <m:sSub>
              <m:e>
                <m:r>
                  <m:t>p</m:t>
                </m:r>
              </m:e>
              <m:sub>
                <m:r>
                  <m:t>S</m:t>
                </m:r>
              </m:sub>
            </m:sSub>
          </m:e>
        </m:d>
        <m:r>
          <m:t>=</m:t>
        </m:r>
        <m:nary>
          <m:naryPr>
            <m:chr m:val="∑"/>
            <m:limLoc m:val="subSup"/>
            <m:grow m:val="1"/>
            <m:subHide m:val="off"/>
            <m:supHide m:val="on"/>
          </m:naryPr>
          <m:sub>
            <m:r>
              <m:t>v∈𝒱</m:t>
            </m:r>
          </m:sub>
          <m:sup/>
          <m:e>
            <m:sSub>
              <m:e>
                <m:r>
                  <m:t>p</m:t>
                </m:r>
              </m:e>
              <m:sub>
                <m:r>
                  <m:t>T</m:t>
                </m:r>
              </m:sub>
            </m:sSub>
            <m:d>
              <m:dPr>
                <m:sepChr m:val=","/>
              </m:dPr>
              <m:e>
                <m:r>
                  <m:t>v</m:t>
                </m:r>
              </m:e>
            </m:d>
          </m:e>
        </m:nary>
        <m:r>
          <m:rPr>
            <m:sty m:val="p"/>
          </m:rPr>
          <m:t>log</m:t>
        </m:r>
        <m:d>
          <m:dPr>
            <m:sepChr m:val=","/>
          </m:dPr>
          <m:e>
            <m:f>
              <m:fPr>
                <m:type m:val="bar"/>
              </m:fPr>
              <m:num>
                <m:sSub>
                  <m:e>
                    <m:r>
                      <m:t>p</m:t>
                    </m:r>
                  </m:e>
                  <m:sub>
                    <m:r>
                      <m:t>T</m:t>
                    </m:r>
                  </m:sub>
                </m:sSub>
                <m:d>
                  <m:dPr>
                    <m:sepChr m:val=","/>
                  </m:dPr>
                  <m:e>
                    <m:r>
                      <m:t>v</m:t>
                    </m:r>
                  </m:e>
                </m:d>
              </m:num>
              <m:den>
                <m:sSub>
                  <m:e>
                    <m:r>
                      <m:t>p</m:t>
                    </m:r>
                  </m:e>
                  <m:sub>
                    <m:r>
                      <m:t>S</m:t>
                    </m:r>
                  </m:sub>
                </m:sSub>
                <m:d>
                  <m:dPr>
                    <m:sepChr m:val=","/>
                  </m:dPr>
                  <m:e>
                    <m:r>
                      <m:t>v</m:t>
                    </m:r>
                  </m:e>
                </m:d>
              </m:den>
            </m:f>
          </m:e>
        </m:d>
      </m:oMath>
    </w:p>
    <w:p>
      <w:pPr>
        <w:jc w:val="center"/>
      </w:pPr>
      <m:oMath xmlns:mml="http://www.w3.org/1998/Math/MathML">
        <m:sSub>
          <m:e>
            <m:r>
              <m:t>D</m:t>
            </m:r>
          </m:e>
          <m:sub>
            <m:r>
              <m:rPr>
                <m:sty m:val="p"/>
              </m:rPr>
              <m:t>RKL</m:t>
            </m:r>
          </m:sub>
        </m:sSub>
        <m:d>
          <m:dPr>
            <m:sepChr m:val=","/>
          </m:dPr>
          <m:e>
            <m:sSub>
              <m:e>
                <m:r>
                  <m:t>p</m:t>
                </m:r>
              </m:e>
              <m:sub>
                <m:r>
                  <m:t>S</m:t>
                </m:r>
              </m:sub>
            </m:sSub>
            <m:r>
              <m:t>∥</m:t>
            </m:r>
            <m:sSub>
              <m:e>
                <m:r>
                  <m:t>p</m:t>
                </m:r>
              </m:e>
              <m:sub>
                <m:r>
                  <m:t>T</m:t>
                </m:r>
              </m:sub>
            </m:sSub>
          </m:e>
        </m:d>
        <m:r>
          <m:t>=</m:t>
        </m:r>
        <m:nary>
          <m:naryPr>
            <m:chr m:val="∑"/>
            <m:limLoc m:val="subSup"/>
            <m:grow m:val="1"/>
            <m:subHide m:val="off"/>
            <m:supHide m:val="on"/>
          </m:naryPr>
          <m:sub>
            <m:r>
              <m:t>v∈𝒱</m:t>
            </m:r>
          </m:sub>
          <m:sup/>
          <m:e>
            <m:sSub>
              <m:e>
                <m:r>
                  <m:t>p</m:t>
                </m:r>
              </m:e>
              <m:sub>
                <m:r>
                  <m:t>S</m:t>
                </m:r>
              </m:sub>
            </m:sSub>
            <m:d>
              <m:dPr>
                <m:sepChr m:val=","/>
              </m:dPr>
              <m:e>
                <m:r>
                  <m:t>v</m:t>
                </m:r>
              </m:e>
            </m:d>
          </m:e>
        </m:nary>
        <m:r>
          <m:rPr>
            <m:sty m:val="p"/>
          </m:rPr>
          <m:t>log</m:t>
        </m:r>
        <m:d>
          <m:dPr>
            <m:sepChr m:val=","/>
          </m:dPr>
          <m:e>
            <m:f>
              <m:fPr>
                <m:type m:val="bar"/>
              </m:fPr>
              <m:num>
                <m:sSub>
                  <m:e>
                    <m:r>
                      <m:t>p</m:t>
                    </m:r>
                  </m:e>
                  <m:sub>
                    <m:r>
                      <m:t>S</m:t>
                    </m:r>
                  </m:sub>
                </m:sSub>
                <m:d>
                  <m:dPr>
                    <m:sepChr m:val=","/>
                  </m:dPr>
                  <m:e>
                    <m:r>
                      <m:t>v</m:t>
                    </m:r>
                  </m:e>
                </m:d>
              </m:num>
              <m:den>
                <m:sSub>
                  <m:e>
                    <m:r>
                      <m:t>p</m:t>
                    </m:r>
                  </m:e>
                  <m:sub>
                    <m:r>
                      <m:t>T</m:t>
                    </m:r>
                  </m:sub>
                </m:sSub>
                <m:d>
                  <m:dPr>
                    <m:sepChr m:val=","/>
                  </m:dPr>
                  <m:e>
                    <m:r>
                      <m:t>v</m:t>
                    </m:r>
                  </m:e>
                </m:d>
              </m:den>
            </m:f>
          </m:e>
        </m:d>
      </m:oMath>
    </w:p>
    <w:p>
      <w:pPr>
        <w:pStyle w:val="a"/>
        <w:jc w:val="both"/>
        <w:ind w:firstLine="420"/>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pPr>
        <w:pStyle w:val="a"/>
        <w:jc w:val="both"/>
        <w:ind w:firstLine="420"/>
      </w:pPr>
      <w:r>
        <w:t>广义散度用于在不同分布匹配偏好之间取得折中。Jensen-Shannon 散度通过教师分布与学生分布的混合分布定义，其形式为[18]：</w:t>
      </w:r>
    </w:p>
    <w:p>
      <w:pPr>
        <w:pStyle w:val="a"/>
        <w:jc w:val="center"/>
        <w:ind w:firstLine="0"/>
      </w:pPr>
      <m:oMath xmlns:mml="http://www.w3.org/1998/Math/MathML">
        <m:r>
          <m:t>m=</m:t>
        </m:r>
        <m:f>
          <m:fPr>
            <m:type m:val="bar"/>
          </m:fPr>
          <m:num>
            <m:sSub>
              <m:e>
                <m:r>
                  <m:t>p</m:t>
                </m:r>
              </m:e>
              <m:sub>
                <m:r>
                  <m:t>T</m:t>
                </m:r>
              </m:sub>
            </m:sSub>
            <m:r>
              <m:t>+</m:t>
            </m:r>
            <m:sSub>
              <m:e>
                <m:r>
                  <m:t>p</m:t>
                </m:r>
              </m:e>
              <m:sub>
                <m:r>
                  <m:t>S</m:t>
                </m:r>
              </m:sub>
            </m:sSub>
          </m:num>
          <m:den>
            <m:r>
              <m:t>2</m:t>
            </m:r>
          </m:den>
        </m:f>
        <m:r>
          <m:t>,</m:t>
        </m:r>
        <m:sSub>
          <m:e>
            <m:r>
              <m:t>D</m:t>
            </m:r>
          </m:e>
          <m:sub>
            <m:r>
              <m:rPr>
                <m:sty m:val="p"/>
              </m:rPr>
              <m:t>JS</m:t>
            </m:r>
          </m:sub>
        </m:sSub>
        <m:d>
          <m:dPr>
            <m:sepChr m:val=","/>
          </m:dPr>
          <m:e>
            <m:sSub>
              <m:e>
                <m:r>
                  <m:t>p</m:t>
                </m:r>
              </m:e>
              <m:sub>
                <m:r>
                  <m:t>T</m:t>
                </m:r>
              </m:sub>
            </m:sSub>
            <m:r>
              <m:t>,</m:t>
            </m:r>
            <m:sSub>
              <m:e>
                <m:r>
                  <m:t>p</m:t>
                </m:r>
              </m:e>
              <m:sub>
                <m:r>
                  <m:t>S</m:t>
                </m:r>
              </m:sub>
            </m:sSub>
          </m:e>
        </m:d>
        <m:r>
          <m:t>=</m:t>
        </m:r>
        <m:f>
          <m:fPr>
            <m:type m:val="bar"/>
          </m:fPr>
          <m:num>
            <m:r>
              <m:t>1</m:t>
            </m:r>
          </m:num>
          <m:den>
            <m:r>
              <m:t>2</m:t>
            </m:r>
          </m:den>
        </m:f>
        <m:sSub>
          <m:e>
            <m:r>
              <m:t>D</m:t>
            </m:r>
          </m:e>
          <m:sub>
            <m:r>
              <m:rPr>
                <m:sty m:val="p"/>
              </m:rPr>
              <m:t>KL</m:t>
            </m:r>
          </m:sub>
        </m:sSub>
        <m:d>
          <m:dPr>
            <m:sepChr m:val=","/>
          </m:dPr>
          <m:e>
            <m:sSub>
              <m:e>
                <m:r>
                  <m:t>p</m:t>
                </m:r>
              </m:e>
              <m:sub>
                <m:r>
                  <m:t>T</m:t>
                </m:r>
              </m:sub>
            </m:sSub>
            <m:r>
              <m:t>∥m</m:t>
            </m:r>
          </m:e>
        </m:d>
        <m:r>
          <m:t>+</m:t>
        </m:r>
        <m:f>
          <m:fPr>
            <m:type m:val="bar"/>
          </m:fPr>
          <m:num>
            <m:r>
              <m:t>1</m:t>
            </m:r>
          </m:num>
          <m:den>
            <m:r>
              <m:t>2</m:t>
            </m:r>
          </m:den>
        </m:f>
        <m:sSub>
          <m:e>
            <m:r>
              <m:t>D</m:t>
            </m:r>
          </m:e>
          <m:sub>
            <m:r>
              <m:rPr>
                <m:sty m:val="p"/>
              </m:rPr>
              <m:t>KL</m:t>
            </m:r>
          </m:sub>
        </m:sSub>
        <m:d>
          <m:dPr>
            <m:sepChr m:val=","/>
          </m:dPr>
          <m:e>
            <m:sSub>
              <m:e>
                <m:r>
                  <m:t>p</m:t>
                </m:r>
              </m:e>
              <m:sub>
                <m:r>
                  <m:t>S</m:t>
                </m:r>
              </m:sub>
            </m:sSub>
            <m:r>
              <m:t>∥m</m:t>
            </m:r>
          </m:e>
        </m:d>
      </m:oMath>
    </w:p>
    <w:p>
      <w:pPr>
        <w:pStyle w:val="a"/>
        <w:jc w:val="both"/>
        <w:ind w:firstLine="420"/>
      </w:pPr>
      <w:r>
        <w:t>广义散度部分主要分析 JSD、skew KL 等代表性目标，研究其在教师分布覆盖、学生高概率区域和训练稳定性方面的差异。实验配置统一记录目标函数形式、混合参数、支持集和 K1 估计方式。</w:t>
      </w:r>
    </w:p>
    <w:p>
      <w:pPr>
        <w:pStyle w:val="a"/>
        <w:jc w:val="both"/>
        <w:ind w:firstLine="420"/>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pPr>
        <w:pStyle w:val="a"/>
        <w:jc w:val="both"/>
        <w:ind w:firstLine="420"/>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pPr>
        <w:pStyle w:val="2"/>
      </w:pPr>
      <w:r>
        <w:rPr>
          <w:rFonts w:ascii="SimHei" w:hAnsi="SimHei" w:eastAsia="黑体" w:cs="SimHei"/>
          <w:color w:val="000000"/>
        </w:rPr>
        <w:t>2.4 监督信息粒度与资源效率</w:t>
      </w:r>
    </w:p>
    <w:p>
      <w:pPr>
        <w:pStyle w:val="a"/>
        <w:jc w:val="both"/>
        <w:ind w:firstLine="420"/>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pPr>
        <w:pStyle w:val="a"/>
        <w:jc w:val="both"/>
        <w:ind w:firstLine="420"/>
      </w:pPr>
      <w:r>
        <w:t>Qwen3 技术报告提供了模型家族的背景信息[16]。LoRA 通过低秩增量减少需要更新的参数量[19]，为小模型后训练提供了参数高效的实现路径。量化适配会引入新的资源变量，因此不纳入主要比较。</w:t>
      </w:r>
    </w:p>
    <w:p>
      <w:pPr>
        <w:pStyle w:val="2"/>
      </w:pPr>
      <w:r>
        <w:rPr>
          <w:rFonts w:ascii="SimHei" w:hAnsi="SimHei" w:eastAsia="黑体" w:cs="SimHei"/>
          <w:color w:val="000000"/>
        </w:rPr>
        <w:t>2.5 Function Calling 数据与评测研究</w:t>
      </w:r>
    </w:p>
    <w:p>
      <w:pPr>
        <w:pStyle w:val="a"/>
        <w:jc w:val="both"/>
        <w:ind w:firstLine="420"/>
      </w:pPr>
      <w:r>
        <w:t>工具增强模型研究形成了从 API 学习、工具检索、调用规划到 Agent 执行的不同路线。Gorilla/APIBench 关注 API 文档和调用正确性[22]；API-Bank 覆盖工具规划、API 检索和调用[23]；ToolLLM/ToolBench 构造了大量真实 API 相关任务，并讨论了多工具和多步调用[24]；APIGen 强调可执行 API、格式检查和语义验证，提供了可用于公开训练的函数调用数据构造思路[25]；ToolACE 采用 API 池和多层检查生成多样工具调用数据[26]。</w:t>
      </w:r>
    </w:p>
    <w:p>
      <w:pPr>
        <w:pStyle w:val="a"/>
        <w:jc w:val="both"/>
        <w:ind w:firstLine="420"/>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pPr>
        <w:pStyle w:val="a"/>
        <w:jc w:val="both"/>
        <w:ind w:firstLine="420"/>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pPr>
        <w:pStyle w:val="a"/>
        <w:jc w:val="both"/>
        <w:ind w:firstLine="420"/>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pPr>
        <w:pStyle w:val="a"/>
        <w:jc w:val="both"/>
        <w:ind w:firstLine="420"/>
      </w:pPr>
      <w:r>
        <w:t>BFCL 覆盖结构化调用、并行或串行调用以及部分 Agent 场景[27]，AgentBench 提供跨环境、多轮 Agent 评估的研究背景[28]。本课题将结合公开 Function Calling 测试规范和自建模拟工具，分别评估格式、函数选择、参数、执行和端到端任务完成情况。</w:t>
      </w:r>
    </w:p>
    <w:p>
      <w:pPr>
        <w:pStyle w:val="2"/>
      </w:pPr>
      <w:r>
        <w:rPr>
          <w:rFonts w:ascii="SimHei" w:hAnsi="SimHei" w:eastAsia="黑体" w:cs="SimHei"/>
          <w:color w:val="000000"/>
        </w:rPr>
        <w:t>2.6 研究空白</w:t>
      </w:r>
    </w:p>
    <w:p>
      <w:pPr>
        <w:pStyle w:val="a"/>
        <w:jc w:val="both"/>
        <w:ind w:firstLine="420"/>
      </w:pPr>
      <w:r>
        <w:t>现有研究仍存在以下可继续分析的问题：</w:t>
      </w:r>
    </w:p>
    <w:p>
      <w:pPr>
        <w:pStyle w:val="a8"/>
        <w:jc w:val="left"/>
        <w:ind w:firstLine="420"/>
      </w:pPr>
      <w:r>
        <w:t>1. 不同 OPD 方法使用的模型、任务和训练预算不同，KL 方向与监督信息粒度/估计方式的独立影响尚不容易区分。</w:t>
      </w:r>
    </w:p>
    <w:p>
      <w:pPr>
        <w:pStyle w:val="a8"/>
        <w:jc w:val="left"/>
        <w:ind w:firstLine="420"/>
      </w:pPr>
      <w:r>
        <w:t>2. 全词表、Top-K 和 K1 的名称相近，但支持集、重归一化、采样 proposal 和特殊 token 处理可能不同，若协议不明确则难以复现。</w:t>
      </w:r>
    </w:p>
    <w:p>
      <w:pPr>
        <w:pStyle w:val="a8"/>
        <w:jc w:val="left"/>
        <w:ind w:firstLine="420"/>
      </w:pPr>
      <w:r>
        <w:t>3. 许多研究更关注生成质量或任务分数，Function Calling 还需要同时观察格式解析、函数名、参数和工具执行。</w:t>
      </w:r>
    </w:p>
    <w:p>
      <w:pPr>
        <w:pStyle w:val="a8"/>
        <w:jc w:val="left"/>
        <w:ind w:firstLine="420"/>
      </w:pPr>
      <w:r>
        <w:t>4. token 级分布差异、训练熵变化与端到端 Agent 成功率之间的关系需要在具体任务中验证。</w:t>
      </w:r>
    </w:p>
    <w:p>
      <w:pPr>
        <w:pStyle w:val="a8"/>
        <w:jc w:val="left"/>
        <w:ind w:firstLine="420"/>
      </w:pPr>
      <w:r>
        <w:t>5. 小模型在教师指导下的收益还受到 LoRA 容量、模板兼容性和资源预算影响，需要在统一模型与训练条件下进行分析。</w:t>
      </w:r>
    </w:p>
    <w:p>
      <w:pPr>
        <w:pStyle w:val="a"/>
        <w:jc w:val="both"/>
        <w:ind w:firstLine="420"/>
      </w:pPr>
      <w:r>
        <w:t>因此，本课题以 Qwen3-0.6B 学生、Qwen3-4B 教师和经过审计的公开 Function Calling 数据为基础，比较任务要求中的散度方向和监督信息粒度，重点分析任务效果、训练稳定性、资源开销与 Agent 行为之间的联系。</w:t>
      </w:r>
    </w:p>
    <w:p>
      <w:pPr>
        <w:pStyle w:val="a"/>
        <w:jc w:val="both"/>
        <w:ind w:firstLine="420"/>
      </w:pPr>
      <w:r>
        <w:t>综合现有工作，本课题关注的变量和证据关系可以概括为：</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研究变量</w:t>
            </w:r>
          </w:p>
        </w:tc>
        <w:tc>
          <w:tcPr>
            <w:tcW w:w="4148" w:type="dxa"/>
            <w:shd w:val="clear" w:color="auto" w:fill="C5E0B3" w:themeFill="accent6" w:themeFillTint="66"/>
          </w:tcPr>
          <w:p>
            <w:pPr>
              <w:pStyle w:val="a"/>
              <w:jc w:val="left"/>
              <w:ind w:firstLine="0"/>
            </w:pPr>
            <w:r>
              <w:rPr>
                <w:b/>
              </w:rPr>
              <w:t>文献中已讨论的现象</w:t>
            </w:r>
          </w:p>
        </w:tc>
        <w:tc>
          <w:tcPr>
            <w:tcW w:w="4148" w:type="dxa"/>
            <w:shd w:val="clear" w:color="auto" w:fill="C5E0B3" w:themeFill="accent6" w:themeFillTint="66"/>
          </w:tcPr>
          <w:p>
            <w:pPr>
              <w:pStyle w:val="a"/>
              <w:jc w:val="left"/>
              <w:ind w:firstLine="0"/>
            </w:pPr>
            <w:r>
              <w:t>本课题考察内容</w:t>
            </w:r>
          </w:p>
        </w:tc>
      </w:tr>
      <w:tr>
        <w:tc>
          <w:tcPr>
            <w:tcW w:w="4148" w:type="dxa"/>
          </w:tcPr>
          <w:p>
            <w:pPr>
              <w:pStyle w:val="a"/>
              <w:jc w:val="left"/>
              <w:ind w:firstLine="0"/>
            </w:pPr>
            <w:r>
              <w:t>KL 方向/广义散度</w:t>
            </w:r>
          </w:p>
        </w:tc>
        <w:tc>
          <w:tcPr>
            <w:tcW w:w="4148" w:type="dxa"/>
          </w:tcPr>
          <w:p>
            <w:pPr>
              <w:pStyle w:val="a"/>
              <w:jc w:val="left"/>
              <w:ind w:firstLine="0"/>
            </w:pPr>
            <w:r>
              <w:t>mode-covering、mode-seeking、混合目标和样本方差</w:t>
            </w:r>
          </w:p>
        </w:tc>
        <w:tc>
          <w:tcPr>
            <w:tcW w:w="4148" w:type="dxa"/>
          </w:tcPr>
          <w:p>
            <w:pPr>
              <w:pStyle w:val="a"/>
              <w:jc w:val="left"/>
              <w:ind w:firstLine="0"/>
            </w:pPr>
            <w:r>
              <w:t>工具选择、参数生成、熵和训练稳定性</w:t>
            </w:r>
          </w:p>
        </w:tc>
      </w:tr>
      <w:tr>
        <w:tc>
          <w:tcPr>
            <w:tcW w:w="4148" w:type="dxa"/>
          </w:tcPr>
          <w:p>
            <w:pPr>
              <w:pStyle w:val="a"/>
              <w:jc w:val="left"/>
              <w:ind w:firstLine="0"/>
            </w:pPr>
            <w:r>
              <w:t>教师监督信息/估计方式</w:t>
            </w:r>
          </w:p>
        </w:tc>
        <w:tc>
          <w:tcPr>
            <w:tcW w:w="4148" w:type="dxa"/>
          </w:tcPr>
          <w:p>
            <w:pPr>
              <w:pStyle w:val="a"/>
              <w:jc w:val="left"/>
              <w:ind w:firstLine="0"/>
            </w:pPr>
            <w:r>
              <w:t>全词表信息完整、Top-K 反馈压缩、K1 单样本估计</w:t>
            </w:r>
          </w:p>
        </w:tc>
        <w:tc>
          <w:tcPr>
            <w:tcW w:w="4148" w:type="dxa"/>
          </w:tcPr>
          <w:p>
            <w:pPr>
              <w:pStyle w:val="a"/>
              <w:jc w:val="left"/>
              <w:ind w:firstLine="0"/>
            </w:pPr>
            <w:r>
              <w:t>反馈量、显存/时延、任务指标和失败类型</w:t>
            </w:r>
          </w:p>
        </w:tc>
      </w:tr>
      <w:tr>
        <w:tc>
          <w:tcPr>
            <w:tcW w:w="4148" w:type="dxa"/>
          </w:tcPr>
          <w:p>
            <w:pPr>
              <w:pStyle w:val="a"/>
              <w:jc w:val="left"/>
              <w:ind w:firstLine="0"/>
            </w:pPr>
            <w:r>
              <w:t>学生 on-policy 状态</w:t>
            </w:r>
          </w:p>
        </w:tc>
        <w:tc>
          <w:tcPr>
            <w:tcW w:w="4148" w:type="dxa"/>
          </w:tcPr>
          <w:p>
            <w:pPr>
              <w:pStyle w:val="a"/>
              <w:jc w:val="left"/>
              <w:ind w:firstLine="0"/>
            </w:pPr>
            <w:r>
              <w:t>自生成错误、前缀漂移和状态覆盖</w:t>
            </w:r>
          </w:p>
        </w:tc>
        <w:tc>
          <w:tcPr>
            <w:tcW w:w="4148" w:type="dxa"/>
          </w:tcPr>
          <w:p>
            <w:pPr>
              <w:pStyle w:val="a"/>
              <w:jc w:val="left"/>
              <w:ind w:firstLine="0"/>
            </w:pPr>
            <w:r>
              <w:t>非法结构、恢复能力、Agent 轨迹</w:t>
            </w:r>
          </w:p>
        </w:tc>
      </w:tr>
      <w:tr>
        <w:tc>
          <w:tcPr>
            <w:tcW w:w="4148" w:type="dxa"/>
          </w:tcPr>
          <w:p>
            <w:pPr>
              <w:pStyle w:val="a"/>
              <w:jc w:val="left"/>
              <w:ind w:firstLine="0"/>
            </w:pPr>
            <w:r>
              <w:t>任务接口</w:t>
            </w:r>
          </w:p>
        </w:tc>
        <w:tc>
          <w:tcPr>
            <w:tcW w:w="4148" w:type="dxa"/>
          </w:tcPr>
          <w:p>
            <w:pPr>
              <w:pStyle w:val="a"/>
              <w:jc w:val="left"/>
              <w:ind w:firstLine="0"/>
            </w:pPr>
            <w:r>
              <w:t>schema、工具执行和多轮交互</w:t>
            </w:r>
          </w:p>
        </w:tc>
        <w:tc>
          <w:tcPr>
            <w:tcW w:w="4148" w:type="dxa"/>
          </w:tcPr>
          <w:p>
            <w:pPr>
              <w:pStyle w:val="a"/>
              <w:jc w:val="left"/>
              <w:ind w:firstLine="0"/>
            </w:pPr>
            <w:r>
              <w:t>格式、函数、参数、执行和端到端成功</w:t>
            </w:r>
          </w:p>
        </w:tc>
      </w:tr>
    </w:tbl>
    <w:p>
      <w:pPr>
        <w:pStyle w:val="1"/>
      </w:pPr>
      <w:r>
        <w:rPr>
          <w:rFonts w:ascii="SimHei" w:hAnsi="SimHei" w:eastAsia="黑体" w:cs="SimHei"/>
          <w:color w:val="000000"/>
        </w:rPr>
        <w:t>3．主要研究内容</w:t>
      </w:r>
    </w:p>
    <w:p>
      <w:pPr>
        <w:pStyle w:val="2"/>
      </w:pPr>
      <w:r>
        <w:rPr>
          <w:rFonts w:ascii="SimHei" w:hAnsi="SimHei" w:eastAsia="黑体" w:cs="SimHei"/>
          <w:color w:val="000000"/>
        </w:rPr>
        <w:t>3.1 统一的在线策略蒸馏研究流程</w:t>
      </w:r>
    </w:p>
    <w:p>
      <w:pPr>
        <w:pStyle w:val="a"/>
        <w:jc w:val="both"/>
        <w:ind w:firstLine="420"/>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pPr>
        <w:pStyle w:val="2"/>
      </w:pPr>
      <w:r>
        <w:rPr>
          <w:rFonts w:ascii="SimHei" w:hAnsi="SimHei" w:eastAsia="黑体" w:cs="SimHei"/>
          <w:color w:val="000000"/>
        </w:rPr>
        <w:t>3.2 三类散度目标</w:t>
      </w:r>
    </w:p>
    <w:p>
      <w:pPr>
        <w:pStyle w:val="a"/>
        <w:jc w:val="both"/>
        <w:ind w:firstLine="420"/>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pPr>
        <w:pStyle w:val="2"/>
      </w:pPr>
      <w:r>
        <w:rPr>
          <w:rFonts w:ascii="SimHei" w:hAnsi="SimHei" w:eastAsia="黑体" w:cs="SimHei"/>
          <w:color w:val="000000"/>
        </w:rPr>
        <w:t>3.3 三种监督信息粒度/估计方式</w:t>
      </w:r>
    </w:p>
    <w:p>
      <w:pPr>
        <w:pStyle w:val="a"/>
        <w:jc w:val="both"/>
        <w:ind w:firstLine="420"/>
      </w:pPr>
      <w:r>
        <w:t>研究内容二是统一比较三种监督信息粒度/估计方式：</w:t>
      </w:r>
    </w:p>
    <w:p>
      <w:pPr>
        <w:pStyle w:val="a8"/>
        <w:jc w:val="left"/>
        <w:ind w:firstLine="420"/>
      </w:pPr>
      <w:r>
        <w:t xml:space="preserve">• </w:t>
      </w:r>
      <w:r>
        <w:rPr>
          <w:b/>
        </w:rPr>
        <w:t>全词表：</w:t>
      </w:r>
      <w:r>
        <w:t xml:space="preserve"> 使用教师完整词表分布进行比较，作为信息完整的参照。</w:t>
      </w:r>
    </w:p>
    <w:p>
      <w:pPr>
        <w:pStyle w:val="a8"/>
        <w:jc w:val="left"/>
        <w:ind w:firstLine="420"/>
      </w:pPr>
      <w:r>
        <w:t xml:space="preserve">• </w:t>
      </w:r>
      <w:r>
        <w:rPr>
          <w:b/>
        </w:rPr>
        <w:t>Top-K：</w:t>
      </w:r>
      <w:r>
        <w:t xml:space="preserve"> 使用指定支持集中的教师高概率 token，考察压缩教师反馈后的效果与资源变化。</w:t>
      </w:r>
    </w:p>
    <w:p>
      <w:pPr>
        <w:pStyle w:val="a8"/>
        <w:jc w:val="left"/>
        <w:ind w:firstLine="420"/>
      </w:pPr>
      <w:r>
        <w:t>• K1 sampled-token：从教师分布采样一个 token，对相应期望进行单样本估计，并分析其估计方差；该方法与 Top-1 argmax 硬标签监督分别记录。</w:t>
      </w:r>
    </w:p>
    <w:p>
      <w:pPr>
        <w:pStyle w:val="a"/>
        <w:jc w:val="both"/>
        <w:ind w:firstLine="420"/>
      </w:pPr>
      <w:r>
        <w:t>Top-K 统一规定支持集构造、归一化和支持集外概率处理，K1 统一规定 proposal、梯度估计和随机种子管理。比较内容包括 Function Calling 的格式、函数选择、参数与执行结果，以及训练稳定性和资源开销。</w:t>
      </w:r>
    </w:p>
    <w:p>
      <w:pPr>
        <w:pStyle w:val="2"/>
      </w:pPr>
      <w:r>
        <w:rPr>
          <w:rFonts w:ascii="SimHei" w:hAnsi="SimHei" w:eastAsia="黑体" w:cs="SimHei"/>
          <w:color w:val="000000"/>
        </w:rPr>
        <w:t>3.4 LoRA 后训练与教师—学生关系</w:t>
      </w:r>
    </w:p>
    <w:p>
      <w:pPr>
        <w:pStyle w:val="a"/>
        <w:jc w:val="both"/>
        <w:ind w:firstLine="420"/>
      </w:pPr>
      <w:r>
        <w:t>LoRA 将基座权重写为低秩增量形式[19]：</w:t>
      </w:r>
    </w:p>
    <w:p>
      <w:pPr>
        <w:pStyle w:val="a"/>
        <w:jc w:val="center"/>
        <w:ind w:firstLine="0"/>
      </w:pPr>
      <m:oMath xmlns:mml="http://www.w3.org/1998/Math/MathML">
        <m:r>
          <m:t>W=</m:t>
        </m:r>
        <m:sSub>
          <m:e>
            <m:r>
              <m:t>W</m:t>
            </m:r>
          </m:e>
          <m:sub>
            <m:r>
              <m:t>0</m:t>
            </m:r>
          </m:sub>
        </m:sSub>
        <m:r>
          <m:t>+</m:t>
        </m:r>
        <m:r>
          <m:rPr>
            <m:sty m:val="p"/>
          </m:rPr>
          <m:t>ΔW</m:t>
        </m:r>
        <m:r>
          <m:t>=</m:t>
        </m:r>
        <m:sSub>
          <m:e>
            <m:r>
              <m:t>W</m:t>
            </m:r>
          </m:e>
          <m:sub>
            <m:r>
              <m:t>0</m:t>
            </m:r>
          </m:sub>
        </m:sSub>
        <m:r>
          <m:t>+</m:t>
        </m:r>
        <m:f>
          <m:fPr>
            <m:type m:val="bar"/>
          </m:fPr>
          <m:num>
            <m:r>
              <m:t>α</m:t>
            </m:r>
          </m:num>
          <m:den>
            <m:r>
              <m:t>r</m:t>
            </m:r>
          </m:den>
        </m:f>
        <m:r>
          <m:rPr>
            <m:sty m:val="p"/>
          </m:rPr>
          <m:t>BA</m:t>
        </m:r>
      </m:oMath>
    </w:p>
    <w:p>
      <w:pPr>
        <w:pStyle w:val="a"/>
        <w:jc w:val="both"/>
        <w:ind w:firstLine="420"/>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pPr>
        <w:pStyle w:val="a"/>
        <w:jc w:val="both"/>
        <w:ind w:firstLine="420"/>
      </w:pPr>
      <w:r>
        <w:t>LoRA 用于控制可训练参数规模，使多个蒸馏方案从相同的学生基座出发。实验分别记录 LoRA adapter 的保存、加载与合并方式，以及部署后端中的加载配置，从而区分训练参数变化和服务加载方式带来的影响。</w:t>
      </w:r>
    </w:p>
    <w:p>
      <w:pPr>
        <w:pStyle w:val="2"/>
      </w:pPr>
      <w:r>
        <w:rPr>
          <w:rFonts w:ascii="SimHei" w:hAnsi="SimHei" w:eastAsia="黑体" w:cs="SimHei"/>
          <w:color w:val="000000"/>
        </w:rPr>
        <w:t>3.5 Function Calling 评测与最终 Agent 验证</w:t>
      </w:r>
    </w:p>
    <w:p>
      <w:pPr>
        <w:pStyle w:val="a"/>
        <w:jc w:val="both"/>
        <w:ind w:firstLine="420"/>
      </w:pPr>
      <w:r>
        <w:t>离线评测分层记录格式解析、函数名、参数键值、schema 合法性、单步调用执行和多轮任务完成情况，并对等价参数表达进行规范化。代表性 checkpoint 将在 vLLM 或自建 Agent 后端中加载，在统一输入、工具 schema、采样设置和评测规则下完成验证；同时记录后端版本、模型加载方式、交互轮数、延迟和吞吐。vLLM 的 PagedAttention 工作可作为服务效率研究的背景[20]。</w:t>
      </w:r>
    </w:p>
    <w:p>
      <w:pPr>
        <w:pStyle w:val="2"/>
      </w:pPr>
      <w:r>
        <w:rPr>
          <w:rFonts w:ascii="SimHei" w:hAnsi="SimHei" w:eastAsia="黑体" w:cs="SimHei"/>
          <w:color w:val="000000"/>
        </w:rPr>
        <w:t>3.6 研究问题</w:t>
      </w:r>
    </w:p>
    <w:p>
      <w:pPr>
        <w:pStyle w:val="a"/>
        <w:jc w:val="both"/>
        <w:ind w:firstLine="420"/>
      </w:pPr>
      <w:r>
        <w:t>本课题将回答以下问题：</w:t>
      </w:r>
    </w:p>
    <w:p>
      <w:pPr>
        <w:pStyle w:val="a8"/>
        <w:jc w:val="left"/>
        <w:ind w:firstLine="420"/>
      </w:pPr>
      <w:r>
        <w:t>1. 在 Qwen3 Function Calling 条件下，三类散度是否表现出可解释的工具选择、参数生成或格式差异？</w:t>
      </w:r>
    </w:p>
    <w:p>
      <w:pPr>
        <w:pStyle w:val="a8"/>
        <w:jc w:val="left"/>
        <w:ind w:firstLine="420"/>
      </w:pPr>
      <w:r>
        <w:t>2. 全词表、Top-K 和 K1 在效果、稳定性和教师反馈开销之间如何权衡？</w:t>
      </w:r>
    </w:p>
    <w:p>
      <w:pPr>
        <w:pStyle w:val="a8"/>
        <w:jc w:val="left"/>
        <w:ind w:firstLine="420"/>
      </w:pPr>
      <w:r>
        <w:t>3. 支持集外 token、前缀偏移、熵变化和格式错误能否解释 Top-K/K1 的失败模式？</w:t>
      </w:r>
    </w:p>
    <w:p>
      <w:pPr>
        <w:pStyle w:val="a8"/>
        <w:jc w:val="left"/>
        <w:ind w:firstLine="420"/>
      </w:pPr>
      <w:r>
        <w:t>4. token 级指标的变化是否与 Agent 端到端成功率一致？</w:t>
      </w:r>
    </w:p>
    <w:p>
      <w:pPr>
        <w:pStyle w:val="a"/>
        <w:jc w:val="both"/>
        <w:ind w:firstLine="420"/>
      </w:pPr>
      <w:r>
        <w:t>上述研究问题构成实验设计、结果分析和论文讨论的主线。</w:t>
      </w:r>
    </w:p>
    <w:p>
      <w:pPr>
        <w:pStyle w:val="2"/>
      </w:pPr>
      <w:r>
        <w:rPr>
          <w:rFonts w:ascii="SimHei" w:hAnsi="SimHei" w:eastAsia="黑体" w:cs="SimHei"/>
          <w:color w:val="000000"/>
        </w:rPr>
        <w:t>3.7 各研究内容之间的关系</w:t>
      </w:r>
    </w:p>
    <w:p>
      <w:pPr>
        <w:pStyle w:val="a"/>
        <w:jc w:val="both"/>
        <w:ind w:firstLine="420"/>
      </w:pPr>
      <w:r>
        <w:t>三类研究内容具有递进关系。首先，数据和模板确定学生生成轨迹的任务接口；其次，学生轨迹和教师前缀反馈确定 OPD 的状态分布；再次，散度方向和监督信息粒度决定教师信息如何转化为学生更新；最后，离线结构指标和 Agent 执行指标检验这种更新的实际意义。结果分析将结合中间分布、训练稳定性和最终成功率解释不同方法的表现。</w:t>
      </w:r>
    </w:p>
    <w:p>
      <w:pPr>
        <w:pStyle w:val="a"/>
        <w:jc w:val="both"/>
        <w:ind w:firstLine="420"/>
      </w:pPr>
      <w:r>
        <w:t>本课题还将区分能力学习和服务工程两个层面。LoRA 后训练研究学生参数如何吸收教师反馈，vLLM 或自建 Agent 研究模型如何被加载、调用和评测。最终测试固定输入、工具 schema、采样、停止条件和数值精度，并将后端差异作为环境因素单独记录。</w:t>
      </w:r>
    </w:p>
    <w:p>
      <w:pPr>
        <w:pStyle w:val="1"/>
      </w:pPr>
      <w:r>
        <w:rPr>
          <w:rFonts w:ascii="SimHei" w:hAnsi="SimHei" w:eastAsia="黑体" w:cs="SimHei"/>
          <w:color w:val="000000"/>
        </w:rPr>
        <w:t>4．研究方案</w:t>
      </w:r>
    </w:p>
    <w:p>
      <w:pPr>
        <w:pStyle w:val="2"/>
      </w:pPr>
      <w:r>
        <w:rPr>
          <w:rFonts w:ascii="SimHei" w:hAnsi="SimHei" w:eastAsia="黑体" w:cs="SimHei"/>
          <w:color w:val="000000"/>
        </w:rPr>
        <w:t>4.1 总体技术路线</w:t>
      </w:r>
    </w:p>
    <w:p>
      <w:pPr>
        <w:pStyle w:val="a"/>
        <w:jc w:val="both"/>
        <w:ind w:firstLine="420"/>
      </w:pPr>
      <w:r>
        <w:t>研究路线如下：</w:t>
      </w:r>
    </w:p>
    <w:p>
      <w:pPr>
        <w:pStyle w:val="a"/>
        <w:jc w:val="both"/>
        <w:ind w:firstLine="420"/>
      </w:pPr>
      <w:r>
        <w:t>总体路线由模型与数据准备、SFT 基线、在线策略蒸馏、统一评测和结果分析组成。实验配置记录模型版本、数据版本、损失定义、支持集协议、训练参数和评测脚本。</w:t>
      </w:r>
    </w:p>
    <w:p>
      <w:pPr>
        <w:pStyle w:val="a"/>
        <w:jc w:val="both"/>
        <w:ind w:firstLine="420"/>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pPr>
        <w:pStyle w:val="2"/>
      </w:pPr>
      <w:r>
        <w:rPr>
          <w:rFonts w:ascii="SimHei" w:hAnsi="SimHei" w:eastAsia="黑体" w:cs="SimHei"/>
          <w:color w:val="000000"/>
        </w:rPr>
        <w:t>4.2 模型和数据准备</w:t>
      </w:r>
    </w:p>
    <w:p>
      <w:pPr>
        <w:pStyle w:val="a"/>
        <w:jc w:val="both"/>
        <w:ind w:firstLine="420"/>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pPr>
        <w:pStyle w:val="a"/>
        <w:jc w:val="both"/>
        <w:ind w:firstLine="420"/>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pPr>
        <w:pStyle w:val="a"/>
        <w:jc w:val="both"/>
        <w:ind w:firstLine="420"/>
      </w:pPr>
      <w:r>
        <w:t>数据审计重点处理三类异常：schema 语法错误、参数标签与用户意图不一致、工具返回缺失或格式不统一。评测器保存原始样本、规范化样本和失败原因，并对自动规则进行抽样复核。</w:t>
      </w:r>
    </w:p>
    <w:p>
      <w:pPr>
        <w:pStyle w:val="2"/>
      </w:pPr>
      <w:r>
        <w:rPr>
          <w:rFonts w:ascii="SimHei" w:hAnsi="SimHei" w:eastAsia="黑体" w:cs="SimHei"/>
          <w:color w:val="000000"/>
        </w:rPr>
        <w:t>4.3 学生 rollout 和教师反馈</w:t>
      </w:r>
    </w:p>
    <w:p>
      <w:pPr>
        <w:pStyle w:val="a"/>
        <w:jc w:val="both"/>
        <w:ind w:firstLine="420"/>
      </w:pPr>
      <w:r>
        <w:t>学生 rollout 的温度、停止条件、最大生成长度、非法格式处理和重试规则均作为控制变量写入配置，所有比较组使用相同的采样与后处理协议。</w:t>
      </w:r>
    </w:p>
    <w:p>
      <w:pPr>
        <w:pStyle w:val="a"/>
        <w:jc w:val="both"/>
        <w:ind w:firstLine="420"/>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环节</w:t>
            </w:r>
          </w:p>
        </w:tc>
        <w:tc>
          <w:tcPr>
            <w:tcW w:w="4148" w:type="dxa"/>
            <w:shd w:val="clear" w:color="auto" w:fill="C5E0B3" w:themeFill="accent6" w:themeFillTint="66"/>
          </w:tcPr>
          <w:p>
            <w:pPr>
              <w:pStyle w:val="a"/>
              <w:jc w:val="left"/>
              <w:ind w:firstLine="0"/>
            </w:pPr>
            <w:r>
              <w:rPr>
                <w:b/>
              </w:rPr>
              <w:t>需要统一的对象</w:t>
            </w:r>
          </w:p>
        </w:tc>
        <w:tc>
          <w:tcPr>
            <w:tcW w:w="4148" w:type="dxa"/>
            <w:shd w:val="clear" w:color="auto" w:fill="C5E0B3" w:themeFill="accent6" w:themeFillTint="66"/>
          </w:tcPr>
          <w:p>
            <w:pPr>
              <w:pStyle w:val="a"/>
              <w:jc w:val="left"/>
              <w:ind w:firstLine="0"/>
            </w:pPr>
            <w:r>
              <w:rPr>
                <w:b/>
              </w:rPr>
              <w:t>需要单独记录的内容</w:t>
            </w:r>
          </w:p>
        </w:tc>
      </w:tr>
      <w:tr>
        <w:tc>
          <w:tcPr>
            <w:tcW w:w="4148" w:type="dxa"/>
          </w:tcPr>
          <w:p>
            <w:pPr>
              <w:pStyle w:val="a"/>
              <w:jc w:val="left"/>
              <w:ind w:firstLine="0"/>
            </w:pPr>
            <w:r>
              <w:t>学生生成</w:t>
            </w:r>
          </w:p>
        </w:tc>
        <w:tc>
          <w:tcPr>
            <w:tcW w:w="4148" w:type="dxa"/>
          </w:tcPr>
          <w:p>
            <w:pPr>
              <w:pStyle w:val="a"/>
              <w:jc w:val="left"/>
              <w:ind w:firstLine="0"/>
            </w:pPr>
            <w:r>
              <w:t>输入消息、工具 schema、停止条件和采样规则</w:t>
            </w:r>
          </w:p>
        </w:tc>
        <w:tc>
          <w:tcPr>
            <w:tcW w:w="4148" w:type="dxa"/>
          </w:tcPr>
          <w:p>
            <w:pPr>
              <w:pStyle w:val="a"/>
              <w:jc w:val="left"/>
              <w:ind w:firstLine="0"/>
            </w:pPr>
            <w:r>
              <w:t>生成长度、结束原因、格式解析状态</w:t>
            </w:r>
          </w:p>
        </w:tc>
      </w:tr>
      <w:tr>
        <w:tc>
          <w:tcPr>
            <w:tcW w:w="4148" w:type="dxa"/>
          </w:tcPr>
          <w:p>
            <w:pPr>
              <w:pStyle w:val="a"/>
              <w:jc w:val="left"/>
              <w:ind w:firstLine="0"/>
            </w:pPr>
            <w:r>
              <w:t>教师反馈</w:t>
            </w:r>
          </w:p>
        </w:tc>
        <w:tc>
          <w:tcPr>
            <w:tcW w:w="4148" w:type="dxa"/>
          </w:tcPr>
          <w:p>
            <w:pPr>
              <w:pStyle w:val="a"/>
              <w:jc w:val="left"/>
              <w:ind w:firstLine="0"/>
            </w:pPr>
            <w:r>
              <w:t>学生前缀、教师模型和 token 对齐</w:t>
            </w:r>
          </w:p>
        </w:tc>
        <w:tc>
          <w:tcPr>
            <w:tcW w:w="4148" w:type="dxa"/>
          </w:tcPr>
          <w:p>
            <w:pPr>
              <w:pStyle w:val="a"/>
              <w:jc w:val="left"/>
              <w:ind w:firstLine="0"/>
            </w:pPr>
            <w:r>
              <w:t>反馈粒度、支持集、教师计算量</w:t>
            </w:r>
          </w:p>
        </w:tc>
      </w:tr>
      <w:tr>
        <w:tc>
          <w:tcPr>
            <w:tcW w:w="4148" w:type="dxa"/>
          </w:tcPr>
          <w:p>
            <w:pPr>
              <w:pStyle w:val="a"/>
              <w:jc w:val="left"/>
              <w:ind w:firstLine="0"/>
            </w:pPr>
            <w:r>
              <w:t>学生更新</w:t>
            </w:r>
          </w:p>
        </w:tc>
        <w:tc>
          <w:tcPr>
            <w:tcW w:w="4148" w:type="dxa"/>
          </w:tcPr>
          <w:p>
            <w:pPr>
              <w:pStyle w:val="a"/>
              <w:jc w:val="left"/>
              <w:ind w:firstLine="0"/>
            </w:pPr>
            <w:r>
              <w:t>学生 logits、LoRA 参数和 mask</w:t>
            </w:r>
          </w:p>
        </w:tc>
        <w:tc>
          <w:tcPr>
            <w:tcW w:w="4148" w:type="dxa"/>
          </w:tcPr>
          <w:p>
            <w:pPr>
              <w:pStyle w:val="a"/>
              <w:jc w:val="left"/>
              <w:ind w:firstLine="0"/>
            </w:pPr>
            <w:r>
              <w:t>散度、梯度处理、异常 loss</w:t>
            </w:r>
          </w:p>
        </w:tc>
      </w:tr>
      <w:tr>
        <w:tc>
          <w:tcPr>
            <w:tcW w:w="4148" w:type="dxa"/>
          </w:tcPr>
          <w:p>
            <w:pPr>
              <w:pStyle w:val="a"/>
              <w:jc w:val="left"/>
              <w:ind w:firstLine="0"/>
            </w:pPr>
            <w:r>
              <w:t>最终评测</w:t>
            </w:r>
          </w:p>
        </w:tc>
        <w:tc>
          <w:tcPr>
            <w:tcW w:w="4148" w:type="dxa"/>
          </w:tcPr>
          <w:p>
            <w:pPr>
              <w:pStyle w:val="a"/>
              <w:jc w:val="left"/>
              <w:ind w:firstLine="0"/>
            </w:pPr>
            <w:r>
              <w:t>输入、工具和解析规则</w:t>
            </w:r>
          </w:p>
        </w:tc>
        <w:tc>
          <w:tcPr>
            <w:tcW w:w="4148" w:type="dxa"/>
          </w:tcPr>
          <w:p>
            <w:pPr>
              <w:pStyle w:val="a"/>
              <w:jc w:val="left"/>
              <w:ind w:firstLine="0"/>
            </w:pPr>
            <w:r>
              <w:t>函数、参数、执行和 Agent 结果</w:t>
            </w:r>
          </w:p>
        </w:tc>
      </w:tr>
    </w:tbl>
    <w:p>
      <w:pPr>
        <w:pStyle w:val="a"/>
        <w:jc w:val="both"/>
        <w:ind w:firstLine="420"/>
      </w:pPr>
      <w:r>
        <w:t>所有方法共享数据读取、学生 rollout、教师评分和指标记录接口，保证不同对照组只改变目标函数或监督信息粒度。</w:t>
      </w:r>
    </w:p>
    <w:p>
      <w:pPr>
        <w:pStyle w:val="2"/>
      </w:pPr>
      <w:r>
        <w:rPr>
          <w:rFonts w:ascii="SimHei" w:hAnsi="SimHei" w:eastAsia="黑体" w:cs="SimHei"/>
          <w:color w:val="000000"/>
        </w:rPr>
        <w:t>4.4 损失与监督信息粒度/估计方式的定义原则</w:t>
      </w:r>
    </w:p>
    <w:p>
      <w:pPr>
        <w:pStyle w:val="a"/>
        <w:jc w:val="both"/>
        <w:ind w:firstLine="420"/>
      </w:pPr>
      <w:r>
        <w:t>在全词表和 Top-K 的分布形式下，令 p_T 和 p_S 分别表示教师与学生在有效位置的概率分布，通用 token 级目标可以写为：</w:t>
      </w:r>
    </w:p>
    <w:p>
      <w:pPr>
        <w:pStyle w:val="a"/>
        <w:jc w:val="center"/>
        <w:ind w:firstLine="0"/>
      </w:pPr>
      <m:oMath xmlns:mml="http://www.w3.org/1998/Math/MathML">
        <m:sSub>
          <m:e>
            <m:r>
              <m:t>ℒ</m:t>
            </m:r>
          </m:e>
          <m:sub>
            <m:r>
              <m:rPr>
                <m:sty m:val="p"/>
              </m:rPr>
              <m:t>distill</m:t>
            </m:r>
          </m:sub>
        </m:sSub>
        <m:r>
          <m:t>=</m:t>
        </m:r>
        <m:f>
          <m:fPr>
            <m:type m:val="bar"/>
          </m:fPr>
          <m:num>
            <m:nary>
              <m:naryPr>
                <m:chr m:val="∑"/>
                <m:limLoc m:val="subSup"/>
                <m:grow m:val="1"/>
                <m:subHide m:val="off"/>
                <m:supHide m:val="on"/>
              </m:naryPr>
              <m:sub>
                <m:r>
                  <m:t>b,t</m:t>
                </m:r>
              </m:sub>
              <m:sup/>
              <m:e/>
            </m:nary>
            <m:sSub>
              <m:e>
                <m:r>
                  <m:t>m</m:t>
                </m:r>
              </m:e>
              <m:sub>
                <m:r>
                  <m:t>b,t</m:t>
                </m:r>
              </m:sub>
            </m:sSub>
            <m:r>
              <m:t>D</m:t>
            </m:r>
            <m:d>
              <m:dPr>
                <m:sepChr m:val=","/>
              </m:dPr>
              <m:e>
                <m:sSub>
                  <m:e>
                    <m:r>
                      <m:t>p</m:t>
                    </m:r>
                  </m:e>
                  <m:sub>
                    <m:r>
                      <m:t>T</m:t>
                    </m:r>
                  </m:sub>
                </m:sSub>
                <m:d>
                  <m:dPr>
                    <m:sepChr m:val=","/>
                  </m:dPr>
                  <m:e>
                    <m:r>
                      <m:t>·∣</m:t>
                    </m:r>
                    <m:sSub>
                      <m:e>
                        <m:r>
                          <m:t>x</m:t>
                        </m:r>
                      </m:e>
                      <m:sub>
                        <m:r>
                          <m:t>b</m:t>
                        </m:r>
                      </m:sub>
                    </m:sSub>
                    <m:r>
                      <m:t>,</m:t>
                    </m:r>
                    <m:sSub>
                      <m:e>
                        <m:r>
                          <m:t>y</m:t>
                        </m:r>
                      </m:e>
                      <m:sub>
                        <m:r>
                          <m:t>b,&lt;t</m:t>
                        </m:r>
                      </m:sub>
                    </m:sSub>
                  </m:e>
                </m:d>
                <m:r>
                  <m:t>∥</m:t>
                </m:r>
                <m:sSub>
                  <m:e>
                    <m:r>
                      <m:t>p</m:t>
                    </m:r>
                  </m:e>
                  <m:sub>
                    <m:r>
                      <m:t>S</m:t>
                    </m:r>
                  </m:sub>
                </m:sSub>
                <m:d>
                  <m:dPr>
                    <m:sepChr m:val=","/>
                  </m:dPr>
                  <m:e>
                    <m:r>
                      <m:t>·∣</m:t>
                    </m:r>
                    <m:sSub>
                      <m:e>
                        <m:r>
                          <m:t>x</m:t>
                        </m:r>
                      </m:e>
                      <m:sub>
                        <m:r>
                          <m:t>b</m:t>
                        </m:r>
                      </m:sub>
                    </m:sSub>
                    <m:r>
                      <m:t>,</m:t>
                    </m:r>
                    <m:sSub>
                      <m:e>
                        <m:r>
                          <m:t>y</m:t>
                        </m:r>
                      </m:e>
                      <m:sub>
                        <m:r>
                          <m:t>b,&lt;t</m:t>
                        </m:r>
                      </m:sub>
                    </m:sSub>
                  </m:e>
                </m:d>
              </m:e>
            </m:d>
          </m:num>
          <m:den>
            <m:nary>
              <m:naryPr>
                <m:chr m:val="∑"/>
                <m:limLoc m:val="subSup"/>
                <m:grow m:val="1"/>
                <m:subHide m:val="off"/>
                <m:supHide m:val="on"/>
              </m:naryPr>
              <m:sub>
                <m:r>
                  <m:t>b,t</m:t>
                </m:r>
              </m:sub>
              <m:sup/>
              <m:e/>
            </m:nary>
            <m:sSub>
              <m:e>
                <m:r>
                  <m:t>m</m:t>
                </m:r>
              </m:e>
              <m:sub>
                <m:r>
                  <m:t>b,t</m:t>
                </m:r>
              </m:sub>
            </m:sSub>
            <m:r>
              <m:t>+ε</m:t>
            </m:r>
          </m:den>
        </m:f>
      </m:oMath>
    </w:p>
    <w:p>
      <w:pPr>
        <w:pStyle w:val="a"/>
        <w:jc w:val="both"/>
        <w:ind w:firstLine="420"/>
      </w:pPr>
      <w:r>
        <w:t>其中，m 表示由消息、工具边界和响应位置共同确定的有效 token 掩码。概率计算采用 log-sum-exp、概率下界和混合精度控制避免数值溢出。K1 sampled-token 使用单独定义的采样估计器，并记录随机种子与估计方差。</w:t>
      </w:r>
    </w:p>
    <w:p>
      <w:pPr>
        <w:pStyle w:val="a"/>
        <w:jc w:val="both"/>
        <w:ind w:firstLine="420"/>
      </w:pPr>
      <w:r>
        <w:t>监督信息粒度与散度目标的比较矩阵如下：</w:t>
      </w:r>
    </w:p>
    <w:tbl>
      <w:tblPr>
        <w:tblStyle w:val="a9"/>
        <w:tblW w:w="0" w:type="auto"/>
        <w:tblLook w:val="04A0" w:firstRow="1" w:lastRow="0" w:firstColumn="1" w:lastColumn="0" w:noHBand="0" w:noVBand="1"/>
      </w:tblPr>
      <w:tblGrid>
        <w:gridCol w:w="1659"/>
        <w:gridCol w:w="1659"/>
        <w:gridCol w:w="1659"/>
        <w:gridCol w:w="1659"/>
        <w:gridCol w:w="1659"/>
      </w:tblGrid>
      <w:tr>
        <w:trPr>
          <w:tblHeader/>
        </w:trPr>
        <w:tc>
          <w:tcPr>
            <w:tcW w:w="4148" w:type="dxa"/>
            <w:shd w:val="clear" w:color="auto" w:fill="C5E0B3" w:themeFill="accent6" w:themeFillTint="66"/>
          </w:tcPr>
          <w:p>
            <w:pPr>
              <w:pStyle w:val="a"/>
              <w:jc w:val="left"/>
              <w:ind w:firstLine="0"/>
            </w:pPr>
            <w:r>
              <w:rPr>
                <w:b/>
              </w:rPr>
              <w:t>监督信息粒度/估计方式</w:t>
            </w:r>
          </w:p>
        </w:tc>
        <w:tc>
          <w:tcPr>
            <w:tcW w:w="4148" w:type="dxa"/>
            <w:shd w:val="clear" w:color="auto" w:fill="C5E0B3" w:themeFill="accent6" w:themeFillTint="66"/>
          </w:tcPr>
          <w:p>
            <w:pPr>
              <w:pStyle w:val="a"/>
              <w:jc w:val="left"/>
              <w:ind w:firstLine="0"/>
            </w:pPr>
            <w:r>
              <w:rPr>
                <w:b/>
              </w:rPr>
              <w:t>Forward KL</w:t>
            </w:r>
          </w:p>
        </w:tc>
        <w:tc>
          <w:tcPr>
            <w:tcW w:w="4148" w:type="dxa"/>
            <w:shd w:val="clear" w:color="auto" w:fill="C5E0B3" w:themeFill="accent6" w:themeFillTint="66"/>
          </w:tcPr>
          <w:p>
            <w:pPr>
              <w:pStyle w:val="a"/>
              <w:jc w:val="left"/>
              <w:ind w:firstLine="0"/>
            </w:pPr>
            <w:r>
              <w:rPr>
                <w:b/>
              </w:rPr>
              <w:t>Reverse KL</w:t>
            </w:r>
          </w:p>
        </w:tc>
        <w:tc>
          <w:tcPr>
            <w:tcW w:w="4148" w:type="dxa"/>
            <w:shd w:val="clear" w:color="auto" w:fill="C5E0B3" w:themeFill="accent6" w:themeFillTint="66"/>
          </w:tcPr>
          <w:p>
            <w:pPr>
              <w:pStyle w:val="a"/>
              <w:jc w:val="left"/>
              <w:ind w:firstLine="0"/>
            </w:pPr>
            <w:r>
              <w:rPr>
                <w:b/>
              </w:rPr>
              <w:t>广义散度</w:t>
            </w:r>
          </w:p>
        </w:tc>
        <w:tc>
          <w:tcPr>
            <w:tcW w:w="4148" w:type="dxa"/>
            <w:shd w:val="clear" w:color="auto" w:fill="C5E0B3" w:themeFill="accent6" w:themeFillTint="66"/>
          </w:tcPr>
          <w:p>
            <w:pPr>
              <w:pStyle w:val="a"/>
              <w:jc w:val="left"/>
              <w:ind w:firstLine="0"/>
            </w:pPr>
            <w:r>
              <w:t>说明</w:t>
            </w:r>
          </w:p>
        </w:tc>
      </w:tr>
      <w:tr>
        <w:tc>
          <w:tcPr>
            <w:tcW w:w="4148" w:type="dxa"/>
          </w:tcPr>
          <w:p>
            <w:pPr>
              <w:pStyle w:val="a"/>
              <w:jc w:val="left"/>
              <w:ind w:firstLine="0"/>
            </w:pPr>
            <w:r>
              <w:t>全词表</w:t>
            </w:r>
          </w:p>
        </w:tc>
        <w:tc>
          <w:tcPr>
            <w:tcW w:w="4148" w:type="dxa"/>
          </w:tcPr>
          <w:p>
            <w:pPr>
              <w:pStyle w:val="a"/>
              <w:jc w:val="left"/>
              <w:ind w:firstLine="0"/>
            </w:pPr>
            <w:r>
              <w:t>E01</w:t>
            </w:r>
          </w:p>
        </w:tc>
        <w:tc>
          <w:tcPr>
            <w:tcW w:w="4148" w:type="dxa"/>
          </w:tcPr>
          <w:p>
            <w:pPr>
              <w:pStyle w:val="a"/>
              <w:jc w:val="left"/>
              <w:ind w:firstLine="0"/>
            </w:pPr>
            <w:r>
              <w:t>E04</w:t>
            </w:r>
          </w:p>
        </w:tc>
        <w:tc>
          <w:tcPr>
            <w:tcW w:w="4148" w:type="dxa"/>
          </w:tcPr>
          <w:p>
            <w:pPr>
              <w:pStyle w:val="a"/>
              <w:jc w:val="left"/>
              <w:ind w:firstLine="0"/>
            </w:pPr>
            <w:r>
              <w:t>E07</w:t>
            </w:r>
          </w:p>
        </w:tc>
        <w:tc>
          <w:tcPr>
            <w:tcW w:w="4148" w:type="dxa"/>
          </w:tcPr>
          <w:p>
            <w:pPr>
              <w:pStyle w:val="a"/>
              <w:jc w:val="left"/>
              <w:ind w:firstLine="0"/>
            </w:pPr>
            <w:r>
              <w:t>纳入对比</w:t>
            </w:r>
          </w:p>
        </w:tc>
      </w:tr>
      <w:tr>
        <w:tc>
          <w:tcPr>
            <w:tcW w:w="4148" w:type="dxa"/>
          </w:tcPr>
          <w:p>
            <w:pPr>
              <w:pStyle w:val="a"/>
              <w:jc w:val="left"/>
              <w:ind w:firstLine="0"/>
            </w:pPr>
            <w:r>
              <w:t>Top-K</w:t>
            </w:r>
          </w:p>
        </w:tc>
        <w:tc>
          <w:tcPr>
            <w:tcW w:w="4148" w:type="dxa"/>
          </w:tcPr>
          <w:p>
            <w:pPr>
              <w:pStyle w:val="a"/>
              <w:jc w:val="left"/>
              <w:ind w:firstLine="0"/>
            </w:pPr>
            <w:r>
              <w:t>E02</w:t>
            </w:r>
          </w:p>
        </w:tc>
        <w:tc>
          <w:tcPr>
            <w:tcW w:w="4148" w:type="dxa"/>
          </w:tcPr>
          <w:p>
            <w:pPr>
              <w:pStyle w:val="a"/>
              <w:jc w:val="left"/>
              <w:ind w:firstLine="0"/>
            </w:pPr>
            <w:r>
              <w:t>E05</w:t>
            </w:r>
          </w:p>
        </w:tc>
        <w:tc>
          <w:tcPr>
            <w:tcW w:w="4148" w:type="dxa"/>
          </w:tcPr>
          <w:p>
            <w:pPr>
              <w:pStyle w:val="a"/>
              <w:jc w:val="left"/>
              <w:ind w:firstLine="0"/>
            </w:pPr>
            <w:r>
              <w:t>E08</w:t>
            </w:r>
          </w:p>
        </w:tc>
        <w:tc>
          <w:tcPr>
            <w:tcW w:w="4148" w:type="dxa"/>
          </w:tcPr>
          <w:p>
            <w:pPr>
              <w:pStyle w:val="a"/>
              <w:jc w:val="left"/>
              <w:ind w:firstLine="0"/>
            </w:pPr>
            <w:r>
              <w:t>纳入对比</w:t>
            </w:r>
          </w:p>
        </w:tc>
      </w:tr>
      <w:tr>
        <w:tc>
          <w:tcPr>
            <w:tcW w:w="4148" w:type="dxa"/>
          </w:tcPr>
          <w:p>
            <w:pPr>
              <w:pStyle w:val="a"/>
              <w:jc w:val="left"/>
              <w:ind w:firstLine="0"/>
            </w:pPr>
            <w:r>
              <w:t>K1 sampled-token</w:t>
            </w:r>
          </w:p>
        </w:tc>
        <w:tc>
          <w:tcPr>
            <w:tcW w:w="4148" w:type="dxa"/>
          </w:tcPr>
          <w:p>
            <w:pPr>
              <w:pStyle w:val="a"/>
              <w:jc w:val="left"/>
              <w:ind w:firstLine="0"/>
            </w:pPr>
            <w:r>
              <w:t>E03</w:t>
            </w:r>
          </w:p>
        </w:tc>
        <w:tc>
          <w:tcPr>
            <w:tcW w:w="4148" w:type="dxa"/>
          </w:tcPr>
          <w:p>
            <w:pPr>
              <w:pStyle w:val="a"/>
              <w:jc w:val="left"/>
              <w:ind w:firstLine="0"/>
            </w:pPr>
            <w:r>
              <w:t>E06</w:t>
            </w:r>
          </w:p>
        </w:tc>
        <w:tc>
          <w:tcPr>
            <w:tcW w:w="4148" w:type="dxa"/>
          </w:tcPr>
          <w:p>
            <w:pPr>
              <w:pStyle w:val="a"/>
              <w:jc w:val="left"/>
              <w:ind w:firstLine="0"/>
            </w:pPr>
            <w:r>
              <w:t>E09</w:t>
            </w:r>
          </w:p>
        </w:tc>
        <w:tc>
          <w:tcPr>
            <w:tcW w:w="4148" w:type="dxa"/>
          </w:tcPr>
          <w:p>
            <w:pPr>
              <w:pStyle w:val="a"/>
              <w:jc w:val="left"/>
              <w:ind w:firstLine="0"/>
            </w:pPr>
            <w:r>
              <w:t>纳入对比</w:t>
            </w:r>
          </w:p>
        </w:tc>
      </w:tr>
    </w:tbl>
    <w:p>
      <w:pPr>
        <w:pStyle w:val="a"/>
        <w:jc w:val="both"/>
        <w:ind w:firstLine="420"/>
      </w:pPr>
      <w:r>
        <w:t>比较矩阵覆盖三类目标函数和三种监督方案。各实验使用统一的数据、训练预算和评测协议，并在配置中记录损失形式、K 值、支持集、重归一化、K1 proposal、梯度估计和数值精度。</w:t>
      </w:r>
    </w:p>
    <w:p>
      <w:pPr>
        <w:pStyle w:val="a"/>
        <w:jc w:val="both"/>
        <w:ind w:firstLine="420"/>
      </w:pPr>
      <w:r>
        <w:t>三种监督方案和广义散度的名称定义如下：</w:t>
      </w:r>
    </w:p>
    <w:p>
      <w:pPr>
        <w:pStyle w:val="a8"/>
        <w:jc w:val="left"/>
        <w:ind w:firstLine="420"/>
      </w:pPr>
      <w:r>
        <w:t>• “全词表”表示教师完整输出在规定有效位置上参与分布匹配；工程实现可采用分块计算或流式处理。</w:t>
      </w:r>
    </w:p>
    <w:p>
      <w:pPr>
        <w:pStyle w:val="a8"/>
        <w:jc w:val="left"/>
        <w:ind w:firstLine="420"/>
      </w:pPr>
      <w:r>
        <w:t>• “Top-K”表示使用明确的高概率 token 支持集，并记录支持集来源、重归一化和支持集外概率处理。</w:t>
      </w:r>
    </w:p>
    <w:p>
      <w:pPr>
        <w:pStyle w:val="a8"/>
        <w:jc w:val="left"/>
        <w:ind w:firstLine="420"/>
      </w:pPr>
      <w:r>
        <w:t>• “K1 sampled-token”表示每个位置使用一个采样 token 估计相应期望，与选择最大概率 token 的硬标签方法分开记录。</w:t>
      </w:r>
    </w:p>
    <w:p>
      <w:pPr>
        <w:pStyle w:val="a8"/>
        <w:jc w:val="left"/>
        <w:ind w:firstLine="420"/>
      </w:pPr>
      <w:r>
        <w:t>• “广义散度”分析 JSD、skew KL 等代表性目标，并在实验配置中记录具体公式、混合参数和梯度计算规则。</w:t>
      </w:r>
    </w:p>
    <w:p>
      <w:pPr>
        <w:pStyle w:val="a"/>
        <w:jc w:val="both"/>
        <w:ind w:firstLine="420"/>
      </w:pPr>
      <w:r>
        <w:t>师生词表、token 边界和特殊 token 需要保持可对齐。正式训练前通过 tokenizer 单元测试、模板回环测试和小批量损失/梯度测试验证对数概率、Mask、padding 和梯度传播的正确性。</w:t>
      </w:r>
    </w:p>
    <w:p>
      <w:pPr>
        <w:pStyle w:val="2"/>
      </w:pPr>
      <w:r>
        <w:rPr>
          <w:rFonts w:ascii="SimHei" w:hAnsi="SimHei" w:eastAsia="黑体" w:cs="SimHei"/>
          <w:color w:val="000000"/>
        </w:rPr>
        <w:t>4.5 评价指标和公平性</w:t>
      </w:r>
    </w:p>
    <w:p>
      <w:pPr>
        <w:pStyle w:val="a"/>
        <w:jc w:val="both"/>
        <w:ind w:firstLine="420"/>
      </w:pPr>
      <w:r>
        <w:t>评价指标分为任务效果、训练稳定性、分布与误差分析、资源与部署四类：</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类别</w:t>
            </w:r>
          </w:p>
        </w:tc>
        <w:tc>
          <w:tcPr>
            <w:tcW w:w="4148" w:type="dxa"/>
            <w:shd w:val="clear" w:color="auto" w:fill="C5E0B3" w:themeFill="accent6" w:themeFillTint="66"/>
          </w:tcPr>
          <w:p>
            <w:pPr>
              <w:pStyle w:val="a"/>
              <w:jc w:val="left"/>
              <w:ind w:firstLine="0"/>
            </w:pPr>
            <w:r>
              <w:rPr>
                <w:b/>
              </w:rPr>
              <w:t>关注内容</w:t>
            </w:r>
          </w:p>
        </w:tc>
      </w:tr>
      <w:tr>
        <w:tc>
          <w:tcPr>
            <w:tcW w:w="4148" w:type="dxa"/>
          </w:tcPr>
          <w:p>
            <w:pPr>
              <w:pStyle w:val="a"/>
              <w:jc w:val="left"/>
              <w:ind w:firstLine="0"/>
            </w:pPr>
            <w:r>
              <w:t>核心任务效果</w:t>
            </w:r>
          </w:p>
        </w:tc>
        <w:tc>
          <w:tcPr>
            <w:tcW w:w="4148" w:type="dxa"/>
          </w:tcPr>
          <w:p>
            <w:pPr>
              <w:pStyle w:val="a"/>
              <w:jc w:val="left"/>
              <w:ind w:firstLine="0"/>
            </w:pPr>
            <w:r>
              <w:t>JSON/结构化格式合法性、函数名、参数键和值、schema 通过率、调用执行成功率、Agent 任务完成率</w:t>
            </w:r>
          </w:p>
        </w:tc>
      </w:tr>
      <w:tr>
        <w:tc>
          <w:tcPr>
            <w:tcW w:w="4148" w:type="dxa"/>
          </w:tcPr>
          <w:p>
            <w:pPr>
              <w:pStyle w:val="a"/>
              <w:jc w:val="left"/>
              <w:ind w:firstLine="0"/>
            </w:pPr>
            <w:r>
              <w:t>核心稳定性与分布</w:t>
            </w:r>
          </w:p>
        </w:tc>
        <w:tc>
          <w:tcPr>
            <w:tcW w:w="4148" w:type="dxa"/>
          </w:tcPr>
          <w:p>
            <w:pPr>
              <w:pStyle w:val="a"/>
              <w:jc w:val="left"/>
              <w:ind w:firstLine="0"/>
            </w:pPr>
            <w:r>
              <w:t>蒸馏损失、熵变化、师生分布差异、Top-K overlap、支持集外比例、非法输出和重复率</w:t>
            </w:r>
          </w:p>
        </w:tc>
      </w:tr>
      <w:tr>
        <w:tc>
          <w:tcPr>
            <w:tcW w:w="4148" w:type="dxa"/>
          </w:tcPr>
          <w:p>
            <w:pPr>
              <w:pStyle w:val="a"/>
              <w:jc w:val="left"/>
              <w:ind w:firstLine="0"/>
            </w:pPr>
            <w:r>
              <w:t>核心训练资源</w:t>
            </w:r>
          </w:p>
        </w:tc>
        <w:tc>
          <w:tcPr>
            <w:tcW w:w="4148" w:type="dxa"/>
          </w:tcPr>
          <w:p>
            <w:pPr>
              <w:pStyle w:val="a"/>
              <w:jc w:val="left"/>
              <w:ind w:firstLine="0"/>
            </w:pPr>
            <w:r>
              <w:t>教师反馈量、教师推理开销、学生 rollout 开销、训练时间和显存</w:t>
            </w:r>
          </w:p>
        </w:tc>
      </w:tr>
      <w:tr>
        <w:tc>
          <w:tcPr>
            <w:tcW w:w="4148" w:type="dxa"/>
          </w:tcPr>
          <w:p>
            <w:pPr>
              <w:pStyle w:val="a"/>
              <w:jc w:val="left"/>
              <w:ind w:firstLine="0"/>
            </w:pPr>
            <w:r>
              <w:t>扩展服务评测</w:t>
            </w:r>
          </w:p>
        </w:tc>
        <w:tc>
          <w:tcPr>
            <w:tcW w:w="4148" w:type="dxa"/>
          </w:tcPr>
          <w:p>
            <w:pPr>
              <w:pStyle w:val="a"/>
              <w:jc w:val="left"/>
              <w:ind w:firstLine="0"/>
            </w:pPr>
            <w:r>
              <w:t>吞吐、首 token 延迟、完整响应延迟和端到端任务成功率</w:t>
            </w:r>
          </w:p>
        </w:tc>
      </w:tr>
    </w:tbl>
    <w:p>
      <w:pPr>
        <w:pStyle w:val="a"/>
        <w:jc w:val="both"/>
        <w:ind w:firstLine="420"/>
      </w:pPr>
      <w:r>
        <w:t>BFCL 为结构化函数调用和 Agent 评测提供参考[27]，AgentBench 为多轮环境交互提供背景[28]。本课题使用明确的指标定义评估函数选择、参数、schema、执行和任务完成情况；部署评测进一步记录吞吐、首 token 延迟、完整响应延迟和端到端任务成功率。</w:t>
      </w:r>
    </w:p>
    <w:p>
      <w:pPr>
        <w:pStyle w:val="a"/>
        <w:jc w:val="both"/>
        <w:ind w:firstLine="420"/>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pPr>
        <w:pStyle w:val="a"/>
        <w:jc w:val="both"/>
        <w:ind w:firstLine="420"/>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pPr>
        <w:pStyle w:val="a"/>
        <w:jc w:val="both"/>
        <w:ind w:firstLine="420"/>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pPr>
        <w:pStyle w:val="a"/>
        <w:jc w:val="both"/>
        <w:ind w:firstLine="420"/>
      </w:pPr>
      <w:r>
        <w:t>结果分析报告完整训练曲线、验证与测试统计、重复运行波动和资源消耗。失败案例按照工具选择、结构解析、参数字段、参数值、上下文和执行环节分类，并比较不同散度和监督方案的错误分布。</w:t>
      </w:r>
    </w:p>
    <w:p>
      <w:pPr>
        <w:pStyle w:val="2"/>
      </w:pPr>
      <w:r>
        <w:rPr>
          <w:rFonts w:ascii="SimHei" w:hAnsi="SimHei" w:eastAsia="黑体" w:cs="SimHei"/>
          <w:color w:val="000000"/>
        </w:rPr>
        <w:t>4.6 可行性和风险控制</w:t>
      </w:r>
    </w:p>
    <w:p>
      <w:pPr>
        <w:pStyle w:val="a"/>
        <w:jc w:val="both"/>
        <w:ind w:firstLine="420"/>
      </w:pPr>
      <w:r>
        <w:t>Qwen3-0.6B 学生、Qwen3-4B 教师和 LoRA 后训练构成可实施的模型组合，PyTorch、Transformers、PEFT 与 vLLM 提供训练和部署基础。教师在线前向与全词表分布是主要资源压力，实验将通过短序列验证、小批量训练、梯度累积、混合精度、教师输出缓存和分块计算控制资源开销。</w:t>
      </w:r>
    </w:p>
    <w:p>
      <w:pPr>
        <w:pStyle w:val="a"/>
        <w:jc w:val="both"/>
        <w:ind w:firstLine="420"/>
      </w:pPr>
      <w:r>
        <w:t>主要风险及对策如下：</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风险</w:t>
            </w:r>
          </w:p>
        </w:tc>
        <w:tc>
          <w:tcPr>
            <w:tcW w:w="4148" w:type="dxa"/>
            <w:shd w:val="clear" w:color="auto" w:fill="C5E0B3" w:themeFill="accent6" w:themeFillTint="66"/>
          </w:tcPr>
          <w:p>
            <w:pPr>
              <w:pStyle w:val="a"/>
              <w:jc w:val="left"/>
              <w:ind w:firstLine="0"/>
            </w:pPr>
            <w:r>
              <w:t>解决措施</w:t>
            </w:r>
          </w:p>
        </w:tc>
      </w:tr>
      <w:tr>
        <w:tc>
          <w:tcPr>
            <w:tcW w:w="4148" w:type="dxa"/>
          </w:tcPr>
          <w:p>
            <w:pPr>
              <w:pStyle w:val="a"/>
              <w:jc w:val="left"/>
              <w:ind w:firstLine="0"/>
            </w:pPr>
            <w:r>
              <w:t>师生 tokenizer、模板或特殊 token 不兼容</w:t>
            </w:r>
          </w:p>
        </w:tc>
        <w:tc>
          <w:tcPr>
            <w:tcW w:w="4148" w:type="dxa"/>
          </w:tcPr>
          <w:p>
            <w:pPr>
              <w:pStyle w:val="a"/>
              <w:jc w:val="left"/>
              <w:ind w:firstLine="0"/>
            </w:pPr>
            <w:r>
              <w:t>训练前审计并记录版本，通过对齐测试统一蒸馏输入。</w:t>
            </w:r>
          </w:p>
        </w:tc>
      </w:tr>
      <w:tr>
        <w:tc>
          <w:tcPr>
            <w:tcW w:w="4148" w:type="dxa"/>
          </w:tcPr>
          <w:p>
            <w:pPr>
              <w:pStyle w:val="a"/>
              <w:jc w:val="left"/>
              <w:ind w:firstLine="0"/>
            </w:pPr>
            <w:r>
              <w:t>教师全词表反馈开销过高</w:t>
            </w:r>
          </w:p>
        </w:tc>
        <w:tc>
          <w:tcPr>
            <w:tcW w:w="4148" w:type="dxa"/>
          </w:tcPr>
          <w:p>
            <w:pPr>
              <w:pStyle w:val="a"/>
              <w:jc w:val="left"/>
              <w:ind w:firstLine="0"/>
            </w:pPr>
            <w:r>
              <w:t>比较全词表、Top-K、K1 的反馈量，采用分块计算、缓存和梯度累积控制资源开销。</w:t>
            </w:r>
          </w:p>
        </w:tc>
      </w:tr>
      <w:tr>
        <w:tc>
          <w:tcPr>
            <w:tcW w:w="4148" w:type="dxa"/>
          </w:tcPr>
          <w:p>
            <w:pPr>
              <w:pStyle w:val="a"/>
              <w:jc w:val="left"/>
              <w:ind w:firstLine="0"/>
            </w:pPr>
            <w:r>
              <w:t>Top-K/K1 估计不稳定</w:t>
            </w:r>
          </w:p>
        </w:tc>
        <w:tc>
          <w:tcPr>
            <w:tcW w:w="4148" w:type="dxa"/>
          </w:tcPr>
          <w:p>
            <w:pPr>
              <w:pStyle w:val="a"/>
              <w:jc w:val="left"/>
              <w:ind w:firstLine="0"/>
            </w:pPr>
            <w:r>
              <w:t>记录支持集外比例、熵和异常 loss；稳定化扩展只在主方案可运行后考虑。</w:t>
            </w:r>
          </w:p>
        </w:tc>
      </w:tr>
      <w:tr>
        <w:tc>
          <w:tcPr>
            <w:tcW w:w="4148" w:type="dxa"/>
          </w:tcPr>
          <w:p>
            <w:pPr>
              <w:pStyle w:val="a"/>
              <w:jc w:val="left"/>
              <w:ind w:firstLine="0"/>
            </w:pPr>
            <w:r>
              <w:t>数据格式、许可证或训练测试泄漏</w:t>
            </w:r>
          </w:p>
        </w:tc>
        <w:tc>
          <w:tcPr>
            <w:tcW w:w="4148" w:type="dxa"/>
          </w:tcPr>
          <w:p>
            <w:pPr>
              <w:pStyle w:val="a"/>
              <w:jc w:val="left"/>
              <w:ind w:firstLine="0"/>
            </w:pPr>
            <w:r>
              <w:t>核验数据卡和许可证，去重并隔离测试集，保存版本和过滤规则。</w:t>
            </w:r>
          </w:p>
        </w:tc>
      </w:tr>
      <w:tr>
        <w:tc>
          <w:tcPr>
            <w:tcW w:w="4148" w:type="dxa"/>
          </w:tcPr>
          <w:p>
            <w:pPr>
              <w:pStyle w:val="a"/>
              <w:jc w:val="left"/>
              <w:ind w:firstLine="0"/>
            </w:pPr>
            <w:r>
              <w:t>离线 token 指标与 Agent 行为不一致</w:t>
            </w:r>
          </w:p>
        </w:tc>
        <w:tc>
          <w:tcPr>
            <w:tcW w:w="4148" w:type="dxa"/>
          </w:tcPr>
          <w:p>
            <w:pPr>
              <w:pStyle w:val="a"/>
              <w:jc w:val="left"/>
              <w:ind w:firstLine="0"/>
            </w:pPr>
            <w:r>
              <w:t>分层报告格式、函数、参数、执行和端到端任务指标，保留失败轨迹。</w:t>
            </w:r>
          </w:p>
        </w:tc>
      </w:tr>
      <w:tr>
        <w:tc>
          <w:tcPr>
            <w:tcW w:w="4148" w:type="dxa"/>
          </w:tcPr>
          <w:p>
            <w:pPr>
              <w:pStyle w:val="a"/>
              <w:jc w:val="left"/>
              <w:ind w:firstLine="0"/>
            </w:pPr>
            <w:r>
              <w:t>vLLM 或 Agent 后端不兼容</w:t>
            </w:r>
          </w:p>
        </w:tc>
        <w:tc>
          <w:tcPr>
            <w:tcW w:w="4148" w:type="dxa"/>
          </w:tcPr>
          <w:p>
            <w:pPr>
              <w:pStyle w:val="a"/>
              <w:jc w:val="left"/>
              <w:ind w:firstLine="0"/>
            </w:pPr>
            <w:r>
              <w:t>先做最小服务验证；最终从 vLLM 或自建 Agent 候选后端中选择可复现的后端，并记录版本。</w:t>
            </w:r>
          </w:p>
        </w:tc>
      </w:tr>
    </w:tbl>
    <w:p>
      <w:pPr>
        <w:pStyle w:val="2"/>
      </w:pPr>
      <w:r>
        <w:rPr>
          <w:rFonts w:ascii="SimHei" w:hAnsi="SimHei" w:eastAsia="黑体" w:cs="SimHei"/>
          <w:color w:val="000000"/>
        </w:rPr>
        <w:t>4.7 Top-K 稳定化拓展</w:t>
      </w:r>
    </w:p>
    <w:p>
      <w:pPr>
        <w:pStyle w:val="a"/>
        <w:jc w:val="both"/>
        <w:ind w:firstLine="420"/>
      </w:pPr>
      <w:r>
        <w:t>完成主要比较后，将进一步考察 Top-K 支持集修复和损失截断方法，包括师生高概率集合并集、残余概率质量保留和极端概率比裁剪，用于分析截断监督的稳定性。</w:t>
      </w:r>
    </w:p>
    <w:p>
      <w:pPr>
        <w:pStyle w:val="1"/>
      </w:pPr>
      <w:r>
        <w:rPr>
          <w:rFonts w:ascii="SimHei" w:hAnsi="SimHei" w:eastAsia="黑体" w:cs="SimHei"/>
          <w:color w:val="000000"/>
        </w:rPr>
        <w:t>5．进度安排，预期达到的目标</w:t>
      </w:r>
    </w:p>
    <w:p>
      <w:pPr>
        <w:pStyle w:val="2"/>
      </w:pPr>
      <w:r>
        <w:rPr>
          <w:rFonts w:ascii="SimHei" w:hAnsi="SimHei" w:eastAsia="黑体" w:cs="SimHei"/>
          <w:color w:val="000000"/>
        </w:rPr>
        <w:t>5.1 进度安排</w:t>
      </w:r>
    </w:p>
    <w:p>
      <w:pPr>
        <w:pStyle w:val="a"/>
        <w:jc w:val="both"/>
        <w:ind w:firstLine="420"/>
      </w:pPr>
      <w:r>
        <w:t>项目按开题通过后的 16 周安排，进度如图 1 所示。</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阶段</w:t>
            </w:r>
          </w:p>
        </w:tc>
        <w:tc>
          <w:tcPr>
            <w:tcW w:w="4148" w:type="dxa"/>
            <w:shd w:val="clear" w:color="auto" w:fill="C5E0B3" w:themeFill="accent6" w:themeFillTint="66"/>
          </w:tcPr>
          <w:p>
            <w:pPr>
              <w:pStyle w:val="a"/>
              <w:jc w:val="left"/>
              <w:ind w:firstLine="0"/>
            </w:pPr>
            <w:r>
              <w:rPr>
                <w:b/>
              </w:rPr>
              <w:t>计划内容</w:t>
            </w:r>
          </w:p>
        </w:tc>
        <w:tc>
          <w:tcPr>
            <w:tcW w:w="4148" w:type="dxa"/>
            <w:shd w:val="clear" w:color="auto" w:fill="C5E0B3" w:themeFill="accent6" w:themeFillTint="66"/>
          </w:tcPr>
          <w:p>
            <w:pPr>
              <w:pStyle w:val="a"/>
              <w:jc w:val="left"/>
              <w:ind w:firstLine="0"/>
            </w:pPr>
            <w:r>
              <w:rPr>
                <w:b/>
              </w:rPr>
              <w:t>预期材料</w:t>
            </w:r>
          </w:p>
        </w:tc>
      </w:tr>
      <w:tr>
        <w:tc>
          <w:tcPr>
            <w:tcW w:w="4148" w:type="dxa"/>
          </w:tcPr>
          <w:p>
            <w:pPr>
              <w:pStyle w:val="a"/>
              <w:jc w:val="left"/>
              <w:ind w:firstLine="0"/>
            </w:pPr>
            <w:r>
              <w:t>第一阶段</w:t>
            </w:r>
          </w:p>
        </w:tc>
        <w:tc>
          <w:tcPr>
            <w:tcW w:w="4148" w:type="dxa"/>
          </w:tcPr>
          <w:p>
            <w:pPr>
              <w:pStyle w:val="a"/>
              <w:jc w:val="left"/>
              <w:ind w:firstLine="0"/>
            </w:pPr>
            <w:r>
              <w:t>精读 OPD、KL 散度、LoRA、Function Calling 和 Agent 评测文献，核验数据来源</w:t>
            </w:r>
          </w:p>
        </w:tc>
        <w:tc>
          <w:tcPr>
            <w:tcW w:w="4148" w:type="dxa"/>
          </w:tcPr>
          <w:p>
            <w:pPr>
              <w:pStyle w:val="a"/>
              <w:jc w:val="left"/>
              <w:ind w:firstLine="0"/>
            </w:pPr>
            <w:r>
              <w:t>文献导读、数据和模型核验记录</w:t>
            </w:r>
          </w:p>
        </w:tc>
      </w:tr>
      <w:tr>
        <w:tc>
          <w:tcPr>
            <w:tcW w:w="4148" w:type="dxa"/>
          </w:tcPr>
          <w:p>
            <w:pPr>
              <w:pStyle w:val="a"/>
              <w:jc w:val="left"/>
              <w:ind w:firstLine="0"/>
            </w:pPr>
            <w:r>
              <w:t>第二阶段</w:t>
            </w:r>
          </w:p>
        </w:tc>
        <w:tc>
          <w:tcPr>
            <w:tcW w:w="4148" w:type="dxa"/>
          </w:tcPr>
          <w:p>
            <w:pPr>
              <w:pStyle w:val="a"/>
              <w:jc w:val="left"/>
              <w:ind w:firstLine="0"/>
            </w:pPr>
            <w:r>
              <w:t>盘点软件、计算环境和模型接口，审计 tokenizer、模板和 schema</w:t>
            </w:r>
          </w:p>
        </w:tc>
        <w:tc>
          <w:tcPr>
            <w:tcW w:w="4148" w:type="dxa"/>
          </w:tcPr>
          <w:p>
            <w:pPr>
              <w:pStyle w:val="a"/>
              <w:jc w:val="left"/>
              <w:ind w:firstLine="0"/>
            </w:pPr>
            <w:r>
              <w:t>环境记录、兼容性分析</w:t>
            </w:r>
          </w:p>
        </w:tc>
      </w:tr>
      <w:tr>
        <w:tc>
          <w:tcPr>
            <w:tcW w:w="4148" w:type="dxa"/>
          </w:tcPr>
          <w:p>
            <w:pPr>
              <w:pStyle w:val="a"/>
              <w:jc w:val="left"/>
              <w:ind w:firstLine="0"/>
            </w:pPr>
            <w:r>
              <w:t>第三阶段</w:t>
            </w:r>
          </w:p>
        </w:tc>
        <w:tc>
          <w:tcPr>
            <w:tcW w:w="4148" w:type="dxa"/>
          </w:tcPr>
          <w:p>
            <w:pPr>
              <w:pStyle w:val="a"/>
              <w:jc w:val="left"/>
              <w:ind w:firstLine="0"/>
            </w:pPr>
            <w:r>
              <w:t>完成数据清洗、划分原则、评测器和 OPD 接口设计</w:t>
            </w:r>
          </w:p>
        </w:tc>
        <w:tc>
          <w:tcPr>
            <w:tcW w:w="4148" w:type="dxa"/>
          </w:tcPr>
          <w:p>
            <w:pPr>
              <w:pStyle w:val="a"/>
              <w:jc w:val="left"/>
              <w:ind w:firstLine="0"/>
            </w:pPr>
            <w:r>
              <w:t>数据说明、接口草案、测试设计</w:t>
            </w:r>
          </w:p>
        </w:tc>
      </w:tr>
      <w:tr>
        <w:tc>
          <w:tcPr>
            <w:tcW w:w="4148" w:type="dxa"/>
          </w:tcPr>
          <w:p>
            <w:pPr>
              <w:pStyle w:val="a"/>
              <w:jc w:val="left"/>
              <w:ind w:firstLine="0"/>
            </w:pPr>
            <w:r>
              <w:t>第四阶段</w:t>
            </w:r>
          </w:p>
        </w:tc>
        <w:tc>
          <w:tcPr>
            <w:tcW w:w="4148" w:type="dxa"/>
          </w:tcPr>
          <w:p>
            <w:pPr>
              <w:pStyle w:val="a"/>
              <w:jc w:val="left"/>
              <w:ind w:firstLine="0"/>
            </w:pPr>
            <w:r>
              <w:t>实现并验证三类散度和三种监督信息粒度/估计方式的候选流程</w:t>
            </w:r>
          </w:p>
        </w:tc>
        <w:tc>
          <w:tcPr>
            <w:tcW w:w="4148" w:type="dxa"/>
          </w:tcPr>
          <w:p>
            <w:pPr>
              <w:pStyle w:val="a"/>
              <w:jc w:val="left"/>
              <w:ind w:firstLine="0"/>
            </w:pPr>
            <w:r>
              <w:t>数值/梯度测试和可行性日志</w:t>
            </w:r>
          </w:p>
        </w:tc>
      </w:tr>
      <w:tr>
        <w:tc>
          <w:tcPr>
            <w:tcW w:w="4148" w:type="dxa"/>
          </w:tcPr>
          <w:p>
            <w:pPr>
              <w:pStyle w:val="a"/>
              <w:jc w:val="left"/>
              <w:ind w:firstLine="0"/>
            </w:pPr>
            <w:r>
              <w:t>第五阶段</w:t>
            </w:r>
          </w:p>
        </w:tc>
        <w:tc>
          <w:tcPr>
            <w:tcW w:w="4148" w:type="dxa"/>
          </w:tcPr>
          <w:p>
            <w:pPr>
              <w:pStyle w:val="a"/>
              <w:jc w:val="left"/>
              <w:ind w:firstLine="0"/>
            </w:pPr>
            <w:r>
              <w:t>根据冻结协议进行主比较，记录效果、稳定性和资源指标</w:t>
            </w:r>
          </w:p>
        </w:tc>
        <w:tc>
          <w:tcPr>
            <w:tcW w:w="4148" w:type="dxa"/>
          </w:tcPr>
          <w:p>
            <w:pPr>
              <w:pStyle w:val="a"/>
              <w:jc w:val="left"/>
              <w:ind w:firstLine="0"/>
            </w:pPr>
            <w:r>
              <w:t>配置、原始日志、checkpoint 和指标</w:t>
            </w:r>
          </w:p>
        </w:tc>
      </w:tr>
      <w:tr>
        <w:tc>
          <w:tcPr>
            <w:tcW w:w="4148" w:type="dxa"/>
          </w:tcPr>
          <w:p>
            <w:pPr>
              <w:pStyle w:val="a"/>
              <w:jc w:val="left"/>
              <w:ind w:firstLine="0"/>
            </w:pPr>
            <w:r>
              <w:t>第六阶段</w:t>
            </w:r>
          </w:p>
        </w:tc>
        <w:tc>
          <w:tcPr>
            <w:tcW w:w="4148" w:type="dxa"/>
          </w:tcPr>
          <w:p>
            <w:pPr>
              <w:pStyle w:val="a"/>
              <w:jc w:val="left"/>
              <w:ind w:firstLine="0"/>
            </w:pPr>
            <w:r>
              <w:t>使用一种候选后端（vLLM 或自建 Agent）进行最终测试，分析失败样本并撰写论文</w:t>
            </w:r>
          </w:p>
        </w:tc>
        <w:tc>
          <w:tcPr>
            <w:tcW w:w="4148" w:type="dxa"/>
          </w:tcPr>
          <w:p>
            <w:pPr>
              <w:pStyle w:val="a"/>
              <w:jc w:val="left"/>
              <w:ind w:firstLine="0"/>
            </w:pPr>
            <w:r>
              <w:t>Agent 轨迹、图表、论文和演示材料</w:t>
            </w:r>
          </w:p>
        </w:tc>
      </w:tr>
    </w:tbl>
    <w:p>
      <w:pPr>
        <w:spacing w:before="160" w:after="120"/>
        <w:jc w:val="center"/>
      </w:pPr>
      <w:r>
        <w:rPr>
          <w:rFonts w:ascii="Times New Roman" w:hAnsi="Times New Roman" w:eastAsia="宋体"/>
          <w:b w:val="0"/>
          <w:sz w:val="21"/>
        </w:rPr>
        <w:t>图 1  项目总体进度安排</w:t>
      </w:r>
    </w:p>
    <w:p>
      <w:pPr>
        <w:spacing w:after="160"/>
        <w:jc w:val="center"/>
      </w:pPr>
      <w:r>
        <w:drawing>
          <wp:inline xmlns:a="http://schemas.openxmlformats.org/drawingml/2006/main" xmlns:pic="http://schemas.openxmlformats.org/drawingml/2006/picture">
            <wp:extent cx="5623560" cy="2703635"/>
            <wp:docPr id="2" name="Picture 2"/>
            <wp:cNvGraphicFramePr>
              <a:graphicFrameLocks noChangeAspect="1"/>
            </wp:cNvGraphicFramePr>
            <a:graphic>
              <a:graphicData uri="http://schemas.openxmlformats.org/drawingml/2006/picture">
                <pic:pic>
                  <pic:nvPicPr>
                    <pic:cNvPr id="0" name="开题报告-项目甘特图.png"/>
                    <pic:cNvPicPr/>
                  </pic:nvPicPr>
                  <pic:blipFill>
                    <a:blip r:embed="rId14"/>
                    <a:stretch>
                      <a:fillRect/>
                    </a:stretch>
                  </pic:blipFill>
                  <pic:spPr>
                    <a:xfrm>
                      <a:off x="0" y="0"/>
                      <a:ext cx="5623560" cy="2703635"/>
                    </a:xfrm>
                    <a:prstGeom prst="rect"/>
                  </pic:spPr>
                </pic:pic>
              </a:graphicData>
            </a:graphic>
          </wp:inline>
        </w:drawing>
      </w:r>
    </w:p>
    <w:p>
      <w:pPr>
        <w:pStyle w:val="a"/>
        <w:jc w:val="both"/>
        <w:ind w:firstLine="420"/>
      </w:pPr>
      <w:r>
        <w:t>进度安排按照资料调研与数据准备、训练管线实现、对照实验、部署评测、结果分析和论文撰写依次展开。前期完成接口与短流程验证，中期开展统一配置下的正式实验，后期集中进行误差分析和论文整理。</w:t>
      </w:r>
    </w:p>
    <w:p>
      <w:pPr>
        <w:pStyle w:val="2"/>
      </w:pPr>
      <w:r>
        <w:rPr>
          <w:rFonts w:ascii="SimHei" w:hAnsi="SimHei" w:eastAsia="黑体" w:cs="SimHei"/>
          <w:color w:val="000000"/>
        </w:rPr>
        <w:t>5.2 预期达到的目标</w:t>
      </w:r>
    </w:p>
    <w:p>
      <w:pPr>
        <w:pStyle w:val="a8"/>
        <w:jc w:val="left"/>
        <w:ind w:firstLine="420"/>
      </w:pPr>
      <w:r>
        <w:t>1. 完成 Qwen3-0.6B 学生的 LoRA 在线策略蒸馏研究流程，使用冻结的 Qwen3-4B 作为教师。</w:t>
      </w:r>
    </w:p>
    <w:p>
      <w:pPr>
        <w:pStyle w:val="a8"/>
        <w:jc w:val="left"/>
        <w:ind w:firstLine="420"/>
      </w:pPr>
      <w:r>
        <w:t>2. 在公开 Function Calling 数据上比较 Forward KL、Reverse KL、广义散度，以及全词表、Top-K、K1 sampled-token。</w:t>
      </w:r>
    </w:p>
    <w:p>
      <w:pPr>
        <w:pStyle w:val="a8"/>
        <w:jc w:val="left"/>
        <w:ind w:firstLine="420"/>
      </w:pPr>
      <w:r>
        <w:t>3. 建立分层评测方法，分别分析格式、函数选择、参数生成、工具执行和 Agent 任务完成情况。</w:t>
      </w:r>
    </w:p>
    <w:p>
      <w:pPr>
        <w:pStyle w:val="a8"/>
        <w:jc w:val="left"/>
        <w:ind w:firstLine="420"/>
      </w:pPr>
      <w:r>
        <w:t>4. 记录不同方法的训练稳定性、教师反馈量、训练资源和部署表现。</w:t>
      </w:r>
    </w:p>
    <w:p>
      <w:pPr>
        <w:pStyle w:val="a8"/>
        <w:jc w:val="left"/>
        <w:ind w:firstLine="420"/>
      </w:pPr>
      <w:r>
        <w:t>5. 通过 vLLM 或自建 Agent 完成最终模型验证，并形成可追溯的配置、日志和分析文档。</w:t>
      </w:r>
    </w:p>
    <w:p>
      <w:pPr>
        <w:pStyle w:val="a8"/>
        <w:jc w:val="left"/>
        <w:ind w:firstLine="420"/>
      </w:pPr>
      <w:r>
        <w:t>6. 形成中文项目文档、实验记录、毕业论文和答辩材料。</w:t>
      </w:r>
    </w:p>
    <w:p>
      <w:pPr>
        <w:pStyle w:val="a"/>
        <w:jc w:val="both"/>
        <w:ind w:firstLine="420"/>
      </w:pPr>
      <w:r>
        <w:t>本课题的预期成果包括一套定义清晰的 OPD 方法与训练流程、一份公开数据和模型版本记录、一组能够解释方法差异的实验指标，以及一个可重复调用的最终测试流程。</w:t>
      </w:r>
    </w:p>
    <w:p>
      <w:pPr>
        <w:pStyle w:val="1"/>
      </w:pPr>
      <w:r>
        <w:rPr>
          <w:rFonts w:ascii="SimHei" w:hAnsi="SimHei" w:eastAsia="黑体" w:cs="SimHei"/>
          <w:color w:val="000000"/>
        </w:rPr>
        <w:t>6．课题已具备和所需的条件、经费</w:t>
      </w:r>
    </w:p>
    <w:p>
      <w:pPr>
        <w:pStyle w:val="2"/>
      </w:pPr>
      <w:r>
        <w:rPr>
          <w:rFonts w:ascii="SimHei" w:hAnsi="SimHei" w:eastAsia="黑体" w:cs="SimHei"/>
          <w:color w:val="000000"/>
        </w:rPr>
        <w:t>6.1 已具备条件</w:t>
      </w:r>
    </w:p>
    <w:p>
      <w:pPr>
        <w:pStyle w:val="a"/>
        <w:jc w:val="both"/>
        <w:ind w:firstLine="420"/>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pPr>
        <w:pStyle w:val="2"/>
      </w:pPr>
      <w:r>
        <w:rPr>
          <w:rFonts w:ascii="SimHei" w:hAnsi="SimHei" w:eastAsia="黑体" w:cs="SimHei"/>
          <w:color w:val="000000"/>
        </w:rPr>
        <w:t>6.2 所需条件</w:t>
      </w:r>
    </w:p>
    <w:p>
      <w:pPr>
        <w:pStyle w:val="a"/>
        <w:jc w:val="both"/>
        <w:ind w:firstLine="420"/>
      </w:pPr>
      <w:r>
        <w:t>软件环境包括 Python、PyTorch、Transformers、PEFT、Datasets 和 vLLM，硬件环境需支持 Qwen3-4B 教师推理、Qwen3-0.6B 学生 rollout 和 LoRA 更新。实验将根据可用显存配置序列长度、批量大小、梯度累积、混合精度和教师输出缓存。</w:t>
      </w:r>
    </w:p>
    <w:p>
      <w:pPr>
        <w:pStyle w:val="2"/>
      </w:pPr>
      <w:r>
        <w:rPr>
          <w:rFonts w:ascii="SimHei" w:hAnsi="SimHei" w:eastAsia="黑体" w:cs="SimHei"/>
          <w:color w:val="000000"/>
        </w:rPr>
        <w:t>6.3 经费</w:t>
      </w:r>
    </w:p>
    <w:p>
      <w:pPr>
        <w:pStyle w:val="a"/>
        <w:jc w:val="both"/>
        <w:ind w:firstLine="420"/>
      </w:pPr>
      <w:r>
        <w:t>本课题优先使用现有计算设备和公开软件、模型与数据；云计算、存储和网络资源按照实际实验需求配置，并记录环境、用途和消耗。</w:t>
      </w:r>
    </w:p>
    <w:p>
      <w:pPr>
        <w:pStyle w:val="a"/>
        <w:jc w:val="both"/>
        <w:ind w:firstLine="420"/>
      </w:pPr>
      <w:r>
        <w:t>资源安排服务于公平比较。首先完成 tokenizer、模板、数据解析和损失定义的低成本检查，再根据显存与吞吐确定序列长度、有效批量和重复次数；全词表方案采用分批反馈或分块计算控制峰值，并与其他方案统一记录训练预算和数值精度。</w:t>
      </w:r>
    </w:p>
    <w:p>
      <w:pPr>
        <w:pStyle w:val="1"/>
      </w:pPr>
      <w:r>
        <w:rPr>
          <w:rFonts w:ascii="SimHei" w:hAnsi="SimHei" w:eastAsia="黑体" w:cs="SimHei"/>
          <w:color w:val="000000"/>
        </w:rPr>
        <w:t>7．研究过程中可能遇到的困难和问题，解决的措施</w:t>
      </w:r>
    </w:p>
    <w:p>
      <w:pPr>
        <w:pStyle w:val="a"/>
        <w:jc w:val="both"/>
        <w:ind w:firstLine="420"/>
      </w:pPr>
      <w:r>
        <w:t>Function Calling 数据的来源、许可证、字段质量和测试集泄漏需要先核验；模型模板或 tokenizer 不一致会直接影响 token 级蒸馏；全词表教师反馈可能带来较高资源开销；Top-K 和 K1 的局部或单样本估计可能出现方差、熵坍缩和 loss 尖峰；离线格式指标与实际 Agent 成功率可能不一致；vLLM 或自建 Agent 的接口兼容性也需要验证。</w:t>
      </w:r>
    </w:p>
    <w:p>
      <w:pPr>
        <w:pStyle w:val="a"/>
        <w:jc w:val="both"/>
        <w:ind w:firstLine="420"/>
      </w:pPr>
      <w:r>
        <w:t>针对上述问题，在训练前完成数据、模型和模板审计；在统一预算下记录教师反馈量、学生 rollout 和资源指标；为三类监督方案规定支持集、采样与 Mask 协议；保存异常 loss、非法结构和失败工具调用的可追溯样本；使用分层指标区分解析、选择、参数和执行错误；在通过兼容性验证的后端上完成部署评测。</w:t>
      </w:r>
    </w:p>
    <w:p>
      <w:pPr>
        <w:pStyle w:val="a"/>
        <w:jc w:val="both"/>
        <w:ind w:firstLine="420"/>
      </w:pPr>
      <w:r>
        <w:t>困难分析分为三类：数据与接口问题，包括 schema 错误、模板不匹配和测试泄漏；蒸馏估计问题，包括支持集截断、K1 方差和散度数值不稳定；模型与服务问题，包括 LoRA 容量、后端加载和 Agent 状态管理。实验日志按照上述类别记录问题与处理过程，使工程因素和算法因素能够分别分析。</w:t>
      </w:r>
    </w:p>
    <w:p>
      <w:pPr>
        <w:pStyle w:val="a"/>
        <w:jc w:val="both"/>
        <w:ind w:firstLine="420"/>
      </w:pPr>
      <w:r>
        <w:t>项目遵守模型与数据许可证，不将私密工具定义、API key 或真实用户信息写入仓库。Agent 测试优先使用本地或沙箱工具，并对执行设置超时、参数校验和日志脱敏，避免模型输出触发危险操作。</w:t>
      </w:r>
    </w:p>
    <w:p>
      <w:pPr>
        <w:pStyle w:val="1"/>
      </w:pPr>
      <w:r>
        <w:rPr>
          <w:rFonts w:ascii="SimHei" w:hAnsi="SimHei" w:eastAsia="黑体" w:cs="SimHei"/>
          <w:color w:val="000000"/>
        </w:rPr>
        <w:t>8．主要参考文献</w:t>
      </w:r>
    </w:p>
    <w:p>
      <w:pPr>
        <w:pStyle w:val="a8"/>
        <w:jc w:val="left"/>
        <w:ind w:firstLine="420"/>
        <w:numPr>
          <w:ilvl w:val="0"/>
          <w:numId w:val="2"/>
        </w:numPr>
      </w:pPr>
      <w:r>
        <w:t>Hinton G, Vinyals O, Dean J. Distilling the Knowledge in a Neural Network[EB/OL]. arXiv:1503.02531, 2015.</w:t>
      </w:r>
    </w:p>
    <w:p>
      <w:pPr>
        <w:pStyle w:val="a8"/>
        <w:jc w:val="left"/>
        <w:ind w:firstLine="420"/>
        <w:numPr>
          <w:ilvl w:val="0"/>
          <w:numId w:val="2"/>
        </w:numPr>
      </w:pPr>
      <w:r>
        <w:t>Kim Y, Rush A M. Sequence-Level Knowledge Distillation[C]//Proceedings of the 2016 Conference on Empirical Methods in Natural Language Processing. ACL, 2016: 1317-1327. DOI:10.18653/v1/D16-1139.</w:t>
      </w:r>
    </w:p>
    <w:p>
      <w:pPr>
        <w:pStyle w:val="a8"/>
        <w:jc w:val="left"/>
        <w:ind w:firstLine="420"/>
        <w:numPr>
          <w:ilvl w:val="0"/>
          <w:numId w:val="2"/>
        </w:numPr>
      </w:pPr>
      <w:r>
        <w:t>Ross S, Gordon G J, Bagnell J A. A Reduction of Imitation Learning and Structured Prediction to No-Regret Online Learning[C]//Proceedings of the Fourteenth International Conference on Artificial Intelligence and Statistics. PMLR, 2011, 15: 627-635.</w:t>
      </w:r>
    </w:p>
    <w:p>
      <w:pPr>
        <w:pStyle w:val="a8"/>
        <w:jc w:val="left"/>
        <w:ind w:firstLine="420"/>
        <w:numPr>
          <w:ilvl w:val="0"/>
          <w:numId w:val="2"/>
        </w:numPr>
      </w:pPr>
      <w:r>
        <w:t>Lin A, Wohlwend J, Chen H, et al. Autoregressive Knowledge Distillation through Imitation Learning[C]//Proceedings of the 2020 Conference on Empirical Methods in Natural Language Processing. ACL, 2020: 6121-6133. DOI:10.18653/v1/2020.emnlp-main.494.</w:t>
      </w:r>
    </w:p>
    <w:p>
      <w:pPr>
        <w:pStyle w:val="a8"/>
        <w:jc w:val="left"/>
        <w:ind w:firstLine="420"/>
        <w:numPr>
          <w:ilvl w:val="0"/>
          <w:numId w:val="2"/>
        </w:numPr>
      </w:pPr>
      <w:r>
        <w:t>Huszár F. How (not) to Train your Generative Model: Scheduled Sampling, Likelihood, Adversary?[EB/OL]. arXiv:1511.05101, 2015.</w:t>
      </w:r>
    </w:p>
    <w:p>
      <w:pPr>
        <w:pStyle w:val="a8"/>
        <w:jc w:val="left"/>
        <w:ind w:firstLine="420"/>
        <w:numPr>
          <w:ilvl w:val="0"/>
          <w:numId w:val="2"/>
        </w:numPr>
      </w:pPr>
      <w:r>
        <w:t>Wen Y, Li Z, Du W, et al. f-Divergence Minimization for Sequence-Level Knowledge Distillation[C]//Proceedings of the 61st Annual Meeting of the Association for Computational Linguistics. ACL, 2023: 10817-10834. DOI:10.18653/v1/2023.acl-long.605.</w:t>
      </w:r>
    </w:p>
    <w:p>
      <w:pPr>
        <w:pStyle w:val="a8"/>
        <w:jc w:val="left"/>
        <w:ind w:firstLine="420"/>
        <w:numPr>
          <w:ilvl w:val="0"/>
          <w:numId w:val="2"/>
        </w:numPr>
      </w:pPr>
      <w:r>
        <w:t>Agarwal R, Vieillard N, Zhou Y, et al. On-Policy Distillation of Language Models: Learning from Self-Generated Mistakes[C]//International Conference on Learning Representations. 2024. arXiv:2306.13649.</w:t>
      </w:r>
    </w:p>
    <w:p>
      <w:pPr>
        <w:pStyle w:val="a8"/>
        <w:jc w:val="left"/>
        <w:ind w:firstLine="420"/>
        <w:numPr>
          <w:ilvl w:val="0"/>
          <w:numId w:val="2"/>
        </w:numPr>
      </w:pPr>
      <w:r>
        <w:t>Gu Y, Dong L, Wei F, et al. MiniLLM: Knowledge Distillation of Large Language Models[C]//International Conference on Learning Representations. 2024. arXiv:2306.08543.</w:t>
      </w:r>
    </w:p>
    <w:p>
      <w:pPr>
        <w:pStyle w:val="a8"/>
        <w:jc w:val="left"/>
        <w:ind w:firstLine="420"/>
        <w:numPr>
          <w:ilvl w:val="0"/>
          <w:numId w:val="2"/>
        </w:numPr>
      </w:pPr>
      <w:r>
        <w:t>Ko J, Kim S, Chen T, et al. DistiLLM: Towards Streamlined Distillation for Large Language Models[C]//Proceedings of the 41st International Conference on Machine Learning. PMLR, 2024, 235: 24872-24895.</w:t>
      </w:r>
    </w:p>
    <w:p>
      <w:pPr>
        <w:pStyle w:val="a8"/>
        <w:jc w:val="left"/>
        <w:ind w:firstLine="420"/>
        <w:numPr>
          <w:ilvl w:val="0"/>
          <w:numId w:val="2"/>
        </w:numPr>
      </w:pPr>
      <w:r>
        <w:t>Lu K, Thinking Machines Lab. On-Policy Distillation[EB/OL]. Thinking Machines Lab: Connectionism, 2025（技术博客）. DOI:10.64434/tml.20251026.</w:t>
      </w:r>
    </w:p>
    <w:p>
      <w:pPr>
        <w:pStyle w:val="a8"/>
        <w:jc w:val="left"/>
        <w:ind w:firstLine="420"/>
        <w:numPr>
          <w:ilvl w:val="0"/>
          <w:numId w:val="2"/>
        </w:numPr>
      </w:pPr>
      <w:r>
        <w:t>Li Y, Zuo Y, He B, et al. Rethinking On-Policy Distillation of Large Language Models: Phenomenology, Mechanism, and Recipe[EB/OL]. arXiv:2604.13016v2, 2026. DOI:10.48550/arXiv.2604.13016.</w:t>
      </w:r>
    </w:p>
    <w:p>
      <w:pPr>
        <w:pStyle w:val="a8"/>
        <w:jc w:val="left"/>
        <w:ind w:firstLine="420"/>
        <w:numPr>
          <w:ilvl w:val="0"/>
          <w:numId w:val="2"/>
        </w:numPr>
      </w:pPr>
      <w:r>
        <w:t>Fu Z, He B, Zuo Y, et al. Rethinking On-Policy Distillation of Large Language Models II: One Training Example[EB/OL]. arXiv:2609.04172v1, 2026. DOI:10.48550/arXiv.2609.04172.</w:t>
      </w:r>
    </w:p>
    <w:p>
      <w:pPr>
        <w:pStyle w:val="a8"/>
        <w:jc w:val="left"/>
        <w:ind w:firstLine="420"/>
        <w:numPr>
          <w:ilvl w:val="0"/>
          <w:numId w:val="2"/>
        </w:numPr>
      </w:pPr>
      <w:r>
        <w:t>Fu Y, Huang H, Jiang K, et al. Revisiting On-Policy Distillation: Empirical Failure Modes and Simple Fixes[EB/OL]. arXiv:2603.25562v2, 2026. DOI:10.48550/arXiv.2603.25562.</w:t>
      </w:r>
    </w:p>
    <w:p>
      <w:pPr>
        <w:pStyle w:val="a8"/>
        <w:jc w:val="left"/>
        <w:ind w:firstLine="420"/>
        <w:numPr>
          <w:ilvl w:val="0"/>
          <w:numId w:val="2"/>
        </w:numPr>
      </w:pPr>
      <w:r>
        <w:t>Zhu W, Xie R, Wang R, et al. Hybrid Policy Distillation for LLMs[EB/OL]. arXiv:2604.20244v2, 2026. DOI:10.48550/arXiv.2604.20244.</w:t>
      </w:r>
    </w:p>
    <w:p>
      <w:pPr>
        <w:pStyle w:val="a8"/>
        <w:jc w:val="left"/>
        <w:ind w:firstLine="420"/>
        <w:numPr>
          <w:ilvl w:val="0"/>
          <w:numId w:val="2"/>
        </w:numPr>
      </w:pPr>
      <w:r>
        <w:t>Song M, Zheng M. A Survey of On-Policy Distillation for Large Language Models[EB/OL]. arXiv:2604.00626v4, 2026. DOI:10.48550/arXiv.2604.00626.</w:t>
      </w:r>
    </w:p>
    <w:p>
      <w:pPr>
        <w:pStyle w:val="a8"/>
        <w:jc w:val="left"/>
        <w:ind w:firstLine="420"/>
        <w:numPr>
          <w:ilvl w:val="0"/>
          <w:numId w:val="2"/>
        </w:numPr>
      </w:pPr>
      <w:r>
        <w:t>Qwen Team. Qwen3 Technical Report[EB/OL]. arXiv:2505.09388, 2025. DOI:10.48550/arXiv.2505.09388.</w:t>
      </w:r>
    </w:p>
    <w:p>
      <w:pPr>
        <w:pStyle w:val="a8"/>
        <w:jc w:val="left"/>
        <w:ind w:firstLine="420"/>
        <w:numPr>
          <w:ilvl w:val="0"/>
          <w:numId w:val="2"/>
        </w:numPr>
      </w:pPr>
      <w:r>
        <w:t>Kullback S, Leibler R A. On Information and Sufficiency[J]. The Annals of Mathematical Statistics, 1951, 22(1): 79-86. DOI:10.1214/aoms/1177729694.</w:t>
      </w:r>
    </w:p>
    <w:p>
      <w:pPr>
        <w:pStyle w:val="a8"/>
        <w:jc w:val="left"/>
        <w:ind w:firstLine="420"/>
        <w:numPr>
          <w:ilvl w:val="0"/>
          <w:numId w:val="2"/>
        </w:numPr>
      </w:pPr>
      <w:r>
        <w:t>Lin J. Divergence Measures Based on the Shannon Entropy[J]. IEEE Transactions on Information Theory, 1991, 37(1): 145-151.</w:t>
      </w:r>
    </w:p>
    <w:p>
      <w:pPr>
        <w:pStyle w:val="a8"/>
        <w:jc w:val="left"/>
        <w:ind w:firstLine="420"/>
        <w:numPr>
          <w:ilvl w:val="0"/>
          <w:numId w:val="2"/>
        </w:numPr>
      </w:pPr>
      <w:r>
        <w:t>Hu E J, Shen Y, Wallis P, et al. LoRA: Low-Rank Adaptation of Large Language Models[C]//International Conference on Learning Representations. 2022. arXiv:2106.09685.</w:t>
      </w:r>
    </w:p>
    <w:p>
      <w:pPr>
        <w:pStyle w:val="a8"/>
        <w:jc w:val="left"/>
        <w:ind w:firstLine="420"/>
        <w:numPr>
          <w:ilvl w:val="0"/>
          <w:numId w:val="2"/>
        </w:numPr>
      </w:pPr>
      <w:r>
        <w:t>Kwon W, Li Z, Zhuang S, et al. Efficient Memory Management for Large Language Model Serving with PagedAttention[C]//Proceedings of the 29th Symposium on Operating Systems Principles. ACM, 2023: 611-626. DOI:10.1145/3600006.3613165.</w:t>
      </w:r>
    </w:p>
    <w:p>
      <w:pPr>
        <w:pStyle w:val="a8"/>
        <w:jc w:val="left"/>
        <w:ind w:firstLine="420"/>
        <w:numPr>
          <w:ilvl w:val="0"/>
          <w:numId w:val="2"/>
        </w:numPr>
      </w:pPr>
      <w:r>
        <w:t>Yao S, Zhao J, Yu D, et al. ReAct: Synergizing Reasoning and Acting in Language Models[C]//International Conference on Learning Representations. 2023. arXiv:2210.03629.</w:t>
      </w:r>
    </w:p>
    <w:p>
      <w:pPr>
        <w:pStyle w:val="a8"/>
        <w:jc w:val="left"/>
        <w:ind w:firstLine="420"/>
        <w:numPr>
          <w:ilvl w:val="0"/>
          <w:numId w:val="2"/>
        </w:numPr>
      </w:pPr>
      <w:r>
        <w:t>Patil S G, Zhang T, Wang X, et al. Gorilla: Large Language Model Connected with Massive APIs[EB/OL]. arXiv:2305.15334, 2023.</w:t>
      </w:r>
    </w:p>
    <w:p>
      <w:pPr>
        <w:pStyle w:val="a8"/>
        <w:jc w:val="left"/>
        <w:ind w:firstLine="420"/>
        <w:numPr>
          <w:ilvl w:val="0"/>
          <w:numId w:val="2"/>
        </w:numPr>
      </w:pPr>
      <w:r>
        <w:t>Li M, Zhao Y, Yu B, et al. API-Bank: A Comprehensive Benchmark for Tool-Augmented LLMs[C]//Proceedings of the 2023 Conference on Empirical Methods in Natural Language Processing. ACL, 2023: 3102-3116. DOI:10.18653/v1/2023.emnlp-main.187.</w:t>
      </w:r>
    </w:p>
    <w:p>
      <w:pPr>
        <w:pStyle w:val="a8"/>
        <w:jc w:val="left"/>
        <w:ind w:firstLine="420"/>
        <w:numPr>
          <w:ilvl w:val="0"/>
          <w:numId w:val="2"/>
        </w:numPr>
      </w:pPr>
      <w:r>
        <w:t>Qin Y, Liang S, Ye Y, et al. ToolLLM: Facilitating Large Language Models to Master 16000+ Real-world APIs[EB/OL]. arXiv:2307.16789, 2023.</w:t>
      </w:r>
    </w:p>
    <w:p>
      <w:pPr>
        <w:pStyle w:val="a8"/>
        <w:jc w:val="left"/>
        <w:ind w:firstLine="420"/>
        <w:numPr>
          <w:ilvl w:val="0"/>
          <w:numId w:val="2"/>
        </w:numPr>
      </w:pPr>
      <w:r>
        <w:t>Liu Z, Hoang T, Zhang J, et al. APIGen: Automated Pipeline for Generating Verifiable and Diverse Function-Calling Datasets[C]//Advances in Neural Information Processing Systems. 2024. DOI:10.52202/079017-1725.</w:t>
      </w:r>
    </w:p>
    <w:p>
      <w:pPr>
        <w:pStyle w:val="a8"/>
        <w:jc w:val="left"/>
        <w:ind w:firstLine="420"/>
        <w:numPr>
          <w:ilvl w:val="0"/>
          <w:numId w:val="2"/>
        </w:numPr>
      </w:pPr>
      <w:r>
        <w:t>Liu W, Huang X, Zeng X, et al. ToolACE: Winning the Points of LLM Function Calling[C]//International Conference on Learning Representations. 2025. arXiv:2409.00920.</w:t>
      </w:r>
    </w:p>
    <w:p>
      <w:pPr>
        <w:pStyle w:val="a8"/>
        <w:jc w:val="left"/>
        <w:ind w:firstLine="420"/>
        <w:numPr>
          <w:ilvl w:val="0"/>
          <w:numId w:val="2"/>
        </w:numPr>
      </w:pPr>
      <w:r>
        <w:t>Patil S G, Mao H, Yan F, et al. The Berkeley Function Calling Leaderboard (BFCL): From Tool Use to Agentic Evaluation of Large Language Models[C]//Proceedings of the 42nd International Conference on Machine Learning. PMLR, 2025, 267: 48371-48392.</w:t>
      </w:r>
    </w:p>
    <w:p>
      <w:pPr>
        <w:pStyle w:val="a8"/>
        <w:jc w:val="left"/>
        <w:ind w:firstLine="420"/>
        <w:numPr>
          <w:ilvl w:val="0"/>
          <w:numId w:val="2"/>
        </w:numPr>
      </w:pPr>
      <w:r>
        <w:t>Liu X, Yu H, Zhang H, et al. AgentBench: Evaluating LLMs as Agents[C]//International Conference on Learning Representations. 2024. arXiv:2308.03688.</w:t>
      </w:r>
    </w:p>
    <w:sectPr w:rsidR="00C914EC" w:rsidRPr="00A847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84D99" w14:textId="77777777" w:rsidR="00341B2C" w:rsidRDefault="00341B2C" w:rsidP="00737F6A">
      <w:pPr>
        <w:spacing w:line="240" w:lineRule="auto"/>
      </w:pPr>
      <w:r>
        <w:separator/>
      </w:r>
    </w:p>
  </w:endnote>
  <w:endnote w:type="continuationSeparator" w:id="0">
    <w:p w14:paraId="610E68BD" w14:textId="77777777" w:rsidR="00341B2C" w:rsidRDefault="00341B2C" w:rsidP="00737F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楷体_GB2312">
    <w:altName w:val="微软雅黑"/>
    <w:charset w:val="86"/>
    <w:family w:val="modern"/>
    <w:pitch w:val="fixed"/>
    <w:sig w:usb0="00000000" w:usb1="080E0000" w:usb2="00000010" w:usb3="00000000" w:csb0="00040000" w:csb1="00000000"/>
  </w:font>
  <w:font w:name="Roman PS">
    <w:altName w:val="Times New Roman"/>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E4405" w14:textId="77777777" w:rsidR="00341B2C" w:rsidRDefault="00341B2C" w:rsidP="00737F6A">
      <w:pPr>
        <w:spacing w:line="240" w:lineRule="auto"/>
      </w:pPr>
      <w:r>
        <w:separator/>
      </w:r>
    </w:p>
  </w:footnote>
  <w:footnote w:type="continuationSeparator" w:id="0">
    <w:p w14:paraId="21EB17C7" w14:textId="77777777" w:rsidR="00341B2C" w:rsidRDefault="00341B2C" w:rsidP="00737F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2AD8"/>
    <w:multiLevelType w:val="hybridMultilevel"/>
    <w:tmpl w:val="BE5A1B1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1CB75F7"/>
    <w:multiLevelType w:val="hybridMultilevel"/>
    <w:tmpl w:val="A7BA0C28"/>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9761D5"/>
    <w:multiLevelType w:val="hybridMultilevel"/>
    <w:tmpl w:val="7452CD10"/>
    <w:lvl w:ilvl="0" w:tplc="0B3663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D7C4D94"/>
    <w:multiLevelType w:val="hybridMultilevel"/>
    <w:tmpl w:val="D5D62522"/>
    <w:lvl w:ilvl="0" w:tplc="5518F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696281"/>
    <w:multiLevelType w:val="hybridMultilevel"/>
    <w:tmpl w:val="8B9C80AC"/>
    <w:lvl w:ilvl="0" w:tplc="7A42AF48">
      <w:start w:val="1"/>
      <w:numFmt w:val="decimal"/>
      <w:lvlText w:val="图%1"/>
      <w:lvlJc w:val="left"/>
      <w:pPr>
        <w:ind w:left="840" w:hanging="420"/>
      </w:pPr>
      <w:rPr>
        <w:rFonts w:hint="eastAsia"/>
      </w:rPr>
    </w:lvl>
    <w:lvl w:ilvl="1" w:tplc="DF2AEC06">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453F55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528F7678"/>
    <w:multiLevelType w:val="hybridMultilevel"/>
    <w:tmpl w:val="71F2C0A4"/>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9931E0F"/>
    <w:multiLevelType w:val="hybridMultilevel"/>
    <w:tmpl w:val="B650B31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562B4"/>
    <w:multiLevelType w:val="hybridMultilevel"/>
    <w:tmpl w:val="E3667968"/>
    <w:lvl w:ilvl="0" w:tplc="0409000B">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9" w15:restartNumberingAfterBreak="0">
    <w:nsid w:val="69A00027"/>
    <w:multiLevelType w:val="hybridMultilevel"/>
    <w:tmpl w:val="E81657AE"/>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D2E3987"/>
    <w:multiLevelType w:val="hybridMultilevel"/>
    <w:tmpl w:val="DB029048"/>
    <w:lvl w:ilvl="0" w:tplc="FFFFFFFF">
      <w:start w:val="1"/>
      <w:numFmt w:val="decimal"/>
      <w:lvlText w:val="%1."/>
      <w:lvlJc w:val="left"/>
      <w:pPr>
        <w:ind w:left="420" w:hanging="420"/>
      </w:pPr>
    </w:lvl>
    <w:lvl w:ilvl="1" w:tplc="0409000F">
      <w:start w:val="1"/>
      <w:numFmt w:val="decimal"/>
      <w:lvlText w:val="%2."/>
      <w:lvlJc w:val="left"/>
      <w:pPr>
        <w:ind w:left="42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num w:numId="1" w16cid:durableId="602034600">
    <w:abstractNumId w:val="6"/>
  </w:num>
  <w:num w:numId="2" w16cid:durableId="1510412155">
    <w:abstractNumId w:val="3"/>
  </w:num>
  <w:num w:numId="3" w16cid:durableId="464666940">
    <w:abstractNumId w:val="9"/>
  </w:num>
  <w:num w:numId="4" w16cid:durableId="1719740891">
    <w:abstractNumId w:val="1"/>
  </w:num>
  <w:num w:numId="5" w16cid:durableId="1622999934">
    <w:abstractNumId w:val="4"/>
  </w:num>
  <w:num w:numId="6" w16cid:durableId="809707024">
    <w:abstractNumId w:val="8"/>
  </w:num>
  <w:num w:numId="7" w16cid:durableId="1165708377">
    <w:abstractNumId w:val="5"/>
  </w:num>
  <w:num w:numId="8" w16cid:durableId="438764842">
    <w:abstractNumId w:val="7"/>
  </w:num>
  <w:num w:numId="9" w16cid:durableId="1159884837">
    <w:abstractNumId w:val="2"/>
  </w:num>
  <w:num w:numId="10" w16cid:durableId="716779649">
    <w:abstractNumId w:val="0"/>
  </w:num>
  <w:num w:numId="11" w16cid:durableId="6078562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12DBD"/>
  <w15:chartTrackingRefBased/>
  <w15:docId w15:val="{993D8398-9085-451C-94BE-401669A870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2072"/>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uiPriority w:val="9"/>
    <w:qFormat/>
    <w:rsid w:val="00F04C38"/>
    <w:pPr>
      <w:keepNext/>
      <w:keepLines/>
      <w:spacing w:before="340" w:after="330" w:line="578" w:lineRule="auto"/>
      <w:outlineLvl w:val="0"/>
    </w:pPr>
    <w:rPr>
      <w:rFonts w:ascii="SimHei" w:hAnsi="SimHei" w:eastAsia="黑体" w:cs="SimHei"/>
      <w:b w:val="0"/>
      <w:bCs/>
      <w:color w:val="000000"/>
      <w:kern w:val="44"/>
      <w:sz w:val="28"/>
      <w:szCs w:val="44"/>
    </w:rPr>
  </w:style>
  <w:style w:type="paragraph" w:styleId="2">
    <w:name w:val="heading 2"/>
    <w:basedOn w:val="a"/>
    <w:next w:val="a"/>
    <w:link w:val="20"/>
    <w:uiPriority w:val="9"/>
    <w:unhideWhenUsed/>
    <w:qFormat/>
    <w:rsid w:val="00F04C38"/>
    <w:pPr>
      <w:keepNext/>
      <w:keepLines/>
      <w:spacing w:before="260" w:after="260" w:line="416" w:lineRule="auto"/>
      <w:outlineLvl w:val="1"/>
    </w:pPr>
    <w:rPr>
      <w:rFonts w:asciiTheme="majorHAnsi" w:eastAsiaTheme="majorEastAsia" w:hAnsiTheme="majorHAnsi" w:cstheme="majorBidi" w:ascii="SimHei" w:hAnsi="SimHei" w:eastAsia="黑体" w:cs="SimHei"/>
      <w:b w:val="0"/>
      <w:bCs/>
      <w:color w:val="000000"/>
      <w:sz w:val="24"/>
      <w:szCs w:val="32"/>
    </w:rPr>
  </w:style>
  <w:style w:type="paragraph" w:styleId="3">
    <w:name w:val="heading 3"/>
    <w:basedOn w:val="a"/>
    <w:next w:val="a"/>
    <w:link w:val="30"/>
    <w:uiPriority w:val="9"/>
    <w:unhideWhenUsed/>
    <w:qFormat/>
    <w:rsid w:val="00F04C38"/>
    <w:pPr>
      <w:keepNext/>
      <w:keepLines/>
      <w:spacing w:before="260" w:after="260" w:line="416" w:lineRule="auto"/>
      <w:outlineLvl w:val="2"/>
    </w:pPr>
    <w:rPr>
      <w:rFonts w:ascii="SimHei" w:hAnsi="SimHei" w:eastAsia="黑体" w:cs="SimHei"/>
      <w:b w:val="0"/>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样式 (中文) 黑体 小二 居中"/>
    <w:basedOn w:val="a"/>
    <w:rsid w:val="00A847C4"/>
    <w:pPr>
      <w:snapToGrid w:val="0"/>
      <w:spacing w:before="400" w:after="200" w:line="300" w:lineRule="auto"/>
      <w:jc w:val="center"/>
    </w:pPr>
    <w:rPr>
      <w:rFonts w:eastAsia="黑体" w:cs="宋体"/>
      <w:sz w:val="36"/>
      <w:szCs w:val="20"/>
    </w:rPr>
  </w:style>
  <w:style w:type="paragraph" w:customStyle="1" w:styleId="a4">
    <w:name w:val="节"/>
    <w:basedOn w:val="a"/>
    <w:rsid w:val="00A847C4"/>
    <w:pPr>
      <w:snapToGrid w:val="0"/>
      <w:spacing w:beforeLines="50" w:afterLines="50" w:line="300" w:lineRule="auto"/>
    </w:pPr>
    <w:rPr>
      <w:rFonts w:eastAsia="黑体"/>
      <w:sz w:val="30"/>
    </w:rPr>
  </w:style>
  <w:style w:type="paragraph" w:customStyle="1" w:styleId="a5">
    <w:name w:val="条"/>
    <w:basedOn w:val="a"/>
    <w:rsid w:val="00A847C4"/>
    <w:pPr>
      <w:snapToGrid w:val="0"/>
      <w:spacing w:beforeLines="50" w:afterLines="50" w:line="300" w:lineRule="auto"/>
    </w:pPr>
    <w:rPr>
      <w:rFonts w:eastAsia="黑体"/>
      <w:sz w:val="28"/>
    </w:rPr>
  </w:style>
  <w:style w:type="paragraph" w:customStyle="1" w:styleId="a6">
    <w:name w:val="款"/>
    <w:basedOn w:val="a"/>
    <w:rsid w:val="00A847C4"/>
    <w:pPr>
      <w:snapToGrid w:val="0"/>
      <w:spacing w:line="300" w:lineRule="auto"/>
    </w:pPr>
    <w:rPr>
      <w:rFonts w:eastAsia="黑体"/>
    </w:rPr>
  </w:style>
  <w:style w:type="paragraph" w:styleId="a7">
    <w:name w:val="Normal (Web)"/>
    <w:basedOn w:val="a"/>
    <w:uiPriority w:val="99"/>
    <w:semiHidden/>
    <w:unhideWhenUsed/>
    <w:rsid w:val="00FF6926"/>
    <w:pPr>
      <w:widowControl/>
      <w:spacing w:before="100" w:beforeAutospacing="1" w:after="100" w:afterAutospacing="1"/>
      <w:jc w:val="left"/>
    </w:pPr>
    <w:rPr>
      <w:rFonts w:ascii="宋体" w:hAnsi="宋体" w:cs="宋体"/>
      <w:kern w:val="0"/>
    </w:rPr>
  </w:style>
  <w:style w:type="paragraph" w:styleId="a8">
    <w:name w:val="List Paragraph"/>
    <w:basedOn w:val="a"/>
    <w:uiPriority w:val="34"/>
    <w:qFormat/>
    <w:rsid w:val="003A2072"/>
    <w:pPr>
      <w:ind w:firstLineChars="200" w:firstLine="420"/>
    </w:pPr>
  </w:style>
  <w:style w:type="character" w:customStyle="1" w:styleId="fontstyle01">
    <w:name w:val="fontstyle01"/>
    <w:basedOn w:val="a0"/>
    <w:rsid w:val="003A2072"/>
    <w:rPr>
      <w:rFonts w:ascii="宋体" w:eastAsia="宋体" w:hAnsi="宋体" w:hint="eastAsia"/>
      <w:b w:val="0"/>
      <w:bCs w:val="0"/>
      <w:i w:val="0"/>
      <w:iCs w:val="0"/>
      <w:color w:val="000000"/>
      <w:sz w:val="24"/>
      <w:szCs w:val="24"/>
    </w:rPr>
  </w:style>
  <w:style w:type="character" w:customStyle="1" w:styleId="fontstyle21">
    <w:name w:val="fontstyle21"/>
    <w:basedOn w:val="a0"/>
    <w:rsid w:val="003A2072"/>
    <w:rPr>
      <w:rFonts w:ascii="TimesNewRomanPSMT" w:hAnsi="TimesNewRomanPSMT" w:hint="default"/>
      <w:b w:val="0"/>
      <w:bCs w:val="0"/>
      <w:i w:val="0"/>
      <w:iCs w:val="0"/>
      <w:color w:val="000000"/>
      <w:sz w:val="24"/>
      <w:szCs w:val="24"/>
    </w:rPr>
  </w:style>
  <w:style w:type="table" w:styleId="a9">
    <w:name w:val="Table Grid"/>
    <w:basedOn w:val="a1"/>
    <w:uiPriority w:val="39"/>
    <w:rsid w:val="00F04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rsid w:val="00F04C38"/>
    <w:rPr>
      <w:rFonts w:asciiTheme="majorHAnsi" w:eastAsiaTheme="majorEastAsia" w:hAnsiTheme="majorHAnsi" w:cstheme="majorBidi"/>
      <w:b/>
      <w:bCs/>
      <w:sz w:val="30"/>
      <w:szCs w:val="32"/>
    </w:rPr>
  </w:style>
  <w:style w:type="character" w:customStyle="1" w:styleId="10">
    <w:name w:val="标题 1 字符"/>
    <w:basedOn w:val="a0"/>
    <w:link w:val="1"/>
    <w:uiPriority w:val="9"/>
    <w:rsid w:val="00F04C38"/>
    <w:rPr>
      <w:rFonts w:ascii="Times New Roman" w:eastAsia="宋体" w:hAnsi="Times New Roman" w:cs="Times New Roman"/>
      <w:b/>
      <w:bCs/>
      <w:kern w:val="44"/>
      <w:sz w:val="32"/>
      <w:szCs w:val="44"/>
    </w:rPr>
  </w:style>
  <w:style w:type="character" w:customStyle="1" w:styleId="30">
    <w:name w:val="标题 3 字符"/>
    <w:basedOn w:val="a0"/>
    <w:link w:val="3"/>
    <w:uiPriority w:val="9"/>
    <w:rsid w:val="00F04C38"/>
    <w:rPr>
      <w:rFonts w:ascii="Times New Roman" w:eastAsia="宋体" w:hAnsi="Times New Roman" w:cs="Times New Roman"/>
      <w:b/>
      <w:bCs/>
      <w:sz w:val="28"/>
      <w:szCs w:val="32"/>
    </w:rPr>
  </w:style>
  <w:style w:type="paragraph" w:styleId="aa">
    <w:name w:val="header"/>
    <w:basedOn w:val="a"/>
    <w:link w:val="ab"/>
    <w:uiPriority w:val="99"/>
    <w:unhideWhenUsed/>
    <w:rsid w:val="00737F6A"/>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737F6A"/>
    <w:rPr>
      <w:rFonts w:ascii="Times New Roman" w:eastAsia="宋体" w:hAnsi="Times New Roman" w:cs="Times New Roman"/>
      <w:sz w:val="18"/>
      <w:szCs w:val="18"/>
    </w:rPr>
  </w:style>
  <w:style w:type="paragraph" w:styleId="ac">
    <w:name w:val="footer"/>
    <w:basedOn w:val="a"/>
    <w:link w:val="ad"/>
    <w:uiPriority w:val="99"/>
    <w:unhideWhenUsed/>
    <w:rsid w:val="00737F6A"/>
    <w:pPr>
      <w:tabs>
        <w:tab w:val="center" w:pos="4153"/>
        <w:tab w:val="right" w:pos="8306"/>
      </w:tabs>
      <w:snapToGrid w:val="0"/>
      <w:spacing w:line="240" w:lineRule="auto"/>
      <w:jc w:val="left"/>
    </w:pPr>
    <w:rPr>
      <w:sz w:val="18"/>
      <w:szCs w:val="18"/>
    </w:rPr>
  </w:style>
  <w:style w:type="character" w:customStyle="1" w:styleId="ad">
    <w:name w:val="页脚 字符"/>
    <w:basedOn w:val="a0"/>
    <w:link w:val="ac"/>
    <w:uiPriority w:val="99"/>
    <w:rsid w:val="00737F6A"/>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040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4559</TotalTime>
  <Pages>9</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董 睿璞</dc:creator>
  <cp:keywords/>
  <dc:description/>
  <cp:lastModifiedBy>Hu Mengkang</cp:lastModifiedBy>
  <cp:revision>8</cp:revision>
  <dcterms:created xsi:type="dcterms:W3CDTF">2022-10-09T10:38:00Z</dcterms:created>
  <dcterms:modified xsi:type="dcterms:W3CDTF">2022-10-24T07:37:00Z</dcterms:modified>
</cp:coreProperties>
</file>