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F4E8FC">
      <w:pPr>
        <w:spacing w:before="78" w:after="78"/>
        <w:jc w:val="left"/>
        <w:rPr>
          <w:spacing w:val="40"/>
        </w:rPr>
      </w:pPr>
      <w:r>
        <w:rPr>
          <w:rFonts w:hint="eastAsia" w:hAnsi="宋体"/>
          <w:spacing w:val="40"/>
        </w:rPr>
        <w:t>附件</w:t>
      </w:r>
      <w:r>
        <w:rPr>
          <w:spacing w:val="40"/>
        </w:rPr>
        <w:t>2</w:t>
      </w:r>
      <w:r>
        <w:rPr>
          <w:rFonts w:hint="eastAsia" w:hAnsi="宋体"/>
          <w:spacing w:val="40"/>
        </w:rPr>
        <w:t>：</w:t>
      </w:r>
    </w:p>
    <w:p w14:paraId="1F9AC0F9">
      <w:pPr>
        <w:spacing w:before="78" w:after="78"/>
        <w:ind w:firstLine="883"/>
        <w:jc w:val="center"/>
        <w:rPr>
          <w:rFonts w:eastAsia="楷体_GB2312"/>
          <w:b/>
          <w:spacing w:val="40"/>
          <w:sz w:val="36"/>
        </w:rPr>
      </w:pPr>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rPr>
        <w:t>待填写</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rPr>
        <w:t>待填写</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待填写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rPr>
        <w:t>待填写</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待填写         </w:t>
      </w:r>
    </w:p>
    <w:p w14:paraId="444931B1">
      <w:pPr>
        <w:pStyle w:val="2"/>
      </w:pPr>
      <w:r>
        <w:rPr>
          <w:rFonts w:ascii="黑体" w:hAnsi="黑体" w:eastAsia="黑体" w:cs="黑体"/>
          <w:b/>
          <w:color w:val="000000"/>
          <w:sz w:val="28"/>
        </w:rPr>
        <w:t>1．课题来源及研究的目的和意义</w:t>
      </w:r>
    </w:p>
    <w:p w14:paraId="5244ADAC">
      <w:pPr>
        <w:pStyle w:val="3"/>
      </w:pPr>
      <w:r>
        <w:rPr>
          <w:rFonts w:ascii="黑体" w:hAnsi="黑体" w:eastAsia="黑体" w:cs="黑体"/>
          <w:b/>
          <w:color w:val="000000"/>
          <w:sz w:val="24"/>
        </w:rPr>
        <w:t>1.1 课题来源</w:t>
      </w:r>
    </w:p>
    <w:p w14:paraId="0068B391">
      <w:pPr>
        <w:ind w:firstLine="420"/>
        <w:jc w:val="both"/>
      </w:pPr>
      <w:r>
        <w:t>本课题来源于大语言模型后训练和工具增强应用的发展需求，研究对象为在线策略蒸馏（On-Policy Distillation，OPD）。根据任务要求，课题将在学生模型自身生成的状态上引入教师模型的密集反馈，比较不同 KL 散度方向和不同监督信息粒度对训练效果、稳定性与资源开销的影响，并通过可交互系统验证模型的实际能力。</w:t>
      </w:r>
    </w:p>
    <w:p w14:paraId="4589AFE8">
      <w:pPr>
        <w:ind w:firstLine="420"/>
        <w:jc w:val="both"/>
      </w:pPr>
      <w:r>
        <w:t>本课题以 Qwen3-0.6B 为学生模型，采用 LoRA 进行后训练；以 Qwen3-4B 为冻结教师模型；训练数据从公开 Function Calling 数据中选择；按照任务要求比较 Forward KL、Reverse KL、广义散度，以及全词表、Top-K、K1 sampled-token 三种监督方案；最终使用 vLLM 或自建测试程序完成推理性能验证。数据准备阶段统一记录数据集名称、版本、许可证、划分方式和模型版本。</w:t>
      </w:r>
    </w:p>
    <w:p w14:paraId="38DF9D6D">
      <w:pPr>
        <w:pStyle w:val="3"/>
      </w:pPr>
      <w:r>
        <w:rPr>
          <w:rFonts w:ascii="黑体" w:hAnsi="黑体" w:eastAsia="黑体" w:cs="黑体"/>
          <w:b/>
          <w:color w:val="000000"/>
          <w:sz w:val="24"/>
        </w:rPr>
        <w:t>1.2 研究背景</w:t>
      </w:r>
    </w:p>
    <w:p w14:paraId="1E7E09AB">
      <w:pPr>
        <w:ind w:firstLine="420"/>
        <w:jc w:val="both"/>
      </w:pPr>
      <w:r>
        <w:t>大语言模型先通过大规模预训练学习语言规律和知识表示，再通过后训练获得指令遵循、结构化输出、推理和工具使用能力。知识蒸馏以教师模型的软分布为学生提供比硬标签更丰富的训练信号，Hinton 等人讨论了温度和软目标的基本思想[1]；序列级知识蒸馏则使用教师生成的序列训练学生[2]。这种信号的收益取决于任务、教师和训练协议，训练数据或教师轨迹与学生推理时实际访问的状态也可能不一致。</w:t>
      </w:r>
    </w:p>
    <w:p w14:paraId="4CD1AD20">
      <w:pPr>
        <w:ind w:firstLine="420"/>
        <w:jc w:val="both"/>
      </w:pPr>
      <w:r>
        <w:t>Function Calling 是大语言模型按照结构化接口调用外部函数的重要形式。Gorilla/APIBench 关注 API 文档理解、函数选择和参数正确性[22]；API-Bank 将工具检索、调用规划和执行结果纳入统一基准[23]。相关研究表明，Function Calling 能力可以分解为函数选择、结构化参数生成、调用顺序和执行结果等环节，为后训练方法的性能分析提供了明确任务载体。</w:t>
      </w:r>
    </w:p>
    <w:p w14:paraId="17F46F4A">
      <w:pPr>
        <w:ind w:firstLine="420"/>
        <w:jc w:val="both"/>
      </w:pPr>
      <w:r>
        <w:t>Function Calling 具有较清晰的自动评测条件。给定用户请求、候选函数和调用 schema，可以分别检查函数名称、输出结构、参数键值、类型约束和执行结果。BFCL 将评测扩展到串行调用、并行调用和拒答场景，并采用结构匹配等方法分析函数调用正确性[27]。因此，本课题可以将 token 级分布匹配与端到端任务性能联系起来。</w:t>
      </w:r>
    </w:p>
    <w:p w14:paraId="02610039">
      <w:pPr>
        <w:ind w:firstLine="420"/>
        <w:jc w:val="both"/>
      </w:pPr>
      <w:r>
        <w:t>从任务形式看，为便于本课题评测，本文将 Function Calling 拆分为意图与工具选择、结构化参数生成、schema 约束、工具执行和多轮任务完成等环节。由此，同一条样本可以在不同层面失败：意图理解正确但函数选择错误，函数选择正确但参数缺失，参数结构正确但值不符合约束，或者一次调用正确但多轮任务没有完成；这种拆分与已有工具调用基准的评测维度相近[23][27]。</w:t>
      </w:r>
    </w:p>
    <w:p w14:paraId="7AD88161">
      <w:pPr>
        <w:ind w:firstLine="420"/>
        <w:jc w:val="both"/>
      </w:pPr>
      <w:r>
        <w:t>数据准备阶段将根据公开数据的实际字段，统计单轮调用、多工具候选、并行调用、多轮工具结果和无适用工具等任务类型。训练集、验证集和测试集按照工具 schema、问题模板与数据来源进行隔离，减少相近样本造成的信息泄漏。</w:t>
      </w:r>
    </w:p>
    <w:p w14:paraId="7D373851">
      <w:pPr>
        <w:pStyle w:val="3"/>
      </w:pPr>
      <w:r>
        <w:rPr>
          <w:rFonts w:ascii="黑体" w:hAnsi="黑体" w:eastAsia="黑体" w:cs="黑体"/>
          <w:b/>
          <w:color w:val="000000"/>
          <w:sz w:val="24"/>
        </w:rPr>
        <w:t>1.3 传统后训练方法的局限</w:t>
      </w:r>
    </w:p>
    <w:p w14:paraId="671E03D8">
      <w:pPr>
        <w:ind w:firstLine="420"/>
        <w:jc w:val="both"/>
      </w:pPr>
      <w:r>
        <w:t>监督微调使用给定的输入—输出样本直接最大化参考答案概率，训练稳定、实现成熟，但学生在推理时可能生成与示范不同的前缀，之后访问到的状态未必被训练数据覆盖。Huszár 对自回归生成训练目标和 scheduled sampling 的分析说明，训练分布与生成分布之间的差异会影响目标的一致性[5]。DAgger 通过在学生策略访问的状态上请求专家动作，缓解模仿学习中的分布偏移[3]；ImitKD 将自回归蒸馏和模仿学习联系起来[4]。这些工作为 OPD 提供了理论动机。</w:t>
      </w:r>
    </w:p>
    <w:p w14:paraId="29AB85EA">
      <w:pPr>
        <w:ind w:firstLine="420"/>
        <w:jc w:val="both"/>
      </w:pPr>
      <w:r>
        <w:t>强化学习和偏好优化分别依赖环境奖励与回答偏好，训练信号均不同于本课题的 token 分布监督。因此，本课题把强化学习和偏好优化作为背景，不把它们的训练协议并入主比较。</w:t>
      </w:r>
    </w:p>
    <w:p w14:paraId="2F69CA9E">
      <w:pPr>
        <w:ind w:firstLine="420"/>
        <w:jc w:val="both"/>
      </w:pPr>
      <w:r>
        <w:t>传统离线蒸馏可以向学生提供教师分布或教师生成答案，但教师始终在自身状态上生成时，学生在错误前缀上的恢复能力较难得到训练。OPD 让学生先生成自身轨迹，再由教师在学生访问到的前缀上提供反馈，使训练状态更接近部署时的状态[7][10]。本课题将围绕师生能力差距、模板兼容性、散度方向和监督信息粒度分析这一机制在 Function Calling 中的表现。</w:t>
      </w:r>
    </w:p>
    <w:p w14:paraId="0A73208C">
      <w:pPr>
        <w:pStyle w:val="3"/>
      </w:pPr>
      <w:r>
        <w:rPr>
          <w:rFonts w:ascii="黑体" w:hAnsi="黑体" w:eastAsia="黑体" w:cs="黑体"/>
          <w:b/>
          <w:color w:val="000000"/>
          <w:sz w:val="24"/>
        </w:rPr>
        <w:t>1.4 在线策略蒸馏的研究价值</w:t>
      </w:r>
    </w:p>
    <w:p w14:paraId="40480C2B">
      <w:pPr>
        <w:ind w:firstLine="420"/>
        <w:jc w:val="both"/>
      </w:pPr>
      <w:r>
        <w:t>设学生策略为 πθ，教师策略为 πφ。给定用户输入 x，学生按照自身策略生成 (y₁:T)，教师在前缀 ((x,y(&lt;t))) 上给出下一 token 的分布或局部评分，学生根据分布差异更新参数。与只使用教师示范的离线方法相比，OPD 关注学生真实会访问的状态；与只依赖任务奖励的强化学习相比，教师分布可以提供更密集的 token 级信号。</w:t>
      </w:r>
    </w:p>
    <w:p w14:paraId="7C4751C1">
      <w:pPr>
        <w:ind w:firstLine="420"/>
        <w:jc w:val="both"/>
      </w:pPr>
      <w:r>
        <w:t>GKD 研究了从学生自生成错误中学习的在线蒸馏[7]；MiniLLM 以 Reverse KL 和序列级目标为重要组成部分[8]；DistiLLM 讨论了 skew KL 和学生样本复用[9]。相关研究还从现象、状态覆盖、教师兼容性、Top-K 支持和失败模式等角度分析 OPD[11][12][13]，并提出混合策略或效率改进方向[14]。综述工作将 OPD 归纳为不同优化对象、监督信号来源和稳定化方式的组合[15]。</w:t>
      </w:r>
    </w:p>
    <w:p w14:paraId="20DA6477">
      <w:pPr>
        <w:ind w:firstLine="420"/>
        <w:jc w:val="both"/>
      </w:pPr>
      <w:r>
        <w:t>本课题将上述变量置于统一的应用条件中考察：学生模型为 Qwen3-0.6B，教师模型为 Qwen3-4B，学生采用 LoRA，任务为 Function Calling，主要比较散度方向和监督信息粒度。各组保持模型规模、任务类型、训练预算和评测规则一致，以突出蒸馏方法本身的差异。</w:t>
      </w:r>
    </w:p>
    <w:p w14:paraId="48D0F5F1">
      <w:pPr>
        <w:ind w:firstLine="420"/>
        <w:jc w:val="both"/>
      </w:pPr>
      <w:r>
        <w:t>Function Calling 为分析 OPD 训练机制提供了多层指标。函数名和参数具有明确的结构约束，既可以分析教师监督在 token 分布层的传递效果，也可以统计结构化输出层的函数与参数正确率，还可以通过实际调用结果衡量任务完成情况。不同层次的指标共同用于解释蒸馏方法在效果与效率上的差异。</w:t>
      </w:r>
    </w:p>
    <w:p w14:paraId="59356753">
      <w:pPr>
        <w:pStyle w:val="3"/>
      </w:pPr>
      <w:r>
        <w:rPr>
          <w:rFonts w:ascii="黑体" w:hAnsi="黑体" w:eastAsia="黑体" w:cs="黑体"/>
          <w:b/>
          <w:color w:val="000000"/>
          <w:sz w:val="24"/>
        </w:rPr>
        <w:t>1.5 研究目的和意义</w:t>
      </w:r>
    </w:p>
    <w:p w14:paraId="58E876DD">
      <w:pPr>
        <w:ind w:firstLine="420"/>
        <w:jc w:val="both"/>
      </w:pPr>
      <w:r>
        <w:t>本课题的研究目的如下：</w:t>
      </w:r>
    </w:p>
    <w:p w14:paraId="6FA8B508">
      <w:pPr>
        <w:pStyle w:val="15"/>
        <w:ind w:firstLine="420"/>
        <w:jc w:val="left"/>
      </w:pPr>
      <w:r>
        <w:t>1. 梳理离线蒸馏、在线策略蒸馏、KL 散度和工具增强模型的研究脉络，明确 OPD 在 Function Calling 中的研究问题。</w:t>
      </w:r>
    </w:p>
    <w:p w14:paraId="6CEC8EBA">
      <w:pPr>
        <w:pStyle w:val="15"/>
        <w:ind w:firstLine="420"/>
        <w:jc w:val="left"/>
      </w:pPr>
      <w:r>
        <w:t>2. 在统一的 OPD 后训练流程下比较主要散度方向与监督信息粒度/估计方式，具体候选矩阵见第3、4节。</w:t>
      </w:r>
    </w:p>
    <w:p w14:paraId="1582C878">
      <w:pPr>
        <w:pStyle w:val="15"/>
        <w:ind w:firstLine="420"/>
        <w:jc w:val="left"/>
      </w:pPr>
      <w:r>
        <w:t>3. 从任务正确率、训练稳定性、分布变化和资源开销分析方法差异，并在 vLLM 或自建测试程序中测量推理吞吐、延迟和端到端调用成功率。</w:t>
      </w:r>
    </w:p>
    <w:p w14:paraId="1280B22F">
      <w:pPr>
        <w:ind w:firstLine="420"/>
        <w:jc w:val="both"/>
      </w:pPr>
      <w:r>
        <w:t>理论上，本课题将学生状态分布、散度方向和教师监督支持集作为三个可分析因素，补充 Function Calling 场景下的 OPD 研究。应用上，研究较小模型经 LoRA 后训练获得工具调用能力的可行性，并考察稀疏监督在模型效果与教师反馈开销之间的权衡，为低延迟、低成本和本地部署场景提供参考。</w:t>
      </w:r>
    </w:p>
    <w:p w14:paraId="486FC300">
      <w:pPr>
        <w:pStyle w:val="2"/>
      </w:pPr>
      <w:r>
        <w:rPr>
          <w:rFonts w:ascii="黑体" w:hAnsi="黑体" w:eastAsia="黑体" w:cs="黑体"/>
          <w:b/>
          <w:color w:val="000000"/>
          <w:sz w:val="28"/>
        </w:rPr>
        <w:t>2．国内外在该方向的研究现状及分析</w:t>
      </w:r>
    </w:p>
    <w:p w14:paraId="4756E8EE">
      <w:pPr>
        <w:pStyle w:val="3"/>
      </w:pPr>
      <w:r>
        <w:rPr>
          <w:rFonts w:ascii="黑体" w:hAnsi="黑体" w:eastAsia="黑体" w:cs="黑体"/>
          <w:b/>
          <w:color w:val="000000"/>
          <w:sz w:val="24"/>
        </w:rPr>
        <w:t>2.1 大语言模型后训练和知识蒸馏</w:t>
      </w:r>
    </w:p>
    <w:p w14:paraId="63C19B99">
      <w:pPr>
        <w:ind w:firstLine="420"/>
        <w:jc w:val="both"/>
      </w:pPr>
      <w:r>
        <w:t xml:space="preserve">大语言模型完成预训练后，还需要通过后训练把通用的下一个 token 预测能力转化为指令遵循、结构化生成和任务决策能力。若按训练信号的来源区分，常见路线包括监督微调、知识蒸馏、偏好优化和强化学习：监督微调使用人工或教师整理的目标序列，知识蒸馏直接利用教师模型的输出信息，偏好优化依据回答之间的相对偏好，强化学习则根据环境或任务奖励更新策略。几类方法可以组合使用，但它们对“训练状态从何而来”和“模型在什么信号上更新”给出了不同答案。SFT 与序列级蒸馏便于构造稳定的结构化训练样本，同时也可能使学生在训练时看到的参考前缀与推理时自行生成的前缀不一致[1][2][5]。因此，本文不只按照方法名称分类，还将训练状态和监督对象纳入比较。</w:t>
      </w:r>
    </w:p>
    <w:p w14:paraId="79D4A854">
      <w:pPr>
        <w:ind w:firstLine="420"/>
        <w:jc w:val="both"/>
      </w:pPr>
      <w:r>
        <w:t xml:space="preserve">知识蒸馏所传递的不只是教师给出的最终答案，更重要的是教师对候选输出的相对判断。设某一位置上的教师分布为 p、学生分布为 q，训练目标通常用二者之间的距离或散度表示。与 one-hot 标签相比，软分布能够保留多个候选 token 的概率关系，例如哪些输出同样合理、哪些错误比另一些错误更接近教师判断。这类信息在类别有限的任务中较直观，在自回归生成中却会受到前缀状态、采样策略、序列长度和有效位置 Mask 的共同影响。f-divergence 提供了统一描述多种分布差异的视角，也为理解序列级蒸馏中不同目标的行为提供了理论工具[6]。</w:t>
      </w:r>
    </w:p>
    <w:p w14:paraId="582869BE">
      <w:pPr>
        <w:ind w:firstLine="420"/>
        <w:jc w:val="both"/>
      </w:pPr>
      <w:r>
        <w:t xml:space="preserve">若把训练状态的来源与反馈形式放在同一框架中，几类后训练方法之间的差别可以概括如下：</w:t>
      </w:r>
    </w:p>
    <w:p w14:paraId="5A36676E">
      <w:pPr>
        <w:ind w:firstLine="420"/>
        <w:jc w:val="both"/>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 xml:space="preserve">方法类型</w:t>
            </w:r>
          </w:p>
        </w:tc>
        <w:tc>
          <w:tcPr>
            <w:tcW w:w="4148" w:type="dxa"/>
          </w:tcPr>
          <w:p w14:paraId="30076F5E">
            <w:pPr>
              <w:ind w:firstLine="0"/>
              <w:jc w:val="left"/>
            </w:pPr>
            <w:r>
              <w:rPr>
                <w:b/>
              </w:rPr>
              <w:t xml:space="preserve">训练状态的来源</w:t>
            </w:r>
          </w:p>
        </w:tc>
        <w:tc>
          <w:tcPr>
            <w:tcW w:w="4148" w:type="dxa"/>
          </w:tcPr>
          <w:p w14:paraId="3D0E28BB">
            <w:pPr>
              <w:ind w:firstLine="0"/>
              <w:jc w:val="left"/>
            </w:pPr>
            <w:r>
              <w:rPr>
                <w:b/>
              </w:rPr>
              <w:t xml:space="preserve">监督信号或奖励</w:t>
            </w:r>
          </w:p>
        </w:tc>
        <w:tc>
          <w:tcPr>
            <w:tcW w:w="4148" w:type="dxa"/>
          </w:tcPr>
          <w:p w14:paraId="167F5C97">
            <w:pPr>
              <w:ind w:firstLine="0"/>
              <w:jc w:val="left"/>
            </w:pPr>
            <w:r>
              <w:rPr>
                <w:b/>
              </w:rPr>
              <w:t xml:space="preserve">与本课题的关系</w:t>
            </w:r>
          </w:p>
        </w:tc>
      </w:tr>
      <w:tr w14:paraId="02C0E921">
        <w:tc>
          <w:tcPr>
            <w:tcW w:w="4148" w:type="dxa"/>
          </w:tcPr>
          <w:p w14:paraId="2AED74AE">
            <w:pPr>
              <w:ind w:firstLine="0"/>
              <w:jc w:val="left"/>
            </w:pPr>
            <w:r>
              <w:t xml:space="preserve">SFT/离线蒸馏</w:t>
            </w:r>
          </w:p>
        </w:tc>
        <w:tc>
          <w:tcPr>
            <w:tcW w:w="4148" w:type="dxa"/>
          </w:tcPr>
          <w:p w14:paraId="1D0C6309">
            <w:pPr>
              <w:ind w:firstLine="0"/>
              <w:jc w:val="left"/>
            </w:pPr>
            <w:r>
              <w:t xml:space="preserve">人工数据或教师示范形成的前缀</w:t>
            </w:r>
          </w:p>
        </w:tc>
        <w:tc>
          <w:tcPr>
            <w:tcW w:w="4148" w:type="dxa"/>
          </w:tcPr>
          <w:p w14:paraId="66CED08E">
            <w:pPr>
              <w:ind w:firstLine="0"/>
              <w:jc w:val="left"/>
            </w:pPr>
            <w:r>
              <w:t xml:space="preserve">硬标签、教师序列或软分布</w:t>
            </w:r>
          </w:p>
        </w:tc>
        <w:tc>
          <w:tcPr>
            <w:tcW w:w="4148" w:type="dxa"/>
          </w:tcPr>
          <w:p w14:paraId="12C21A15">
            <w:pPr>
              <w:ind w:firstLine="0"/>
              <w:jc w:val="left"/>
            </w:pPr>
            <w:r>
              <w:t xml:space="preserve">作为分析分布偏移的基础对照</w:t>
            </w:r>
          </w:p>
        </w:tc>
      </w:tr>
      <w:tr w14:paraId="72F129EE">
        <w:tc>
          <w:tcPr>
            <w:tcW w:w="4148" w:type="dxa"/>
          </w:tcPr>
          <w:p w14:paraId="1394DE27">
            <w:pPr>
              <w:ind w:firstLine="0"/>
              <w:jc w:val="left"/>
            </w:pPr>
            <w:r>
              <w:t xml:space="preserve">模仿学习式蒸馏</w:t>
            </w:r>
          </w:p>
        </w:tc>
        <w:tc>
          <w:tcPr>
            <w:tcW w:w="4148" w:type="dxa"/>
          </w:tcPr>
          <w:p w14:paraId="12DC5B34">
            <w:pPr>
              <w:ind w:firstLine="0"/>
              <w:jc w:val="left"/>
            </w:pPr>
            <w:r>
              <w:t xml:space="preserve">学生策略访问到的部分状态</w:t>
            </w:r>
          </w:p>
        </w:tc>
        <w:tc>
          <w:tcPr>
            <w:tcW w:w="4148" w:type="dxa"/>
          </w:tcPr>
          <w:p w14:paraId="4256DCDE">
            <w:pPr>
              <w:ind w:firstLine="0"/>
              <w:jc w:val="left"/>
            </w:pPr>
            <w:r>
              <w:t xml:space="preserve">专家动作或教师反馈</w:t>
            </w:r>
          </w:p>
        </w:tc>
        <w:tc>
          <w:tcPr>
            <w:tcW w:w="4148" w:type="dxa"/>
          </w:tcPr>
          <w:p w14:paraId="7B6D34ED">
            <w:pPr>
              <w:ind w:firstLine="0"/>
              <w:jc w:val="left"/>
            </w:pPr>
            <w:r>
              <w:t xml:space="preserve">说明在学生状态上提供监督的必要性</w:t>
            </w:r>
          </w:p>
        </w:tc>
      </w:tr>
      <w:tr w14:paraId="0AEBC808">
        <w:tc>
          <w:tcPr>
            <w:tcW w:w="4148" w:type="dxa"/>
          </w:tcPr>
          <w:p w14:paraId="5626CA6B">
            <w:pPr>
              <w:ind w:firstLine="0"/>
              <w:jc w:val="left"/>
            </w:pPr>
            <w:r>
              <w:t xml:space="preserve">OPD</w:t>
            </w:r>
          </w:p>
        </w:tc>
        <w:tc>
          <w:tcPr>
            <w:tcW w:w="4148" w:type="dxa"/>
          </w:tcPr>
          <w:p w14:paraId="4A297CA7">
            <w:pPr>
              <w:ind w:firstLine="0"/>
              <w:jc w:val="left"/>
            </w:pPr>
            <w:r>
              <w:t xml:space="preserve">学生模型在线生成的轨迹</w:t>
            </w:r>
          </w:p>
        </w:tc>
        <w:tc>
          <w:tcPr>
            <w:tcW w:w="4148" w:type="dxa"/>
          </w:tcPr>
          <w:p w14:paraId="26ADA3E2">
            <w:pPr>
              <w:ind w:firstLine="0"/>
              <w:jc w:val="left"/>
            </w:pPr>
            <w:r>
              <w:t xml:space="preserve">教师 token 分布或 log-prob</w:t>
            </w:r>
          </w:p>
        </w:tc>
        <w:tc>
          <w:tcPr>
            <w:tcW w:w="4148" w:type="dxa"/>
          </w:tcPr>
          <w:p w14:paraId="11E7E14B">
            <w:pPr>
              <w:ind w:firstLine="0"/>
              <w:jc w:val="left"/>
            </w:pPr>
            <w:r>
              <w:t xml:space="preserve">本课题重点比较的训练框架</w:t>
            </w:r>
          </w:p>
        </w:tc>
      </w:tr>
      <w:tr w14:paraId="6867B21F">
        <w:tc>
          <w:tcPr>
            <w:tcW w:w="4148" w:type="dxa"/>
          </w:tcPr>
          <w:p w14:paraId="1C6E59DC">
            <w:pPr>
              <w:ind w:firstLine="0"/>
              <w:jc w:val="left"/>
            </w:pPr>
            <w:r>
              <w:t xml:space="preserve">偏好优化/RL</w:t>
            </w:r>
          </w:p>
        </w:tc>
        <w:tc>
          <w:tcPr>
            <w:tcW w:w="4148" w:type="dxa"/>
          </w:tcPr>
          <w:p w14:paraId="5BFE3E11">
            <w:pPr>
              <w:ind w:firstLine="0"/>
              <w:jc w:val="left"/>
            </w:pPr>
            <w:r>
              <w:t xml:space="preserve">在线采样或离线偏好数据中的状态</w:t>
            </w:r>
          </w:p>
        </w:tc>
        <w:tc>
          <w:tcPr>
            <w:tcW w:w="4148" w:type="dxa"/>
          </w:tcPr>
          <w:p w14:paraId="4B2F00AC">
            <w:pPr>
              <w:ind w:firstLine="0"/>
              <w:jc w:val="left"/>
            </w:pPr>
            <w:r>
              <w:t xml:space="preserve">偏好关系或环境/任务奖励</w:t>
            </w:r>
          </w:p>
        </w:tc>
        <w:tc>
          <w:tcPr>
            <w:tcW w:w="4148" w:type="dxa"/>
          </w:tcPr>
          <w:p w14:paraId="75606103">
            <w:pPr>
              <w:ind w:firstLine="0"/>
              <w:jc w:val="left"/>
            </w:pPr>
            <w:r>
              <w:t xml:space="preserve">用于区分密集蒸馏信号与稀疏奖励</w:t>
            </w:r>
          </w:p>
        </w:tc>
      </w:tr>
    </w:tbl>
    <w:p w14:paraId="43527EF3">
      <w:pPr>
        <w:ind w:firstLine="420" w:firstLineChars="0"/>
        <w:jc w:val="both"/>
      </w:pPr>
      <w:r>
        <w:t xml:space="preserve">在实际训练流程中，上述方法往往不是彼此排斥的。例如，可以先用 SFT 建立基本的指令遵循和格式能力，再通过 OPD 让教师在学生真实访问的状态上提供反馈；也可以在蒸馏信号之外加入任务奖励。为了避免同时改变过多变量，本课题把研究范围限定在 LoRA-OPD 路线上，重点考察学生策略采样、教师分布反馈、散度方向与监督信息粒度。RLHF、DPO 等方法用于说明其他后训练信号与蒸馏信号的区别，不进入主要实验矩阵。</w:t>
      </w:r>
    </w:p>
    <w:p w14:paraId="0CA6A73A">
      <w:pPr>
        <w:spacing w:before="0" w:after="0" w:line="360" w:lineRule="auto"/>
        <w:ind w:firstLine="420"/>
        <w:jc w:val="both"/>
      </w:pPr>
      <w:r>
        <w:rPr>
          <w:rFonts w:ascii="Times New Roman" w:hAnsi="Times New Roman" w:eastAsia="宋体"/>
          <w:sz w:val="24"/>
        </w:rPr>
        <w:t xml:space="preserve">经典知识蒸馏通常在固定输入上匹配教师的软分布，并通过温度缩放显露类别之间的相对关系[1]。当研究对象转向序列生成后，仅比较单个位置的输出已经不足以描述整条序列的学习过程。Kim 和 Rush 因此将蒸馏推进到序列级，用教师生成的序列替代或补充原始目标[2]。这两类方法建立了从 token 分布到完整序列的蒸馏思路，但它们通常仍在固定语料或教师生成轨迹上训练。学生部署时会沿着自己的预测逐步推进，一旦前文出现偏差，后续访问的状态就可能离开训练数据覆盖的范围。因此，序列级目标扩展了监督单位，却没有自动消除训练前缀与学生生成前缀之间的差异。</w:t>
      </w:r>
    </w:p>
    <w:p w14:paraId="4D703704">
      <w:pPr>
        <w:spacing w:before="0" w:after="0" w:line="360" w:lineRule="auto"/>
        <w:ind w:firstLine="420"/>
        <w:jc w:val="both"/>
      </w:pPr>
      <w:r>
        <w:rPr>
          <w:rFonts w:ascii="Times New Roman" w:hAnsi="Times New Roman" w:eastAsia="宋体"/>
          <w:sz w:val="24"/>
        </w:rPr>
        <w:t xml:space="preserve">Huszár 对 scheduled sampling 的分析指出，如果训练目标混合了来源不同的前缀，却没有明确对应的概率目标，模型学习到的分布可能与部署时的生成过程不一致[5]。模仿学习中的 DAgger 提供了另一条处理思路：让学习器按照自身策略访问状态，再由专家对这些状态给出监督，从而减轻早期错误造成的后续分布偏移[3]。ImitKD 将这一思想用于神经机器翻译，在学生生成的状态上查询教师并开展交互式蒸馏[4]。沿着这条脉络，在线策略蒸馏的价值并不只是调用更强的教师，而是把反馈放到学生确实会遇到的序列状态中，使训练覆盖更接近模型实际推理时的状态分布。</w:t>
      </w:r>
    </w:p>
    <w:p w14:paraId="24D76E42">
      <w:pPr>
        <w:pStyle w:val="3"/>
      </w:pPr>
      <w:r>
        <w:rPr>
          <w:rFonts w:ascii="黑体" w:hAnsi="黑体" w:eastAsia="黑体" w:cs="黑体"/>
          <w:b/>
          <w:color w:val="000000"/>
          <w:sz w:val="24"/>
        </w:rPr>
        <w:t>2.2 分布偏移与在线策略蒸馏</w:t>
      </w:r>
    </w:p>
    <w:p w14:paraId="7027805E">
      <w:pPr>
        <w:ind w:firstLine="420"/>
        <w:jc w:val="both"/>
      </w:pPr>
      <w:r>
        <w:t xml:space="preserve">自回归模型在训练和推理阶段面对的前缀来源并不相同。训练数据通常给出正确或教师生成的历史序列，而推理阶段的每一步都建立在模型先前的预测上；一个较早的错误可能把后续生成带入训练数据没有覆盖的状态。DAgger 通过在学习器访问到的状态上查询专家动作来处理这种分布偏移[3]，ImitKD 随后把这一思想用于自回归知识蒸馏[4]。OPD 与其一脉相承，不过教师提供的不再只是单个离散动作，而可以是下一 token 的完整概率分布、截断分布或相应的 log-prob。</w:t>
      </w:r>
    </w:p>
    <w:p w14:paraId="6D834263">
      <w:pPr>
        <w:ind w:firstLine="420"/>
        <w:jc w:val="both"/>
      </w:pPr>
      <w:r>
        <w:t xml:space="preserve">围绕这一训练方式，已有工作从不同角度给出了代表性方案。GKD 让学生生成训练轨迹，再针对这些轨迹中的状态接受教师监督，并系统比较生成方式和散度设置[7]；MiniLLM 从序列级优化出发讨论 Reverse KL 及其模式选择特性[8]；DistiLLM 则利用 skew KL 和样本复用，在训练效果与教师调用成本之间寻找折中[9]。Thinking Machines Lab 的技术文章把学生 rollout、教师逐 token 评分和 Reverse KL 更新整理成较清楚的工程流程[10]。这些工作关注的环节不同，恰好说明 OPD 不是某一个固定损失函数，而是一组围绕状态采样、教师反馈和学生更新构成的训练设计。</w:t>
      </w:r>
    </w:p>
    <w:p w14:paraId="6F1DB8D0">
      <w:pPr>
        <w:ind w:firstLine="420"/>
        <w:jc w:val="both"/>
      </w:pPr>
      <w:r>
        <w:t xml:space="preserve">近期研究把讨论进一步推进到师生是否真正“适配”。教师即使整体能力更强，也未必能在学生访问的每一种状态上给出易于吸收的信号；师生推理模式是否一致、教师能否提供学生尚不具备的新能力、提示能覆盖多大的状态范围以及轨迹长度如何设置，都会影响蒸馏结果[11][12]。训练层面还存在更具体的问题，例如采样 token 的信号分布不均、学生前缀持续漂移，以及特殊 token 或 tokenizer 不一致造成的对齐误差[13]。Hybrid Policy Distillation 从前向与反向 KL 的组合出发讨论适配方式[14]，相关综述则按优化对象、监督来源与稳定化手段梳理这一研究方向[15]。这些观察决定了本课题不能只比较最终准确率，还需要记录状态覆盖、格式错误、分布重叠和训练异常。</w:t>
      </w:r>
    </w:p>
    <w:p w14:paraId="29B55A45">
      <w:pPr>
        <w:ind w:firstLine="420"/>
        <w:jc w:val="both"/>
      </w:pPr>
      <w:r>
        <w:t xml:space="preserve">为了把不同工作的差异落到可复现的实验设置上，本文从三个层面描述 OPD。第一层是状态生成，即训练前缀由参考数据、教师还是学生产生；第二层是反馈位置，即教师是否直接观察学生已经生成的前缀；第三层是优化方式，即教师信息经过何种散度或估计器转化为学生梯度。GKD 的 token 级分布比较、MiniLLM 的序列级或策略式目标以及 DistiLLM 的反馈复用机制，在这三个层面的取舍并不相同。后续实验因此会分别记录 rollout 协议、教师评分对象、散度定义和实际采用的估计方法，避免只用一个算法名称概括整套训练过程。</w:t>
      </w:r>
    </w:p>
    <w:p w14:paraId="4737EE54">
      <w:pPr>
        <w:ind w:firstLine="420"/>
        <w:jc w:val="both"/>
      </w:pPr>
      <w:r>
        <w:t xml:space="preserve">教师能力上限并不会自动转化为学生收益，模型兼容性在其中起到明显作用。若师生采用不同的推理模式、响应模板或工具调用习惯，教师在学生前缀上给出的高概率 token 可能与学生已经形成的输出结构相冲突；当学生容量较小时，完整教师分布中较细的差异也未必都能被有效吸收。Rethinking OPD 及相关失败模式研究围绕兼容性、状态覆盖、提示多样性和训练异常展开分析[11][12][13]，提示本课题需要同时观察师生分布重叠、特殊 token 对齐和 Function Calling 格式错误，而不能把教师规模视为唯一解释变量。</w:t>
      </w:r>
    </w:p>
    <w:p w14:paraId="5333E2F1">
      <w:pPr>
        <w:spacing w:before="0" w:after="0" w:line="360" w:lineRule="auto"/>
        <w:ind w:firstLine="420"/>
        <w:jc w:val="both"/>
      </w:pPr>
      <w:r>
        <w:rPr>
          <w:rFonts w:ascii="Times New Roman" w:hAnsi="Times New Roman" w:eastAsia="宋体"/>
          <w:sz w:val="24"/>
        </w:rPr>
        <w:t xml:space="preserve">从方法机制看，在线策略蒸馏改变的首先是训练状态，而不只是把教师 logits 搬到另一批数据上。GKD 让学生在训练过程中生成序列，教师随后在这些到访状态上给出分布监督，并把传统 Forward KL 扩展为可配置的散度族[7]。MiniLLM 采用面向序列的 Reverse KL，使更新更集中于教师分布中与学生当前轨迹相容的高概率区域[8]。DistiLLM 在此基础上引入偏斜 KL 和自适应采样，用来缓和纯 Reverse KL 可能带来的过度模式选择，同时讨论教师反馈如何复用以降低训练开销[9]。三项工作的侧重点不同，却共同表明状态分布、散度方向和教师信息的取得方式是相互关联但不能互相替代的变量。</w:t>
      </w:r>
    </w:p>
    <w:p w14:paraId="2D5A62DC">
      <w:pPr>
        <w:spacing w:before="0" w:after="0" w:line="360" w:lineRule="auto"/>
        <w:ind w:firstLine="420"/>
        <w:jc w:val="both"/>
      </w:pPr>
      <w:r>
        <w:rPr>
          <w:rFonts w:ascii="Times New Roman" w:hAnsi="Times New Roman" w:eastAsia="宋体"/>
          <w:sz w:val="24"/>
        </w:rPr>
        <w:t xml:space="preserve">研究重点也正从“是否使用学生生成数据”转向“学生实际上访问了哪些状态”。即便教师模型和损失函数相同，rollout 温度、数据混合比例、提示形式以及学生的初始能力仍会改变轨迹分布，从而改变教师监督真正覆盖的区域[11][12]。另一些研究重新检查了数据来源、采样预算与训练稳定性的关系，并强调报告性能提升时必须同时给出额外的教师推理成本[13]。HPD 从师生偏好的异构性出发，指出单一 KL 方向未必适合全部样本或整个训练阶段[14]。基于这些认识，本课题把 OPD 作为一套受控实验框架：在相同数据、模型、预算和评测协议下，分别改变散度与监督粒度，再判断性能变化究竟来自哪一项设计。</w:t>
      </w:r>
    </w:p>
    <w:p w14:paraId="6975A843">
      <w:pPr>
        <w:pStyle w:val="3"/>
      </w:pPr>
      <w:r>
        <w:rPr>
          <w:rFonts w:ascii="黑体" w:hAnsi="黑体" w:eastAsia="黑体" w:cs="黑体"/>
          <w:b/>
          <w:color w:val="000000"/>
          <w:sz w:val="24"/>
        </w:rPr>
        <w:t>2.3 KL 散度方向与广义散度</w:t>
      </w:r>
    </w:p>
    <w:p w14:paraId="696D2E03">
      <w:pPr>
        <w:ind w:firstLine="420"/>
        <w:jc w:val="both"/>
      </w:pPr>
      <w:r>
        <w:t xml:space="preserve">KL 散度由 Kullback 和 Leibler 在信息论框架中提出，用于衡量两个概率分布之间的差异[17]。在蒸馏问题中，令 p_T 表示教师在某一有效位置上的 token 分布，p_S 表示学生在同一位置上的分布，则 Forward KL 与 Reverse KL 分别定义为：</w:t>
      </w:r>
    </w:p>
    <w:p w14:paraId="2BB4B432">
      <w:pPr>
        <w:ind w:firstLine="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p w14:paraId="7FC2B2E2">
      <w:pPr>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p w14:paraId="491E25B6">
      <w:pPr>
        <w:ind w:firstLine="420"/>
        <w:jc w:val="both"/>
      </w:pPr>
      <w:r>
        <w:t xml:space="preserve">两种方向的差别来自期望所依据的分布。Forward KL 由教师概率加权，当教师认为某些 token 具有不可忽略的概率时，学生若把这些候选压得过低就会受到明显惩罚，因此通常表现出更强的覆盖倾向。Reverse KL 由学生概率加权，更新主要落在学生当前容易生成的区域，更容易把概率质量集中到少数高概率模式。文献常用 mode-covering 和 mode-seeking 描述这一区别，但它们只是理解生成行为的直观概括；模型容量、温度、采样方式和实际支持集都会改变最终结果[7][8]。</w:t>
      </w:r>
    </w:p>
    <w:p w14:paraId="5283D502">
      <w:pPr>
        <w:ind w:firstLine="420"/>
        <w:jc w:val="both"/>
      </w:pPr>
      <w:r>
        <w:t xml:space="preserve">前向与反向 KL 分别强调覆盖和集中，但实际训练未必需要在二者之间作非此即彼的选择。广义散度允许通过中间分布或可调参数改变两端的权重，从而形成连续的折中。Jensen-Shannon 散度使用教师分布与学生分布的混合分布，并保持对称形式，其定义为[18]：</w:t>
      </w:r>
    </w:p>
    <w:p w14:paraId="588A8F94">
      <w:pPr>
        <w:ind w:firstLine="0"/>
        <w:jc w:val="center"/>
      </w:pPr>
      <m:oMathPara>
        <m:oMath>
          <m:r>
            <m:rPr/>
            <m:t>m=</m:t>
          </m:r>
          <m:f>
            <m:fPr/>
            <m:num>
              <m:sSub>
                <m:sSubPr/>
                <m:e>
                  <m:r>
                    <m:rPr/>
                    <m:t>p</m:t>
                  </m:r>
                </m:e>
                <m:sub>
                  <m:r>
                    <m:rPr/>
                    <m:t>T</m:t>
                  </m:r>
                </m:sub>
              </m:sSub>
              <m:r>
                <m:rPr/>
                <m:t>+</m:t>
              </m:r>
              <m:sSub>
                <m:sSubPr/>
                <m:e>
                  <m:r>
                    <m:rPr/>
                    <m:t>p</m:t>
                  </m:r>
                </m:e>
                <m:sub>
                  <m:r>
                    <m:rPr/>
                    <m:t>S</m:t>
                  </m:r>
                </m:sub>
              </m:sSub>
            </m:num>
            <m:den>
              <m:r>
                <m:rPr/>
                <m:t>2</m:t>
              </m:r>
            </m:den>
          </m:f>
          <m:r>
            <m:rPr/>
            <m:t>,</m:t>
          </m:r>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p w14:paraId="38927FB6">
      <w:pPr>
        <w:ind w:firstLine="420"/>
        <w:jc w:val="both"/>
      </w:pPr>
      <w:r>
        <w:t xml:space="preserve">本文不会把“广义散度”作为一个含义模糊的统一标签，而是选择 JSD、skew KL 等具有明确公式的代表性目标，分别考察它们对教师分布覆盖、学生高概率区域和数值稳定性的影响。每次实验都在配置中写明目标函数、混合参数、概率支持集以及 K1 估计方式。这样得到的差异能够追溯到具体计算，而不是停留在名称层面的比较。</w:t>
      </w:r>
    </w:p>
    <w:p w14:paraId="13AF46E7">
      <w:pPr>
        <w:ind w:firstLine="420"/>
        <w:jc w:val="both"/>
      </w:pPr>
      <w:r>
        <w:t xml:space="preserve">在 Function Calling 场景中，散度方向可能对应到可观察的行为差异。同一条用户请求有时允许多个工具或多种等价参数表达，教师会在这些合理候选之间分配概率。Forward KL 更可能促使学生保留多种可行选择，Reverse KL 则倾向于强化学生已经形成的高概率调用，广义散度用于调节两种倾向。这样的差别不能只从训练损失判断，需要结合函数选择、参数生成、结构格式和无需调用时的拒答行为进行分析。</w:t>
      </w:r>
    </w:p>
    <w:p w14:paraId="59F60855">
      <w:pPr>
        <w:ind w:firstLine="420"/>
        <w:jc w:val="both"/>
      </w:pPr>
      <w:r>
        <w:t xml:space="preserve">散度公式相同，并不意味着工程实现比较的是同一个对象。全词表方案在每个有效位置保留教师的完整输出分布；Top-K 只保留明确支持集中的高概率信息，因此必须说明 K 值、支持集来源、截断后的重归一化方式以及支持集外概率如何处理；K1 sampled-token 则用一个采样 token 对相应期望作单样本估计。信息保留范围逐步缩小时，计算成本会下降，估计偏差或方差却可能上升。因此，实验除任务指标外，还需同时记录教师前向次数、反馈数据量、学生生成量和训练资源。</w:t>
      </w:r>
    </w:p>
    <w:p w14:paraId="58810188">
      <w:pPr>
        <w:spacing w:before="0" w:after="0" w:line="360" w:lineRule="auto"/>
        <w:ind w:firstLine="420"/>
        <w:jc w:val="both"/>
      </w:pPr>
      <w:r>
        <w:rPr>
          <w:rFonts w:ascii="Times New Roman" w:hAnsi="Times New Roman" w:eastAsia="宋体"/>
          <w:sz w:val="24"/>
        </w:rPr>
        <w:t xml:space="preserve">从分布几何角度看，只要教师在某个 token 上保留了明显概率，Forward KL 就会惩罚学生对该 token 的过低估计，因此有利于保存教师分布中概率较低但仍合理的候选。Reverse KL 更重视学生自身支持集上的概率质量，更新往往集中在少数高概率模式；对容量有限的学生而言，这种“先学会最可能答案”的分配有时更实际[8][10]。不过，这一解释不能脱离具体训练条件。温度会改变分布平滑程度，序列长度和有效 token Mask 会改变累计梯度，Top-K 截断又会直接改变支持集。仅凭损失名称预测最终表现，容易忽略这些实现因素。</w:t>
      </w:r>
    </w:p>
    <w:p w14:paraId="63D91097">
      <w:pPr>
        <w:spacing w:before="0" w:after="0" w:line="360" w:lineRule="auto"/>
        <w:ind w:firstLine="420"/>
        <w:jc w:val="both"/>
      </w:pPr>
      <w:r>
        <w:rPr>
          <w:rFonts w:ascii="Times New Roman" w:hAnsi="Times New Roman" w:eastAsia="宋体"/>
          <w:sz w:val="24"/>
        </w:rPr>
        <w:t xml:space="preserve">广义散度的实际意义，是把覆盖与模式选择之间的关系变成可调节的设计，而不是再增加一个孤立的损失名称。GKD 用可配置的散度族统一若干常见目标[7]，DistiLLM 借助偏斜 KL 调节分布覆盖与概率集中的程度[9]，HPD 则从师生偏好的异构性出发讨论样本级或训练阶段级适配[14]。对于小模型，理论形式还会与数值实现紧密耦合：Top-K 后是否重新归一化、教师概率下界如何设置、混合精度中的 log-sum-exp 是否稳定、序列 Mask 是否正确，都会改变梯度尺度。本课题因此把散度公式、支持集协议和稳定化设置作为一个整体记录，以保证比较可以回到实际计算过程。</w:t>
      </w:r>
    </w:p>
    <w:p w14:paraId="423F288F">
      <w:pPr>
        <w:pStyle w:val="3"/>
      </w:pPr>
      <w:r>
        <w:rPr>
          <w:rFonts w:ascii="黑体" w:hAnsi="黑体" w:eastAsia="黑体" w:cs="黑体"/>
          <w:b/>
          <w:color w:val="000000"/>
          <w:sz w:val="24"/>
        </w:rPr>
        <w:t>2.4 监督信息粒度与资源效率</w:t>
      </w:r>
    </w:p>
    <w:p w14:paraId="4D88B3D8">
      <w:pPr>
        <w:ind w:firstLine="420"/>
        <w:jc w:val="both"/>
      </w:pPr>
      <w:r>
        <w:t xml:space="preserve">教师反馈保留到什么程度，直接决定了学生能够看到的信息量和系统需要承担的成本。全词表监督在每个有效位置保留完整分布，能够呈现教师对高概率与长尾 token 的相对判断，但词表维度会带来明显的显存、计算和数据传输压力。Top-K 只保留指定支持集中的高概率 token，成本较低，却必须交代 K 值、支持集由谁产生、截断后是否重新归一化以及支持集外概率如何处理。K1 sampled-token 进一步把期望压缩为单样本估计，计算更轻，但估计方差也更突出。相关 OPD 研究对信息覆盖和稳定性的讨论[11][13]，为本课题在同一任务上比较三种方案提供了直接依据。</w:t>
      </w:r>
    </w:p>
    <w:p w14:paraId="4D26498B">
      <w:pPr>
        <w:ind w:firstLine="420"/>
        <w:jc w:val="both"/>
      </w:pPr>
      <w:r>
        <w:t xml:space="preserve">模型与参数更新方式也需要保持稳定。Qwen3 技术报告给出了本课题所用模型家族的架构和训练背景[16]；LoRA 以低秩增量表示权重更新，能够显著减少需要训练和保存的参数量[19]，适合在有限算力下反复运行多组受控实验。本课题将 LoRA 作为各蒸馏方案共享的学生更新方式，不把它作为单独的对比变量。量化适配虽然可能进一步降低显存占用，但会同时引入量化精度、量化格式和算子支持等因素，因此暂不纳入主要实验矩阵。</w:t>
      </w:r>
    </w:p>
    <w:p w14:paraId="7BE9DE7C">
      <w:pPr>
        <w:spacing w:before="0" w:after="0" w:line="360" w:lineRule="auto"/>
        <w:ind w:firstLine="420"/>
        <w:jc w:val="both"/>
      </w:pPr>
      <w:r>
        <w:rPr>
          <w:rFonts w:ascii="Times New Roman" w:hAnsi="Times New Roman" w:eastAsia="宋体"/>
          <w:sz w:val="24"/>
        </w:rPr>
        <w:t xml:space="preserve">信息粒度与性能之间并不是“保留得越多越好”的简单关系。完整分布确实保存了长尾 token 的相对概率，但若教师前向和 logits 处理占用了大部分预算，能够完成的训练步数反而可能减少。Top-K 用较小的存储和通信开销覆盖主要概率质量，却会把支持集选择和尾部质量处理变成新的误差来源。K1 sampled-token 的单样本估计最省计算，但 proposal 分布、随机种子和梯度方差都会显著影响训练曲线。已有在线蒸馏研究表明，教师信息量与最终性能未必线性相关；学生访问的状态是否具有训练价值，以及有限预算是否用在关键 token 上，同样决定实验结果[11][13]。</w:t>
      </w:r>
    </w:p>
    <w:p w14:paraId="3028239A">
      <w:pPr>
        <w:spacing w:before="0" w:after="0" w:line="360" w:lineRule="auto"/>
        <w:ind w:firstLine="420"/>
        <w:jc w:val="both"/>
      </w:pPr>
      <w:r>
        <w:rPr>
          <w:rFonts w:ascii="Times New Roman" w:hAnsi="Times New Roman" w:eastAsia="宋体"/>
          <w:sz w:val="24"/>
        </w:rPr>
        <w:t xml:space="preserve">参数高效更新使本科阶段开展多组受控实验具有现实可行性。LoRA 通过低秩增量限制可训练参数规模[19]，但它解决的是学生参数更新成本，而不是教师反馈、学生 rollout 或分布损失计算的全部开销。在本课题中，LoRA 的作用是为所有对照组提供一致的学生侧接口，蒸馏方法之间的差异仍由状态采样、散度目标和监督粒度决定。因此，资源评估不能只报告可训练参数量，还应分别记录学生生成、教师前向、损失计算和反向传播的单步耗时、峰值显存、有效 token 吞吐与教师调用量。只有把这些开销与任务收益放在一起，才能判断稀疏监督是否真正提高了整体效率。</w:t>
      </w:r>
    </w:p>
    <w:p w14:paraId="2ED621A1">
      <w:pPr>
        <w:pStyle w:val="3"/>
      </w:pPr>
      <w:r>
        <w:rPr>
          <w:rFonts w:ascii="黑体" w:hAnsi="黑体" w:eastAsia="黑体" w:cs="黑体"/>
          <w:b/>
          <w:color w:val="000000"/>
          <w:sz w:val="24"/>
        </w:rPr>
        <w:t>2.5 Function Calling 数据与评测研究</w:t>
      </w:r>
    </w:p>
    <w:p w14:paraId="2320FC66">
      <w:pPr>
        <w:ind w:firstLine="420"/>
        <w:jc w:val="both"/>
      </w:pPr>
      <w:r>
        <w:t xml:space="preserve">Function Calling 的研究对象已经从“生成一个函数名”扩展到 API 文档理解、工具检索、参数构造、调用规划和执行结果处理。ReAct 以推理与行动交替的方式描述多步工具交互，为后续工具增强模型提供了通用任务范式[21]。在专门的函数调用数据与评测中，Gorilla/APIBench 关注 API 文档理解和调用正确性[22]，API-Bank 将工具规划、API 检索与调用过程放在同一基准中[23]，ToolLLM/ToolBench 构造大规模真实 API 任务并讨论多工具、多步调用[24]，APIGen 强调可执行 API、格式检查和语义验证[25]，ToolACE 则通过 API 池与多层检查扩展数据的工具类型和调用模式[26]。</w:t>
      </w:r>
    </w:p>
    <w:p w14:paraId="41ED9722">
      <w:pPr>
        <w:ind w:firstLine="420"/>
        <w:jc w:val="both"/>
      </w:pPr>
      <w:r>
        <w:t xml:space="preserve">本课题选用公开 Function Calling 数据，但“公开可得”并不等同于可以直接拼接使用。APIGen、ToolACE、API-Bank 和 ToolBench 在数据来源、消息模板、工具 schema、目标调用和执行反馈方面各有侧重，适合用于训练的字段也不完全一致。数据准备阶段将先确定实际使用的数据快照与许可证，再记录字段映射、过滤规则、异常样本处理和重复样本去除过程，并检查训练数据与独立测试集之间是否存在 API、模板或目标调用层面的重叠。</w:t>
      </w:r>
    </w:p>
    <w:p w14:paraId="651AE3DD">
      <w:pPr>
        <w:ind w:firstLine="420"/>
        <w:jc w:val="both"/>
      </w:pPr>
      <w:r>
        <w:t xml:space="preserve">公开数据进入训练流程前，需要分别通过结构、语义和执行检查。结构检查验证工具 schema、函数名、参数类型和目标调用能否被统一解析；语义检查判断用户需求是否确实对应标注的工具与参数，避免格式正确但任务含义错误的样本；执行检查则在本地模拟环境中运行调用，观察返回结果能否支持后续对话。APIGen 与 ToolACE 采用的多层验证思路表明，函数调用数据的质量不能只靠 JSON 可解析性判断[25][26]。本课题会保留原始样本、规范化结果和失败原因，以便追踪过滤规则对数据分布的影响。</w:t>
      </w:r>
    </w:p>
    <w:p w14:paraId="034FA389">
      <w:pPr>
        <w:ind w:firstLine="420"/>
        <w:jc w:val="both"/>
      </w:pPr>
      <w:r>
        <w:t xml:space="preserve">训练集与测试集之间的隔离也不能只停留在完全相同的文本去重。若训练数据与 BFCL 或其他独立测试集共享同一套 API 定义、近似的问题模板或相同的目标调用，测试结果可能更多反映记忆而非迁移能力；即使工具名称不同，只要参数结构和问题模板高度相似，也可能形成较隐蔽的泄漏。数据划分时应同时检查工具 schema、用户表达、参数结构和数据来源，并在审计报告中保存字段统计、异常类型、去重规则、版本指纹以及无法完全排除的重叠情况。</w:t>
      </w:r>
    </w:p>
    <w:p w14:paraId="6145C566">
      <w:pPr>
        <w:ind w:firstLine="420"/>
        <w:jc w:val="both"/>
      </w:pPr>
      <w:r>
        <w:t xml:space="preserve">BFCL 将函数调用评测扩展到结构化调用、并行调用、串行调用和无适用工具时的拒答等场景[27]，说明单一的字符串匹配难以反映完整能力。本课题将参考公开测试规范，并配合可控的本地模拟函数，把评测拆分为格式是否合法、函数是否选对、参数键值是否正确、调用能否执行以及规定交互范围内是否完成任务。分层指标既便于定位失败发生在哪一环，也能避免某一项较高的局部准确率掩盖端到端调用失败。</w:t>
      </w:r>
    </w:p>
    <w:p w14:paraId="0C0F1F38">
      <w:pPr>
        <w:spacing w:before="0" w:after="0" w:line="360" w:lineRule="auto"/>
        <w:ind w:firstLine="420"/>
        <w:jc w:val="both"/>
      </w:pPr>
      <w:r>
        <w:rPr>
          <w:rFonts w:ascii="Times New Roman" w:hAnsi="Times New Roman" w:eastAsia="宋体"/>
          <w:sz w:val="24"/>
        </w:rPr>
        <w:t xml:space="preserve">从发展过程看，Function Calling 数据已经由少量人工编写的接口描述，逐步转向大规模合成、执行校验和针对难例的自动生成。Gorilla 强调 API 检索与调用生成[22]，API-Bank 和 ToolLLM/ToolBench 把多工具选择、多轮交互和工具学习过程纳入任务设计[23][24]，APIGen 建立可验证的数据生成管线[25]，ToolACE 进一步扩展工具类型与调用模式[26]。规模扩大并没有消除数据异构问题：不同数据集采用的 schema 表示、参数约束、对话模板和可执行条件仍不一致。若直接合并，模型可能先学到数据集模板差异，实验却把这种差异误判为蒸馏方法带来的能力变化。因此，字段映射、去重、可解析性检查和 schema 一致性审计不是普通的数据清洗步骤，而是保证方法比较有效的前提。</w:t>
      </w:r>
    </w:p>
    <w:p w14:paraId="44C1FF56">
      <w:pPr>
        <w:spacing w:before="0" w:after="0" w:line="360" w:lineRule="auto"/>
        <w:ind w:firstLine="420"/>
        <w:jc w:val="both"/>
      </w:pPr>
      <w:r>
        <w:rPr>
          <w:rFonts w:ascii="Times New Roman" w:hAnsi="Times New Roman" w:eastAsia="宋体"/>
          <w:sz w:val="24"/>
        </w:rPr>
        <w:t xml:space="preserve">在评测方面，Berkeley Function Calling Leaderboard 使用真实与合成任务检验函数选择、参数生成、组合调用和多轮交互能力，为统一测试提供了较成熟的场景划分[27]。不过，总体准确率会把性质不同的错误压缩成一个数字：模型可能选择了错误函数，也可能函数正确但缺少必填参数；可能输出不可解析的 JSON，也可能在无需调用工具时仍然发起调用。为此，本课题将在固定解码协议下分别统计结构合法率、函数选择正确率、参数键和值的正确性、实际执行成功率与端到端任务完成率，并同时记录训练耗时、教师调用量、推理吞吐和峰值显存。这样既能与公开基准对齐，也能解释不同散度和监督粒度的影响究竟出现在哪个环节。</w:t>
      </w:r>
    </w:p>
    <w:p w14:paraId="58E976CF">
      <w:pPr>
        <w:spacing w:before="0" w:after="0" w:line="360" w:lineRule="auto"/>
        <w:ind w:firstLine="420"/>
        <w:jc w:val="both"/>
      </w:pPr>
      <w:r>
        <w:rPr>
          <w:rFonts w:ascii="Times New Roman" w:hAnsi="Times New Roman" w:eastAsia="宋体"/>
          <w:sz w:val="24"/>
        </w:rPr>
        <w:t xml:space="preserve">现有研究已经打通了学生状态采样、教师分布反馈、散度优化和参数高效更新等关键环节，但论文之间的实验条件差异较大。有的工作更换了模型规模，有的同时改变数据来源、采样方式和损失函数，还有的只报告任务结果而没有给出教师信息预算，因此结论很难直接横向比较。本文选择 Qwen3-4B 教师、Qwen3-0.6B 学生和公开 Function Calling 数据作为统一载体，在固定数据划分、学生更新方式、训练预算和评测协议的前提下，比较 Forward KL、Reverse KL、代表性广义散度以及全词表、Top-K、K1 三类监督方案。研究目标不是预先证明某一种方法必然更优，而是通过受控实验说明性能、稳定性与资源开销分别受到哪些设计因素影响，并为后续实验结果提供可以核查的解释基础。</w:t>
      </w:r>
    </w:p>
    <w:p w14:paraId="779437DC">
      <w:pPr>
        <w:pStyle w:val="2"/>
      </w:pPr>
      <w:r>
        <w:rPr>
          <w:rFonts w:ascii="黑体" w:hAnsi="黑体" w:eastAsia="黑体" w:cs="黑体"/>
          <w:b/>
          <w:color w:val="000000"/>
          <w:sz w:val="28"/>
        </w:rPr>
        <w:t>3．主要研究内容</w:t>
      </w:r>
    </w:p>
    <w:p w14:paraId="7167A508">
      <w:pPr>
        <w:pStyle w:val="3"/>
      </w:pPr>
      <w:r>
        <w:rPr>
          <w:rFonts w:ascii="黑体" w:hAnsi="黑体" w:eastAsia="黑体" w:cs="黑体"/>
          <w:b/>
          <w:color w:val="000000"/>
          <w:sz w:val="24"/>
        </w:rPr>
        <w:t>3.1 统一的在线策略蒸馏研究流程</w:t>
      </w:r>
    </w:p>
    <w:p w14:paraId="12EADE85">
      <w:pPr>
        <w:ind w:firstLine="420"/>
        <w:jc w:val="both"/>
      </w:pPr>
      <w:r>
        <w:t>研究流程以学生自身生成的 Function Calling 轨迹为中心：学生在 LoRA 参数下生成函数调用或响应，冻结教师在学生访问到的前缀上提供 token 级分布反馈，学生依据所选散度和监督信息粒度更新 LoRA。不同方案使用统一的数据、模型模板、训练预算和评测规则，并记录学生轨迹、教师反馈、损失状态与资源占用。该流程借鉴 GKD、MiniLLM 对学生状态与教师反馈的讨论，并参考 Thinking Machines Lab 技术文章中的工程实现[7][8][10]。</w:t>
      </w:r>
    </w:p>
    <w:p w14:paraId="3EBAB668">
      <w:pPr>
        <w:pStyle w:val="3"/>
      </w:pPr>
      <w:r>
        <w:rPr>
          <w:rFonts w:ascii="黑体" w:hAnsi="黑体" w:eastAsia="黑体" w:cs="黑体"/>
          <w:b/>
          <w:color w:val="000000"/>
          <w:sz w:val="24"/>
        </w:rPr>
        <w:t>3.2 三类散度目标</w:t>
      </w:r>
    </w:p>
    <w:p w14:paraId="673FAEE9">
      <w:pPr>
        <w:ind w:firstLine="420"/>
        <w:jc w:val="both"/>
      </w:pPr>
      <w:r>
        <w:t>研究内容一是比较 Forward KL、Reverse KL 和代表性广义散度。Forward KL 用于研究教师分布覆盖，Reverse KL 用于研究学生实际生成区域与教师分布的匹配，广义散度用于考察两种偏好之间的折中。各目标使用统一的输入、Mask、支持集说明与数值精度设置。</w:t>
      </w:r>
    </w:p>
    <w:p w14:paraId="60FC92F0">
      <w:pPr>
        <w:pStyle w:val="3"/>
      </w:pPr>
      <w:r>
        <w:rPr>
          <w:rFonts w:ascii="黑体" w:hAnsi="黑体" w:eastAsia="黑体" w:cs="黑体"/>
          <w:b/>
          <w:color w:val="000000"/>
          <w:sz w:val="24"/>
        </w:rPr>
        <w:t>3.3 三种监督信息粒度/估计方式</w:t>
      </w:r>
    </w:p>
    <w:p w14:paraId="4F2557E3">
      <w:pPr>
        <w:ind w:firstLine="420"/>
        <w:jc w:val="both"/>
      </w:pPr>
      <w:r>
        <w:t>研究内容二是统一比较三种监督信息粒度/估计方式：</w:t>
      </w:r>
    </w:p>
    <w:p w14:paraId="640A89EA">
      <w:pPr>
        <w:pStyle w:val="15"/>
        <w:ind w:firstLine="420"/>
        <w:jc w:val="left"/>
      </w:pPr>
      <w:r>
        <w:t xml:space="preserve">• </w:t>
      </w:r>
      <w:r>
        <w:rPr>
          <w:b/>
        </w:rPr>
        <w:t>全词表：</w:t>
      </w:r>
      <w:r>
        <w:t xml:space="preserve"> 使用教师完整词表分布进行比较，作为信息完整的参照。</w:t>
      </w:r>
    </w:p>
    <w:p w14:paraId="4EFC209D">
      <w:pPr>
        <w:pStyle w:val="15"/>
        <w:ind w:firstLine="420"/>
        <w:jc w:val="left"/>
      </w:pPr>
      <w:r>
        <w:t xml:space="preserve">• </w:t>
      </w:r>
      <w:r>
        <w:rPr>
          <w:b/>
        </w:rPr>
        <w:t>Top-K：</w:t>
      </w:r>
      <w:r>
        <w:t xml:space="preserve"> 使用指定支持集中的教师高概率 token，考察压缩教师反馈后的效果与资源变化。</w:t>
      </w:r>
    </w:p>
    <w:p w14:paraId="1B3DFD7F">
      <w:pPr>
        <w:pStyle w:val="15"/>
        <w:ind w:firstLine="420"/>
        <w:jc w:val="left"/>
      </w:pPr>
      <w:r>
        <w:t>• K1 sampled-token：从教师分布采样一个 token，对相应期望进行单样本估计，并分析其估计方差；该方法与 Top-1 argmax 硬标签监督分别记录。</w:t>
      </w:r>
    </w:p>
    <w:p w14:paraId="3A0B4D9F">
      <w:pPr>
        <w:ind w:firstLine="420"/>
        <w:jc w:val="both"/>
      </w:pPr>
      <w:r>
        <w:t>Top-K 统一规定支持集构造、归一化和支持集外概率处理，K1 统一规定 proposal、梯度估计和随机种子管理。比较内容包括 Function Calling 的格式、函数选择、参数与执行结果，以及训练稳定性和资源开销。</w:t>
      </w:r>
    </w:p>
    <w:p w14:paraId="205E7875">
      <w:pPr>
        <w:pStyle w:val="3"/>
      </w:pPr>
      <w:r>
        <w:rPr>
          <w:rFonts w:ascii="黑体" w:hAnsi="黑体" w:eastAsia="黑体" w:cs="黑体"/>
          <w:b/>
          <w:color w:val="000000"/>
          <w:sz w:val="24"/>
        </w:rPr>
        <w:t>3.4 LoRA 后训练与教师—学生关系</w:t>
      </w:r>
    </w:p>
    <w:p w14:paraId="29B0CF71">
      <w:pPr>
        <w:ind w:firstLine="420"/>
        <w:jc w:val="both"/>
      </w:pPr>
      <w:r>
        <w:t>LoRA 将基座权重写为低秩增量形式[19]：</w:t>
      </w:r>
    </w:p>
    <w:p w14:paraId="339B91BA">
      <w:pPr>
        <w:ind w:firstLine="0"/>
        <w:jc w:val="center"/>
      </w:pPr>
      <m:oMathPara>
        <m:oMath>
          <m:r>
            <m:rPr/>
            <m:t>W=</m:t>
          </m:r>
          <m:sSub>
            <m:sSubPr/>
            <m:e>
              <m:r>
                <m:rPr/>
                <m:t>W</m:t>
              </m:r>
            </m:e>
            <m:sub>
              <m:r>
                <m:rPr/>
                <m:t>0</m:t>
              </m:r>
            </m:sub>
          </m:sSub>
          <m:r>
            <m:rPr/>
            <m:t>+</m:t>
          </m:r>
          <m:r>
            <m:rPr>
              <m:sty m:val="p"/>
            </m:rPr>
            <m:t>ΔW</m:t>
          </m:r>
          <m:r>
            <m:rPr/>
            <m:t>=</m:t>
          </m:r>
          <m:sSub>
            <m:sSubPr/>
            <m:e>
              <m:r>
                <m:rPr/>
                <m:t>W</m:t>
              </m:r>
            </m:e>
            <m:sub>
              <m:r>
                <m:rPr/>
                <m:t>0</m:t>
              </m:r>
            </m:sub>
          </m:sSub>
          <m:r>
            <m:rPr/>
            <m:t>+</m:t>
          </m:r>
          <m:f>
            <m:fPr/>
            <m:num>
              <m:r>
                <m:rPr/>
                <m:t>α</m:t>
              </m:r>
            </m:num>
            <m:den>
              <m:r>
                <m:rPr/>
                <m:t>r</m:t>
              </m:r>
            </m:den>
          </m:f>
          <m:r>
            <m:rPr>
              <m:sty m:val="p"/>
            </m:rPr>
            <m:t>BA</m:t>
          </m:r>
        </m:oMath>
      </m:oMathPara>
    </w:p>
    <w:p w14:paraId="15620CF4">
      <w:pPr>
        <w:ind w:firstLine="420"/>
        <w:jc w:val="both"/>
      </w:pPr>
      <w:r>
        <w:t>本课题采用 LoRA 进行学生模型后训练。各对照组使用统一的插入位置、秩、缩放系数、学习率、序列长度和可训练参数范围。训练前检查 Qwen3-0.6B 学生与 Qwen3-4B 教师的 tokenizer、特殊 token 和 Function Calling 模板，建立一致的编码、对齐和输出解析流程。</w:t>
      </w:r>
    </w:p>
    <w:p w14:paraId="4B847B83">
      <w:pPr>
        <w:ind w:firstLine="420"/>
        <w:jc w:val="both"/>
      </w:pPr>
      <w:r>
        <w:t>LoRA 用于控制可训练参数规模，使多个蒸馏方案从相同的学生基座出发。实验分别记录 LoRA adapter 的保存、加载与合并方式，以及部署后端中的加载配置，从而区分训练参数变化和服务加载方式带来的影响。</w:t>
      </w:r>
    </w:p>
    <w:p w14:paraId="5A4303B3">
      <w:pPr>
        <w:pStyle w:val="3"/>
      </w:pPr>
      <w:r>
        <w:rPr>
          <w:rFonts w:ascii="黑体" w:hAnsi="黑体" w:eastAsia="黑体" w:cs="黑体"/>
          <w:b/>
          <w:color w:val="000000"/>
          <w:sz w:val="24"/>
        </w:rPr>
        <w:t>3.5 Function Calling 评测与推理性能分析</w:t>
      </w:r>
    </w:p>
    <w:p w14:paraId="4EAA3AD5">
      <w:pPr>
        <w:ind w:firstLine="420"/>
        <w:jc w:val="both"/>
      </w:pPr>
      <w:r>
        <w:t>离线评测分层记录格式解析、函数名、参数键值、schema 合法性、单步调用执行和端到端任务完成情况，并对等价参数表达进行规范化。代表性 checkpoint 将通过 vLLM 或自建测试程序加载，在统一输入、函数 schema、采样设置和评测规则下测量任务指标、推理吞吐、首 token 延迟、完整响应延迟和显存占用。vLLM 的 PagedAttention 工作为推理性能分析提供了技术背景[20]。</w:t>
      </w:r>
    </w:p>
    <w:p w14:paraId="1FCC2348">
      <w:pPr>
        <w:pStyle w:val="3"/>
      </w:pPr>
      <w:r>
        <w:rPr>
          <w:rFonts w:ascii="黑体" w:hAnsi="黑体" w:eastAsia="黑体" w:cs="黑体"/>
          <w:b/>
          <w:color w:val="000000"/>
          <w:sz w:val="24"/>
        </w:rPr>
        <w:t>3.6 研究问题</w:t>
      </w:r>
    </w:p>
    <w:p w14:paraId="22062AA4">
      <w:pPr>
        <w:ind w:firstLine="420"/>
        <w:jc w:val="both"/>
      </w:pPr>
      <w:r>
        <w:t>本课题将回答以下问题：</w:t>
      </w:r>
    </w:p>
    <w:p w14:paraId="4CBECB2D">
      <w:pPr>
        <w:pStyle w:val="15"/>
        <w:ind w:firstLine="420"/>
        <w:jc w:val="left"/>
      </w:pPr>
      <w:r>
        <w:t>1. 在 Qwen3 Function Calling 条件下，三类散度是否表现出可解释的工具选择、参数生成或格式差异？</w:t>
      </w:r>
    </w:p>
    <w:p w14:paraId="1B0E1F7E">
      <w:pPr>
        <w:pStyle w:val="15"/>
        <w:ind w:firstLine="420"/>
        <w:jc w:val="left"/>
      </w:pPr>
      <w:r>
        <w:t>2. 全词表、Top-K 和 K1 在效果、稳定性和教师反馈开销之间如何权衡？</w:t>
      </w:r>
    </w:p>
    <w:p w14:paraId="0D13CECE">
      <w:pPr>
        <w:pStyle w:val="15"/>
        <w:ind w:firstLine="420"/>
        <w:jc w:val="left"/>
      </w:pPr>
      <w:r>
        <w:t>3. 支持集外 token、前缀偏移、熵变化和格式错误能否解释 Top-K/K1 的失败模式？</w:t>
      </w:r>
    </w:p>
    <w:p w14:paraId="7665B72E">
      <w:pPr>
        <w:pStyle w:val="15"/>
        <w:ind w:firstLine="420"/>
        <w:jc w:val="left"/>
      </w:pPr>
      <w:r>
        <w:t>4. 不同蒸馏目标在任务正确率、训练效率和推理性能上的变化是否一致？</w:t>
      </w:r>
    </w:p>
    <w:p w14:paraId="68D892AB">
      <w:pPr>
        <w:ind w:firstLine="420"/>
        <w:jc w:val="both"/>
      </w:pPr>
      <w:r>
        <w:t>上述研究问题构成实验设计、结果分析和论文讨论的主线。</w:t>
      </w:r>
    </w:p>
    <w:p w14:paraId="45BFC255">
      <w:pPr>
        <w:pStyle w:val="3"/>
      </w:pPr>
      <w:r>
        <w:rPr>
          <w:rFonts w:ascii="黑体" w:hAnsi="黑体" w:eastAsia="黑体" w:cs="黑体"/>
          <w:b/>
          <w:color w:val="000000"/>
          <w:sz w:val="24"/>
        </w:rPr>
        <w:t>3.7 各研究内容之间的关系</w:t>
      </w:r>
    </w:p>
    <w:p w14:paraId="7D3140CD">
      <w:pPr>
        <w:ind w:firstLine="420"/>
        <w:jc w:val="both"/>
      </w:pPr>
      <w:r>
        <w:t>三类研究内容具有递进关系。首先，数据和模板确定学生生成轨迹的任务接口；其次，学生轨迹和教师前缀反馈确定 OPD 的状态分布；再次，散度方向和监督信息粒度决定教师信息如何转化为学生更新；最后，任务指标、训练资源和推理性能用于评价不同方法。结果分析将结合中间分布、训练稳定性、资源消耗和最终调用成功率解释各方法的表现。</w:t>
      </w:r>
    </w:p>
    <w:p w14:paraId="2017B723">
      <w:pPr>
        <w:ind w:firstLine="420"/>
        <w:jc w:val="both"/>
      </w:pPr>
      <w:r>
        <w:t>本课题从训练和推理两个阶段开展性能分析。训练阶段记录学生 rollout、教师前向、LoRA 更新的耗时、吞吐、显存和数值稳定性；推理阶段在 vLLM 或自建测试程序中固定输入、函数 schema、采样参数和数值精度，测量任务正确率、吞吐和延迟。</w:t>
      </w:r>
    </w:p>
    <w:p w14:paraId="575D3309">
      <w:pPr>
        <w:pStyle w:val="2"/>
      </w:pPr>
      <w:r>
        <w:rPr>
          <w:rFonts w:ascii="黑体" w:hAnsi="黑体" w:eastAsia="黑体" w:cs="黑体"/>
          <w:b/>
          <w:color w:val="000000"/>
          <w:sz w:val="28"/>
        </w:rPr>
        <w:t>4．研究方案</w:t>
      </w:r>
    </w:p>
    <w:p w14:paraId="1076D32B">
      <w:pPr>
        <w:pStyle w:val="3"/>
      </w:pPr>
      <w:r>
        <w:rPr>
          <w:rFonts w:ascii="黑体" w:hAnsi="黑体" w:eastAsia="黑体" w:cs="黑体"/>
          <w:b/>
          <w:color w:val="000000"/>
          <w:sz w:val="24"/>
        </w:rPr>
        <w:t>4.1 总体技术路线</w:t>
      </w:r>
    </w:p>
    <w:p w14:paraId="7703D721">
      <w:pPr>
        <w:spacing w:before="0" w:after="0" w:line="360" w:lineRule="auto"/>
        <w:ind w:firstLine="420"/>
        <w:jc w:val="both"/>
      </w:pPr>
      <w:r>
        <w:rPr>
          <w:rFonts w:ascii="Times New Roman" w:hAnsi="Times New Roman" w:eastAsia="宋体"/>
          <w:sz w:val="24"/>
        </w:rPr>
        <w:t>研究总体技术路线如图 1 所示。</w:t>
      </w:r>
    </w:p>
    <w:p w14:paraId="01318956">
      <w:pPr>
        <w:ind w:firstLine="420"/>
        <w:jc w:val="both"/>
      </w:pPr>
      <w:r>
        <w:t>总体路线由模型与数据准备、SFT 基线、在线策略蒸馏、统一评测和结果分析组成。实验配置记录模型版本、数据版本、损失定义、支持集协议、训练参数和评测脚本。</w:t>
      </w:r>
    </w:p>
    <w:p w14:paraId="7804E4EE">
      <w:pPr>
        <w:ind w:firstLine="420"/>
        <w:jc w:val="both"/>
      </w:pPr>
      <w:r>
        <w:t>每项实验关联四类信息：研究定义，包括散度、粒度、支持集和 Mask；数据定义，包括来源、版本、划分和过滤；模型定义，包括学生、教师、LoRA 和模板；运行定义，包括随机种子、资源、依赖和命令。上述信息共同构成实验结果的复现与解释依据。</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7"/>
                    <a:stretch>
                      <a:fillRect/>
                    </a:stretch>
                  </pic:blipFill>
                  <pic:spPr>
                    <a:xfrm>
                      <a:off x="0" y="0"/>
                      <a:ext cx="5806440" cy="2177415"/>
                    </a:xfrm>
                    <a:prstGeom prst="rect">
                      <a:avLst/>
                    </a:prstGeom>
                  </pic:spPr>
                </pic:pic>
              </a:graphicData>
            </a:graphic>
          </wp:inline>
        </w:drawing>
      </w:r>
    </w:p>
    <w:p w14:paraId="6E3282B4">
      <w:pPr>
        <w:spacing w:before="0" w:after="120" w:line="240" w:lineRule="auto"/>
        <w:ind w:firstLine="0"/>
        <w:jc w:val="center"/>
      </w:pPr>
      <w:r>
        <w:rPr>
          <w:rFonts w:ascii="Times New Roman" w:hAnsi="Times New Roman" w:eastAsia="宋体"/>
          <w:sz w:val="21"/>
        </w:rPr>
        <w:t>图 1  研究总体技术路线</w:t>
      </w:r>
    </w:p>
    <w:p w14:paraId="51D0960D">
      <w:pPr>
        <w:pStyle w:val="3"/>
      </w:pPr>
      <w:r>
        <w:rPr>
          <w:rFonts w:ascii="黑体" w:hAnsi="黑体" w:eastAsia="黑体" w:cs="黑体"/>
          <w:b/>
          <w:color w:val="000000"/>
          <w:sz w:val="24"/>
        </w:rPr>
        <w:t>4.2 模型和数据准备</w:t>
      </w:r>
    </w:p>
    <w:p w14:paraId="51F515C2">
      <w:pPr>
        <w:ind w:firstLine="420"/>
        <w:jc w:val="both"/>
      </w:pPr>
      <w:r>
        <w:t>模型方面，采用 Qwen3-0.6B 作为学生、Qwen3-4B 作为教师，教师参数冻结，学生通过 LoRA 更新。训练前检查师生 tokenizer 的词表、特殊 token、消息模板和函数调用格式，并通过回环测试验证编码、解码与 token 对齐。Qwen3 技术报告用于说明模型家族背景[16]。</w:t>
      </w:r>
    </w:p>
    <w:p w14:paraId="33260523">
      <w:pPr>
        <w:ind w:firstLine="420"/>
        <w:jc w:val="both"/>
      </w:pPr>
      <w:r>
        <w:t>数据方面，核验公开 Function Calling 数据的来源、许可证、字段含义和版本，并将实际字段转换为统一的用户消息、工具 schema、调用响应和工具结果表示。训练、验证和测试数据按照来源与模板隔离，记录划分比例、子集范围和去重规则。APIGen、ToolACE、API-Bank 和 ToolBench 为数据选择与构造提供参考[23][24][25][26]。</w:t>
      </w:r>
    </w:p>
    <w:p w14:paraId="1EA2CC71">
      <w:pPr>
        <w:ind w:firstLine="420"/>
        <w:jc w:val="both"/>
      </w:pPr>
      <w:r>
        <w:t>数据审计重点处理三类异常：schema 语法错误、参数标签与用户意图不一致、工具返回缺失或格式不统一。评测器保存原始样本、规范化样本和失败原因，并对自动规则进行抽样复核。</w:t>
      </w:r>
    </w:p>
    <w:p w14:paraId="681BB8C6">
      <w:pPr>
        <w:pStyle w:val="3"/>
      </w:pPr>
      <w:r>
        <w:rPr>
          <w:rFonts w:ascii="黑体" w:hAnsi="黑体" w:eastAsia="黑体" w:cs="黑体"/>
          <w:b/>
          <w:color w:val="000000"/>
          <w:sz w:val="24"/>
        </w:rPr>
        <w:t>4.3 学生 rollout 和教师反馈</w:t>
      </w:r>
    </w:p>
    <w:p w14:paraId="343B3713">
      <w:pPr>
        <w:spacing w:before="0" w:after="0" w:line="360" w:lineRule="auto"/>
        <w:ind w:firstLine="420"/>
        <w:jc w:val="both"/>
      </w:pPr>
      <w:r>
        <w:rPr>
          <w:rFonts w:ascii="Times New Roman" w:hAnsi="Times New Roman" w:eastAsia="宋体"/>
          <w:sz w:val="24"/>
        </w:rPr>
        <w:t>在线策略蒸馏的训练、反馈与评测关系如图 2 所示。</w:t>
      </w:r>
    </w:p>
    <w:p w14:paraId="03869395">
      <w:pPr>
        <w:ind w:firstLine="420"/>
        <w:jc w:val="both"/>
      </w:pPr>
      <w:r>
        <w:t>学生 rollout 的温度、停止条件、最大生成长度、非法格式处理和重试规则均作为控制变量写入配置，所有比较组使用相同的采样与后处理协议。</w:t>
      </w:r>
    </w:p>
    <w:p w14:paraId="38107A53">
      <w:pPr>
        <w:ind w:firstLine="420"/>
        <w:jc w:val="both"/>
      </w:pPr>
      <w:r>
        <w:t>教师在学生访问到的前缀上提供分布或局部 token 信息，学生依据相同前缀计算可训练的蒸馏目标，教师参数保持冻结。全词表、Top-K 和 K1 只改变教师信息的保留或估计方式，数据划分、rollout 条件和总训练预算保持一致。</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学生前缀、教师模型和 token 对齐</w:t>
            </w:r>
          </w:p>
        </w:tc>
        <w:tc>
          <w:tcPr>
            <w:tcW w:w="4148" w:type="dxa"/>
          </w:tcPr>
          <w:p w14:paraId="35BEDF60">
            <w:pPr>
              <w:ind w:firstLine="0"/>
              <w:jc w:val="left"/>
            </w:pPr>
            <w:r>
              <w:t>反馈粒度、支持集、教师计算量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散度、梯度处理、异常 loss</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函数、参数、执行和端到端调用结果</w:t>
            </w:r>
          </w:p>
        </w:tc>
      </w:tr>
    </w:tbl>
    <w:p w14:paraId="1A4B1F6D">
      <w:pPr>
        <w:ind w:firstLine="420"/>
        <w:jc w:val="both"/>
      </w:pPr>
      <w:r>
        <w:t>所有方法共享数据读取、学生 rollout、教师评分和指标记录接口，保证不同对照组只改变目标函数或监督信息粒度。</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图 2  在线策略蒸馏训练与性能评测流程</w:t>
      </w:r>
    </w:p>
    <w:p w14:paraId="5E2DE293">
      <w:pPr>
        <w:pStyle w:val="3"/>
      </w:pPr>
      <w:r>
        <w:rPr>
          <w:rFonts w:ascii="黑体" w:hAnsi="黑体" w:eastAsia="黑体" w:cs="黑体"/>
          <w:b/>
          <w:color w:val="000000"/>
          <w:sz w:val="24"/>
        </w:rPr>
        <w:t>4.4 损失与监督信息粒度/估计方式的定义原则</w:t>
      </w:r>
    </w:p>
    <w:p w14:paraId="01830904">
      <w:pPr>
        <w:ind w:firstLine="420"/>
        <w:jc w:val="both"/>
      </w:pPr>
      <w:r>
        <w:t>在全词表和 Top-K 的分布形式下，令 p_T 和 p_S 分别表示教师与学生在有效位置的概率分布，通用 token 级目标可以写为：</w:t>
      </w:r>
    </w:p>
    <w:p w14:paraId="33555737">
      <w:pPr>
        <w:ind w:firstLine="0"/>
        <w:jc w:val="center"/>
      </w:pPr>
      <m:oMathPara>
        <m:oMath>
          <m:sSub>
            <m:sSubPr/>
            <m:e>
              <m:r>
                <m:rPr/>
                <m:t>ℒ</m:t>
              </m:r>
            </m:e>
            <m:sub>
              <m:r>
                <m:rPr>
                  <m:sty m:val="p"/>
                </m:rPr>
                <m:t>distill</m:t>
              </m:r>
            </m:sub>
          </m:sSub>
          <m:r>
            <m:rPr/>
            <m:t>=</m:t>
          </m:r>
          <m:f>
            <m:fPr/>
            <m:num>
              <m:nary>
                <m:naryPr>
                  <m:chr m:val="∑"/>
                  <m:grow m:val="1"/>
                  <m:limLoc m:val="subSup"/>
                  <m:supHide m:val="1"/>
                </m:naryPr>
                <m:sub>
                  <m:r>
                    <m:rPr/>
                    <m:t>b,t</m:t>
                  </m:r>
                </m:sub>
                <m:sup/>
                <m:e>
                  <m:sSub>
                    <m:sSubPr/>
                    <m:e>
                      <m:r>
                        <m:rPr/>
                        <m:t>m</m:t>
                      </m:r>
                    </m:e>
                    <m:sub>
                      <m:r>
                        <m:rPr/>
                        <m:t>b,t</m:t>
                      </m:r>
                    </m:sub>
                  </m:sSub>
                  <m:r>
                    <m:rPr/>
                    <m:t>D</m:t>
                  </m:r>
                  <m:d>
                    <m:dPr>
                      <m:sepChr m:val=","/>
                    </m:dPr>
                    <m:e>
                      <m:sSub>
                        <m:sSubPr/>
                        <m:e>
                          <m:r>
                            <m:rPr/>
                            <m:t>p</m:t>
                          </m:r>
                        </m:e>
                        <m:sub>
                          <m:r>
                            <m:rPr/>
                            <m:t>T</m:t>
                          </m:r>
                        </m:sub>
                      </m:sSub>
                      <m:d>
                        <m:dPr>
                          <m:sepChr m:val=","/>
                        </m:dPr>
                        <m:e>
                          <m:r>
                            <m:rPr/>
                            <m:t>·∣</m:t>
                          </m:r>
                          <m:sSub>
                            <m:sSubPr/>
                            <m:e>
                              <m:r>
                                <m:rPr/>
                                <m:t>x</m:t>
                              </m:r>
                            </m:e>
                            <m:sub>
                              <m:r>
                                <m:rPr/>
                                <m:t>b</m:t>
                              </m:r>
                            </m:sub>
                          </m:sSub>
                          <m:r>
                            <m:rPr/>
                            <m:t>,</m:t>
                          </m:r>
                          <m:sSub>
                            <m:sSubPr/>
                            <m:e>
                              <m:r>
                                <m:rPr/>
                                <m:t>y</m:t>
                              </m:r>
                            </m:e>
                            <m:sub>
                              <m:r>
                                <m:rPr/>
                                <m:t>b,&lt;t</m:t>
                              </m:r>
                            </m:sub>
                          </m:sSub>
                        </m:e>
                      </m:d>
                      <m:r>
                        <m:rPr/>
                        <m:t>∥</m:t>
                      </m:r>
                      <m:sSub>
                        <m:sSubPr/>
                        <m:e>
                          <m:r>
                            <m:rPr/>
                            <m:t>p</m:t>
                          </m:r>
                        </m:e>
                        <m:sub>
                          <m:r>
                            <m:rPr/>
                            <m:t>S</m:t>
                          </m:r>
                        </m:sub>
                      </m:sSub>
                      <m:d>
                        <m:dPr>
                          <m:sepChr m:val=","/>
                        </m:dPr>
                        <m:e>
                          <m:r>
                            <m:rPr/>
                            <m:t>·∣</m:t>
                          </m:r>
                          <m:sSub>
                            <m:sSubPr/>
                            <m:e>
                              <m:r>
                                <m:rPr/>
                                <m:t>x</m:t>
                              </m:r>
                            </m:e>
                            <m:sub>
                              <m:r>
                                <m:rPr/>
                                <m:t>b</m:t>
                              </m:r>
                            </m:sub>
                          </m:sSub>
                          <m:r>
                            <m:rPr/>
                            <m:t>,</m:t>
                          </m:r>
                          <m:sSub>
                            <m:sSubPr/>
                            <m:e>
                              <m:r>
                                <m:rPr/>
                                <m:t>y</m:t>
                              </m:r>
                            </m:e>
                            <m:sub>
                              <m:r>
                                <m:rPr/>
                                <m:t>b,&lt;t</m:t>
                              </m:r>
                            </m:sub>
                          </m:sSub>
                        </m:e>
                      </m:d>
                    </m:e>
                  </m:d>
                </m:e>
              </m:nary>
            </m:num>
            <m:den>
              <m:nary>
                <m:naryPr>
                  <m:chr m:val="∑"/>
                  <m:grow m:val="1"/>
                  <m:limLoc m:val="subSup"/>
                  <m:supHide m:val="1"/>
                </m:naryPr>
                <m:sub>
                  <m:r>
                    <m:rPr/>
                    <m:t>b,t</m:t>
                  </m:r>
                </m:sub>
                <m:sup/>
                <m:e>
                  <m:sSub>
                    <m:sSubPr/>
                    <m:e>
                      <m:r>
                        <m:rPr/>
                        <m:t>m</m:t>
                      </m:r>
                    </m:e>
                    <m:sub>
                      <m:r>
                        <m:rPr/>
                        <m:t>b,t</m:t>
                      </m:r>
                    </m:sub>
                  </m:sSub>
                  <m:r>
                    <m:rPr/>
                    <m:t>+ε</m:t>
                  </m:r>
                </m:e>
              </m:nary>
            </m:den>
          </m:f>
        </m:oMath>
      </m:oMathPara>
    </w:p>
    <w:p w14:paraId="6E53B4B0">
      <w:pPr>
        <w:ind w:firstLine="420"/>
        <w:jc w:val="both"/>
      </w:pPr>
      <w:r>
        <w:t>其中，m 表示由消息、工具边界和响应位置共同确定的有效 token 掩码。概率计算采用 log-sum-exp、概率下界和混合精度控制避免数值溢出。K1 sampled-token 使用单独定义的采样估计器，并记录随机种子与估计方差。</w:t>
      </w:r>
    </w:p>
    <w:p w14:paraId="32BF1A8F">
      <w:pPr>
        <w:ind w:firstLine="420"/>
        <w:jc w:val="both"/>
      </w:pPr>
      <w:r>
        <w:t>监督信息粒度与散度目标的比较矩阵如下：</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8"/>
        <w:gridCol w:w="1761"/>
        <w:gridCol w:w="1730"/>
        <w:gridCol w:w="1604"/>
        <w:gridCol w:w="1369"/>
      </w:tblGrid>
      <w:tr w14:paraId="15E61120">
        <w:trPr>
          <w:tblHeader/>
          <w:jc w:val="center"/>
        </w:trPr>
        <w:tc>
          <w:tcPr>
            <w:tcW w:w="4148" w:type="dxa"/>
            <w:vAlign w:val="center"/>
          </w:tcPr>
          <w:p w14:paraId="0C984810">
            <w:pPr>
              <w:spacing w:before="0" w:after="0" w:line="240" w:lineRule="auto"/>
              <w:ind w:firstLine="0"/>
              <w:jc w:val="center"/>
            </w:pPr>
            <w:r>
              <w:rPr>
                <w:rFonts w:ascii="Times New Roman" w:hAnsi="Times New Roman" w:eastAsia="宋体"/>
                <w:b/>
                <w:sz w:val="19"/>
              </w:rPr>
              <w:t>监督信息粒度/估计方式</w:t>
            </w:r>
          </w:p>
        </w:tc>
        <w:tc>
          <w:tcPr>
            <w:tcW w:w="4148" w:type="dxa"/>
            <w:vAlign w:val="center"/>
          </w:tcPr>
          <w:p w14:paraId="6B2C1018">
            <w:pPr>
              <w:spacing w:before="0" w:after="0" w:line="240" w:lineRule="auto"/>
              <w:ind w:firstLine="0"/>
              <w:jc w:val="center"/>
            </w:pPr>
            <w:r>
              <w:rPr>
                <w:rFonts w:ascii="Times New Roman" w:hAnsi="Times New Roman" w:eastAsia="宋体"/>
                <w:b/>
                <w:sz w:val="19"/>
              </w:rPr>
              <w:t>Forward KL</w:t>
            </w:r>
          </w:p>
        </w:tc>
        <w:tc>
          <w:tcPr>
            <w:tcW w:w="4148" w:type="dxa"/>
            <w:vAlign w:val="center"/>
          </w:tcPr>
          <w:p w14:paraId="02EE87DF">
            <w:pPr>
              <w:spacing w:before="0" w:after="0" w:line="240" w:lineRule="auto"/>
              <w:ind w:firstLine="0"/>
              <w:jc w:val="center"/>
            </w:pPr>
            <w:r>
              <w:rPr>
                <w:rFonts w:ascii="Times New Roman" w:hAnsi="Times New Roman" w:eastAsia="宋体"/>
                <w:b/>
                <w:sz w:val="19"/>
              </w:rPr>
              <w:t>Reverse KL</w:t>
            </w:r>
          </w:p>
        </w:tc>
        <w:tc>
          <w:tcPr>
            <w:tcW w:w="4148" w:type="dxa"/>
            <w:vAlign w:val="center"/>
          </w:tcPr>
          <w:p w14:paraId="60B5A87E">
            <w:pPr>
              <w:spacing w:before="0" w:after="0" w:line="240" w:lineRule="auto"/>
              <w:ind w:firstLine="0"/>
              <w:jc w:val="center"/>
            </w:pPr>
            <w:r>
              <w:rPr>
                <w:rFonts w:ascii="Times New Roman" w:hAnsi="Times New Roman" w:eastAsia="宋体"/>
                <w:b/>
                <w:sz w:val="19"/>
              </w:rPr>
              <w:t>广义散度</w:t>
            </w:r>
          </w:p>
        </w:tc>
        <w:tc>
          <w:tcPr>
            <w:tcW w:w="4148" w:type="dxa"/>
            <w:vAlign w:val="center"/>
          </w:tcPr>
          <w:p w14:paraId="088DB88C">
            <w:pPr>
              <w:spacing w:before="0" w:after="0" w:line="240" w:lineRule="auto"/>
              <w:ind w:firstLine="0"/>
              <w:jc w:val="center"/>
            </w:pPr>
            <w:r>
              <w:rPr>
                <w:rFonts w:ascii="Times New Roman" w:hAnsi="Times New Roman" w:eastAsia="宋体"/>
                <w:b/>
                <w:sz w:val="19"/>
              </w:rPr>
              <w:t>说明</w:t>
            </w:r>
          </w:p>
        </w:tc>
      </w:tr>
      <w:tr w14:paraId="568DC1CB">
        <w:trPr>
          <w:jc w:val="center"/>
        </w:trPr>
        <w:tc>
          <w:tcPr>
            <w:tcW w:w="4148" w:type="dxa"/>
            <w:vAlign w:val="center"/>
          </w:tcPr>
          <w:p w14:paraId="24BA4DC4">
            <w:pPr>
              <w:spacing w:before="0" w:after="0" w:line="240" w:lineRule="auto"/>
              <w:ind w:firstLine="0"/>
              <w:jc w:val="center"/>
            </w:pPr>
            <w:r>
              <w:rPr>
                <w:rFonts w:ascii="Times New Roman" w:hAnsi="Times New Roman" w:eastAsia="宋体"/>
                <w:b w:val="0"/>
                <w:sz w:val="19"/>
              </w:rPr>
              <w:t>全词表</w:t>
            </w:r>
          </w:p>
        </w:tc>
        <w:tc>
          <w:tcPr>
            <w:tcW w:w="4148" w:type="dxa"/>
            <w:vAlign w:val="center"/>
          </w:tcPr>
          <w:p w14:paraId="1E409E4D">
            <w:pPr>
              <w:spacing w:before="0" w:after="0" w:line="240" w:lineRule="auto"/>
              <w:ind w:firstLine="0"/>
              <w:jc w:val="center"/>
            </w:pPr>
            <w:r>
              <w:rPr>
                <w:rFonts w:ascii="Times New Roman" w:hAnsi="Times New Roman" w:eastAsia="宋体"/>
                <w:b w:val="0"/>
                <w:sz w:val="19"/>
              </w:rPr>
              <w:t>全词表 FKL</w:t>
            </w:r>
          </w:p>
        </w:tc>
        <w:tc>
          <w:tcPr>
            <w:tcW w:w="4148" w:type="dxa"/>
            <w:vAlign w:val="center"/>
          </w:tcPr>
          <w:p w14:paraId="702B1700">
            <w:pPr>
              <w:spacing w:before="0" w:after="0" w:line="240" w:lineRule="auto"/>
              <w:ind w:firstLine="0"/>
              <w:jc w:val="center"/>
            </w:pPr>
            <w:r>
              <w:rPr>
                <w:rFonts w:ascii="Times New Roman" w:hAnsi="Times New Roman" w:eastAsia="宋体"/>
                <w:b w:val="0"/>
                <w:sz w:val="19"/>
              </w:rPr>
              <w:t>全词表 RKL</w:t>
            </w:r>
          </w:p>
        </w:tc>
        <w:tc>
          <w:tcPr>
            <w:tcW w:w="4148" w:type="dxa"/>
            <w:vAlign w:val="center"/>
          </w:tcPr>
          <w:p w14:paraId="169573F0">
            <w:pPr>
              <w:spacing w:before="0" w:after="0" w:line="240" w:lineRule="auto"/>
              <w:ind w:firstLine="0"/>
              <w:jc w:val="center"/>
            </w:pPr>
            <w:r>
              <w:rPr>
                <w:rFonts w:ascii="Times New Roman" w:hAnsi="Times New Roman" w:eastAsia="宋体"/>
                <w:b w:val="0"/>
                <w:sz w:val="19"/>
              </w:rPr>
              <w:t>全词表广义散度</w:t>
            </w:r>
          </w:p>
        </w:tc>
        <w:tc>
          <w:tcPr>
            <w:tcW w:w="4148" w:type="dxa"/>
            <w:vAlign w:val="center"/>
          </w:tcPr>
          <w:p w14:paraId="4AA4DF2E">
            <w:pPr>
              <w:spacing w:before="0" w:after="0" w:line="240" w:lineRule="auto"/>
              <w:ind w:firstLine="0"/>
              <w:jc w:val="center"/>
            </w:pPr>
            <w:r>
              <w:rPr>
                <w:rFonts w:ascii="Times New Roman" w:hAnsi="Times New Roman" w:eastAsia="宋体"/>
                <w:b w:val="0"/>
                <w:sz w:val="19"/>
              </w:rPr>
              <w:t>完整分布对照</w:t>
            </w:r>
          </w:p>
        </w:tc>
      </w:tr>
      <w:tr w14:paraId="17480239">
        <w:trPr>
          <w:jc w:val="center"/>
        </w:trPr>
        <w:tc>
          <w:tcPr>
            <w:tcW w:w="4148" w:type="dxa"/>
            <w:vAlign w:val="center"/>
          </w:tcPr>
          <w:p w14:paraId="4DBCBCCE">
            <w:pPr>
              <w:spacing w:before="0" w:after="0" w:line="240" w:lineRule="auto"/>
              <w:ind w:firstLine="0"/>
              <w:jc w:val="center"/>
            </w:pPr>
            <w:r>
              <w:rPr>
                <w:rFonts w:ascii="Times New Roman" w:hAnsi="Times New Roman" w:eastAsia="宋体"/>
                <w:b w:val="0"/>
                <w:sz w:val="19"/>
              </w:rPr>
              <w:t>Top-K</w:t>
            </w:r>
          </w:p>
        </w:tc>
        <w:tc>
          <w:tcPr>
            <w:tcW w:w="4148" w:type="dxa"/>
            <w:vAlign w:val="center"/>
          </w:tcPr>
          <w:p w14:paraId="4F4C009D">
            <w:pPr>
              <w:spacing w:before="0" w:after="0" w:line="240" w:lineRule="auto"/>
              <w:ind w:firstLine="0"/>
              <w:jc w:val="center"/>
            </w:pPr>
            <w:r>
              <w:rPr>
                <w:rFonts w:ascii="Times New Roman" w:hAnsi="Times New Roman" w:eastAsia="宋体"/>
                <w:b w:val="0"/>
                <w:sz w:val="19"/>
              </w:rPr>
              <w:t>Top-K FKL</w:t>
            </w:r>
          </w:p>
        </w:tc>
        <w:tc>
          <w:tcPr>
            <w:tcW w:w="4148" w:type="dxa"/>
            <w:vAlign w:val="center"/>
          </w:tcPr>
          <w:p w14:paraId="11D8717A">
            <w:pPr>
              <w:spacing w:before="0" w:after="0" w:line="240" w:lineRule="auto"/>
              <w:ind w:firstLine="0"/>
              <w:jc w:val="center"/>
            </w:pPr>
            <w:r>
              <w:rPr>
                <w:rFonts w:ascii="Times New Roman" w:hAnsi="Times New Roman" w:eastAsia="宋体"/>
                <w:b w:val="0"/>
                <w:sz w:val="19"/>
              </w:rPr>
              <w:t>Top-K RKL</w:t>
            </w:r>
          </w:p>
        </w:tc>
        <w:tc>
          <w:tcPr>
            <w:tcW w:w="4148" w:type="dxa"/>
            <w:vAlign w:val="center"/>
          </w:tcPr>
          <w:p w14:paraId="3A35555F">
            <w:pPr>
              <w:spacing w:before="0" w:after="0" w:line="240" w:lineRule="auto"/>
              <w:ind w:firstLine="0"/>
              <w:jc w:val="center"/>
            </w:pPr>
            <w:r>
              <w:rPr>
                <w:rFonts w:ascii="Times New Roman" w:hAnsi="Times New Roman" w:eastAsia="宋体"/>
                <w:b w:val="0"/>
                <w:sz w:val="19"/>
              </w:rPr>
              <w:t>Top-K 广义散度</w:t>
            </w:r>
          </w:p>
        </w:tc>
        <w:tc>
          <w:tcPr>
            <w:tcW w:w="4148" w:type="dxa"/>
            <w:vAlign w:val="center"/>
          </w:tcPr>
          <w:p w14:paraId="0A52DD0F">
            <w:pPr>
              <w:spacing w:before="0" w:after="0" w:line="240" w:lineRule="auto"/>
              <w:ind w:firstLine="0"/>
              <w:jc w:val="center"/>
            </w:pPr>
            <w:r>
              <w:rPr>
                <w:rFonts w:ascii="Times New Roman" w:hAnsi="Times New Roman" w:eastAsia="宋体"/>
                <w:b w:val="0"/>
                <w:sz w:val="19"/>
              </w:rPr>
              <w:t>稀疏支持集</w:t>
            </w:r>
          </w:p>
        </w:tc>
      </w:tr>
      <w:tr w14:paraId="5DED9877">
        <w:trPr>
          <w:jc w:val="center"/>
        </w:trPr>
        <w:tc>
          <w:tcPr>
            <w:tcW w:w="4148" w:type="dxa"/>
            <w:vAlign w:val="center"/>
          </w:tcPr>
          <w:p w14:paraId="03D05CC0">
            <w:pPr>
              <w:spacing w:before="0" w:after="0" w:line="240" w:lineRule="auto"/>
              <w:ind w:firstLine="0"/>
              <w:jc w:val="center"/>
            </w:pPr>
            <w:r>
              <w:rPr>
                <w:rFonts w:ascii="Times New Roman" w:hAnsi="Times New Roman" w:eastAsia="宋体"/>
                <w:b w:val="0"/>
                <w:sz w:val="19"/>
              </w:rPr>
              <w:t>K1 sampled-token</w:t>
            </w:r>
          </w:p>
        </w:tc>
        <w:tc>
          <w:tcPr>
            <w:tcW w:w="4148" w:type="dxa"/>
            <w:vAlign w:val="center"/>
          </w:tcPr>
          <w:p w14:paraId="340E34F9">
            <w:pPr>
              <w:spacing w:before="0" w:after="0" w:line="240" w:lineRule="auto"/>
              <w:ind w:firstLine="0"/>
              <w:jc w:val="center"/>
            </w:pPr>
            <w:r>
              <w:rPr>
                <w:rFonts w:ascii="Times New Roman" w:hAnsi="Times New Roman" w:eastAsia="宋体"/>
                <w:b w:val="0"/>
                <w:sz w:val="19"/>
              </w:rPr>
              <w:t>K1-FKL 估计</w:t>
            </w:r>
          </w:p>
        </w:tc>
        <w:tc>
          <w:tcPr>
            <w:tcW w:w="4148" w:type="dxa"/>
            <w:vAlign w:val="center"/>
          </w:tcPr>
          <w:p w14:paraId="4358821D">
            <w:pPr>
              <w:spacing w:before="0" w:after="0" w:line="240" w:lineRule="auto"/>
              <w:ind w:firstLine="0"/>
              <w:jc w:val="center"/>
            </w:pPr>
            <w:r>
              <w:rPr>
                <w:rFonts w:ascii="Times New Roman" w:hAnsi="Times New Roman" w:eastAsia="宋体"/>
                <w:b w:val="0"/>
                <w:sz w:val="19"/>
              </w:rPr>
              <w:t>K1-RKL 估计</w:t>
            </w:r>
          </w:p>
        </w:tc>
        <w:tc>
          <w:tcPr>
            <w:tcW w:w="4148" w:type="dxa"/>
            <w:vAlign w:val="center"/>
          </w:tcPr>
          <w:p w14:paraId="7212AE94">
            <w:pPr>
              <w:spacing w:before="0" w:after="0" w:line="240" w:lineRule="auto"/>
              <w:ind w:firstLine="0"/>
              <w:jc w:val="center"/>
            </w:pPr>
            <w:r>
              <w:rPr>
                <w:rFonts w:ascii="Times New Roman" w:hAnsi="Times New Roman" w:eastAsia="宋体"/>
                <w:b w:val="0"/>
                <w:sz w:val="19"/>
              </w:rPr>
              <w:t>K1 广义散度估计</w:t>
            </w:r>
          </w:p>
        </w:tc>
        <w:tc>
          <w:tcPr>
            <w:tcW w:w="4148" w:type="dxa"/>
            <w:vAlign w:val="center"/>
          </w:tcPr>
          <w:p w14:paraId="18867DC3">
            <w:pPr>
              <w:spacing w:before="0" w:after="0" w:line="240" w:lineRule="auto"/>
              <w:ind w:firstLine="0"/>
              <w:jc w:val="center"/>
            </w:pPr>
            <w:r>
              <w:rPr>
                <w:rFonts w:ascii="Times New Roman" w:hAnsi="Times New Roman" w:eastAsia="宋体"/>
                <w:b w:val="0"/>
                <w:sz w:val="19"/>
              </w:rPr>
              <w:t>单样本随机估计</w:t>
            </w:r>
          </w:p>
        </w:tc>
      </w:tr>
    </w:tbl>
    <w:p w14:paraId="26F667FD">
      <w:pPr>
        <w:ind w:firstLine="420"/>
        <w:jc w:val="both"/>
      </w:pPr>
      <w:r>
        <w:t>比较矩阵覆盖三类目标函数和三种监督方案。各实验使用统一的数据、训练预算和评测协议，并在配置中记录损失形式、K 值、支持集、重归一化、K1 proposal、梯度估计和数值精度。</w:t>
      </w:r>
    </w:p>
    <w:p w14:paraId="7D429E15">
      <w:pPr>
        <w:ind w:firstLine="420"/>
        <w:jc w:val="both"/>
      </w:pPr>
      <w:r>
        <w:t>三种监督方案和广义散度的名称定义如下：</w:t>
      </w:r>
    </w:p>
    <w:p w14:paraId="03436525">
      <w:pPr>
        <w:pStyle w:val="15"/>
        <w:ind w:firstLine="420"/>
        <w:jc w:val="left"/>
      </w:pPr>
      <w:r>
        <w:t>• “全词表”表示教师完整输出在规定有效位置上参与分布匹配；工程实现可采用分块计算或流式处理。</w:t>
      </w:r>
    </w:p>
    <w:p w14:paraId="1E71EBD7">
      <w:pPr>
        <w:pStyle w:val="15"/>
        <w:ind w:firstLine="420"/>
        <w:jc w:val="left"/>
      </w:pPr>
      <w:r>
        <w:t>• “Top-K”表示使用明确的高概率 token 支持集，并记录支持集来源、重归一化和支持集外概率处理。</w:t>
      </w:r>
    </w:p>
    <w:p w14:paraId="2A2D1311">
      <w:pPr>
        <w:pStyle w:val="15"/>
        <w:ind w:firstLine="420"/>
        <w:jc w:val="left"/>
      </w:pPr>
      <w:r>
        <w:t>• “K1 sampled-token”表示每个位置使用一个采样 token 估计相应期望，与选择最大概率 token 的硬标签方法分开记录。</w:t>
      </w:r>
    </w:p>
    <w:p w14:paraId="718B00F7">
      <w:pPr>
        <w:pStyle w:val="15"/>
        <w:ind w:firstLine="420"/>
        <w:jc w:val="left"/>
      </w:pPr>
      <w:r>
        <w:t>• “广义散度”分析 JSD、skew KL 等代表性目标，并在实验配置中记录具体公式、混合参数和梯度计算规则。</w:t>
      </w:r>
    </w:p>
    <w:p w14:paraId="4DC19C45">
      <w:pPr>
        <w:ind w:firstLine="420"/>
        <w:jc w:val="both"/>
      </w:pPr>
      <w:r>
        <w:t>师生词表、token 边界和特殊 token 需要保持可对齐。正式训练前通过 tokenizer 单元测试、模板回环测试和小批量损失/梯度测试验证对数概率、Mask、padding 和梯度传播的正确性。</w:t>
      </w:r>
    </w:p>
    <w:p w14:paraId="264AD57D">
      <w:pPr>
        <w:pStyle w:val="3"/>
      </w:pPr>
      <w:r>
        <w:rPr>
          <w:rFonts w:ascii="黑体" w:hAnsi="黑体" w:eastAsia="黑体" w:cs="黑体"/>
          <w:b/>
          <w:color w:val="000000"/>
          <w:sz w:val="24"/>
        </w:rPr>
        <w:t>4.5 评价指标和公平性</w:t>
      </w:r>
    </w:p>
    <w:p w14:paraId="1E75A657">
      <w:pPr>
        <w:ind w:firstLine="420"/>
        <w:jc w:val="both"/>
      </w:pPr>
      <w:r>
        <w:t>评价指标分为任务效果、训练稳定性、分布与误差分析、资源与部署四类：</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JSON/结构化格式合法性、函数名、参数键和值、schema 通过率、调用执行成功率、端到端任务完成率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overlap、支持集外比例、非法输出和重复率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BFCL 为结构化函数调用评测提供参考[27]。本课题使用明确的指标定义评估函数选择、参数、schema、调用执行和任务完成情况；推理性能评测进一步记录吞吐、首 token 延迟、完整响应延迟、峰值显存和端到端调用成功率。</w:t>
      </w:r>
    </w:p>
    <w:p w14:paraId="7C90D5F1">
      <w:pPr>
        <w:ind w:firstLine="420"/>
        <w:jc w:val="both"/>
      </w:pPr>
      <w:r>
        <w:t>在操作层面，函数名准确率应比较规范化后的函数标识；参数键准确率应检查字段集合或字段级匹配；参数值准确率应依据 schema 和任务允许的等价规则比较；schema 合法率应检查类型、必填字段和枚举约束；执行成功率应以模拟工具返回的结果为准；端到端成功率则需要检查规定交互范围内是否完成目标。各指标不能互相替代，例如 JSON 可以解析不代表函数正确，函数和参数正确也不一定代表工具结果被正确利用。</w:t>
      </w:r>
    </w:p>
    <w:p w14:paraId="7A0844C1">
      <w:pPr>
        <w:ind w:firstLine="420"/>
        <w:jc w:val="both"/>
      </w:pPr>
      <w:r>
        <w:t>稳定性分析覆盖完整训练过程，记录损失、有效 token 数、师生熵、Top-K overlap、格式错误、支持集外概率、梯度范数和异常值。资源分析分别统计学生 rollout、教师前向和最终服务三个阶段，区分蒸馏训练效率与部署吞吐。</w:t>
      </w:r>
    </w:p>
    <w:p w14:paraId="2CC9EDD0">
      <w:pPr>
        <w:ind w:firstLine="420"/>
        <w:jc w:val="both"/>
      </w:pPr>
      <w:r>
        <w:t>公平性原则是固定学生、教师、公开数据、数据划分、LoRA 配置、训练预算、生成条件和评测脚本。所有实验保存配置、代码提交号、模型版本、数据版本、依赖版本、硬件环境和原始指标；不同成本口径同时报告学生更新量、墙钟时间和教师调用开销。</w:t>
      </w:r>
    </w:p>
    <w:p w14:paraId="2386798F">
      <w:pPr>
        <w:ind w:firstLine="420"/>
        <w:jc w:val="both"/>
      </w:pPr>
      <w:r>
        <w:t>结果分析报告完整训练曲线、验证与测试统计、重复运行波动和资源消耗。失败案例按照工具选择、结构解析、参数字段、参数值、上下文和执行环节分类，并比较不同散度和监督方案的错误分布。</w:t>
      </w:r>
    </w:p>
    <w:p w14:paraId="56ED6E07">
      <w:pPr>
        <w:pStyle w:val="3"/>
      </w:pPr>
      <w:r>
        <w:rPr>
          <w:rFonts w:ascii="黑体" w:hAnsi="黑体" w:eastAsia="黑体" w:cs="黑体"/>
          <w:b/>
          <w:color w:val="000000"/>
          <w:sz w:val="24"/>
        </w:rPr>
        <w:t xml:space="preserve">4.6 可行性分析</w:t>
      </w:r>
    </w:p>
    <w:p w14:paraId="40E26365">
      <w:pPr>
        <w:ind w:firstLine="420"/>
        <w:jc w:val="both"/>
      </w:pPr>
      <w:r>
        <w:t xml:space="preserve">Qwen3-0.6B 学生、Qwen3-4B 教师和 LoRA 后训练构成可实施的模型组合，PyTorch、Transformers、PEFT 与 vLLM 提供训练和部署基础。研究采用由小规模验证到正式实验的渐进方式，在固定模型、数据、接口和评测规则后逐步扩大训练规模，因此具备明确的实现路径与验证条件。</w:t>
      </w:r>
    </w:p>
    <w:p w14:paraId="6CC957E8">
      <w:pPr>
        <w:pStyle w:val="2"/>
      </w:pPr>
      <w:r>
        <w:rPr>
          <w:rFonts w:ascii="黑体" w:hAnsi="黑体" w:eastAsia="黑体" w:cs="黑体"/>
          <w:b/>
          <w:color w:val="000000"/>
          <w:sz w:val="28"/>
        </w:rPr>
        <w:t>5．进度安排，预期达到的目标</w:t>
      </w:r>
    </w:p>
    <w:p w14:paraId="4D67942D">
      <w:pPr>
        <w:pStyle w:val="3"/>
      </w:pPr>
      <w:r>
        <w:rPr>
          <w:rFonts w:ascii="黑体" w:hAnsi="黑体" w:eastAsia="黑体" w:cs="黑体"/>
          <w:b/>
          <w:color w:val="000000"/>
          <w:sz w:val="24"/>
        </w:rPr>
        <w:t>5.1 进度安排</w:t>
      </w:r>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3 和表中所示。</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3"/>
        <w:gridCol w:w="2982"/>
        <w:gridCol w:w="2737"/>
      </w:tblGrid>
      <w:tr w14:paraId="63DBB9E9">
        <w:trPr>
          <w:tblHeader w:val="1"/>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 xml:space="preserve">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 xml:space="preserve">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 xml:space="preserve">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 xml:space="preserve">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 xml:space="preserve">完成开题材料修改与提交；明确研究问题、模型组合、数据范围、实验变量、评价指标和复现要求。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 xml:space="preserve">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 xml:space="preserve">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 xml:space="preserve">继续文献调研；筛选公开 Function Calling 数据，完成去重、切分和字段映射；审计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 xml:space="preserve">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 xml:space="preserve">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 xml:space="preserve">实现 LoRA 训练、学生 rollout、教师评分、全词表/Top-K/K1 接口和统一评测脚本；通过小规模试运行确定上下文长度、批大小与精度配置。</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 xml:space="preserve">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 xml:space="preserve">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 xml:space="preserve">在统一数据、训练预算和生成协议下启动主要对照实验；完成训练链路、阶段性结果和资源记录，并于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 xml:space="preserve">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 xml:space="preserve">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 xml:space="preserve">完成主要组合、必要重复实验与消融；搭建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 xml:space="preserve">原始结果、统计表、误差分类、对比图与复现记录</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 xml:space="preserve">2027年4月—5月：论文撰写、结题与答辩</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 xml:space="preserve">完成结果分析、资源—性能权衡和失败案例讨论；整理复现材料，撰写并修改毕业论文；预计 2027 年 5 月完成结题申请与答辩。</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 xml:space="preserve">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图 3  项目总体进度安排</w:t>
      </w:r>
    </w:p>
    <w:p w14:paraId="13935738">
      <w:pPr>
        <w:ind w:firstLine="420"/>
        <w:jc w:val="both"/>
      </w:pPr>
      <w:r>
        <w:t xml:space="preserve">进度安排覆盖 2026 年 9 月至 2027 年 5 月。2026 年内重点完成开题、数据准备、兼容性审计和训练管线实现；2027 年 2 月起开展正式实验，并在 3 月中期申请前形成阶段性结果；随后完成补充实验、部署评测和统计分析，4—5 月集中完成论文、结题和答辩材料。</w:t>
      </w:r>
    </w:p>
    <w:p w14:paraId="2E4BC355">
      <w:pPr>
        <w:pStyle w:val="3"/>
      </w:pPr>
      <w:r>
        <w:rPr>
          <w:rFonts w:ascii="黑体" w:hAnsi="黑体" w:eastAsia="黑体" w:cs="黑体"/>
          <w:b/>
          <w:color w:val="000000"/>
          <w:sz w:val="24"/>
        </w:rPr>
        <w:t>5.2 预期达到的目标</w:t>
      </w:r>
    </w:p>
    <w:p w14:paraId="5C45F9E1">
      <w:pPr>
        <w:pStyle w:val="15"/>
        <w:ind w:firstLine="420"/>
        <w:jc w:val="left"/>
      </w:pPr>
      <w:r>
        <w:t>1. 完成 Qwen3-0.6B 学生的 LoRA 在线策略蒸馏研究流程，使用冻结的 Qwen3-4B 作为教师。</w:t>
      </w:r>
    </w:p>
    <w:p w14:paraId="661280AE">
      <w:pPr>
        <w:pStyle w:val="15"/>
        <w:ind w:firstLine="420"/>
        <w:jc w:val="left"/>
      </w:pPr>
      <w:r>
        <w:t>2. 在公开 Function Calling 数据上比较 Forward KL、Reverse KL、广义散度，以及全词表、Top-K、K1 sampled-token。</w:t>
      </w:r>
    </w:p>
    <w:p w14:paraId="4D24F9B5">
      <w:pPr>
        <w:pStyle w:val="15"/>
        <w:ind w:firstLine="420"/>
        <w:jc w:val="left"/>
      </w:pPr>
      <w:r>
        <w:t>3. 建立分层评测方法，分别分析格式、函数选择、参数生成、调用执行和端到端任务完成情况。</w:t>
      </w:r>
    </w:p>
    <w:p w14:paraId="444409D5">
      <w:pPr>
        <w:pStyle w:val="15"/>
        <w:ind w:firstLine="420"/>
        <w:jc w:val="left"/>
      </w:pPr>
      <w:r>
        <w:t>4. 记录不同方法的训练稳定性、教师反馈量、训练资源和部署表现。</w:t>
      </w:r>
    </w:p>
    <w:p w14:paraId="1F6068D2">
      <w:pPr>
        <w:pStyle w:val="15"/>
        <w:ind w:firstLine="420"/>
        <w:jc w:val="left"/>
      </w:pPr>
      <w:r>
        <w:t>5. 通过 vLLM 或自建测试程序完成最终模型验证，形成任务性能、训练资源和推理性能的对比结果。</w:t>
      </w:r>
    </w:p>
    <w:p w14:paraId="34BA0ABE">
      <w:pPr>
        <w:pStyle w:val="15"/>
        <w:ind w:firstLine="420"/>
        <w:jc w:val="left"/>
      </w:pPr>
      <w:r>
        <w:t>6. 形成中文项目文档、实验记录、毕业论文和答辩材料。</w:t>
      </w:r>
    </w:p>
    <w:p w14:paraId="11B7E0CE">
      <w:pPr>
        <w:ind w:firstLine="420"/>
        <w:jc w:val="both"/>
      </w:pPr>
      <w:r>
        <w:t>本课题的预期成果包括一套定义清晰的 OPD 方法与训练流程、一份公开数据和模型版本记录、一组能够解释方法差异的实验指标，以及一个可重复调用的最终测试流程。</w:t>
      </w:r>
    </w:p>
    <w:p w14:paraId="629A1AD4">
      <w:pPr>
        <w:pStyle w:val="2"/>
      </w:pPr>
      <w:r>
        <w:rPr>
          <w:rFonts w:ascii="黑体" w:hAnsi="黑体" w:eastAsia="黑体" w:cs="黑体"/>
          <w:b/>
          <w:color w:val="000000"/>
          <w:sz w:val="28"/>
        </w:rPr>
        <w:t>6．课题已具备和所需的条件、经费</w:t>
      </w:r>
    </w:p>
    <w:p w14:paraId="15508BCB">
      <w:pPr>
        <w:pStyle w:val="3"/>
      </w:pPr>
      <w:r>
        <w:rPr>
          <w:rFonts w:ascii="黑体" w:hAnsi="黑体" w:eastAsia="黑体" w:cs="黑体"/>
          <w:b/>
          <w:color w:val="000000"/>
          <w:sz w:val="24"/>
        </w:rPr>
        <w:t>6.1 已具备条件</w:t>
      </w:r>
    </w:p>
    <w:p w14:paraId="27E56054">
      <w:pPr>
        <w:ind w:firstLine="420"/>
        <w:jc w:val="both"/>
      </w:pPr>
      <w:r>
        <w:t>目前已具备明确的研究方向、模型组合、LoRA 后训练路线和公开 Function Calling 应用领域，并完成相关文献与模型资料调研。PyTorch、Transformers、PEFT、Datasets 和 vLLM 等开源工具能够支持后续数据处理、模型训练和部署评测。</w:t>
      </w:r>
    </w:p>
    <w:p w14:paraId="649F9E8B">
      <w:pPr>
        <w:pStyle w:val="3"/>
      </w:pPr>
      <w:r>
        <w:rPr>
          <w:rFonts w:ascii="黑体" w:hAnsi="黑体" w:eastAsia="黑体" w:cs="黑体"/>
          <w:b/>
          <w:color w:val="000000"/>
          <w:sz w:val="24"/>
        </w:rPr>
        <w:t>6.2 所需条件</w:t>
      </w:r>
    </w:p>
    <w:p w14:paraId="246A73AD">
      <w:pPr>
        <w:ind w:firstLine="420"/>
        <w:jc w:val="both"/>
      </w:pPr>
      <w:r>
        <w:t>软件环境包括 Python、PyTorch、Transformers、PEFT、Datasets 和 vLLM，硬件环境需支持 Qwen3-4B 教师推理、Qwen3-0.6B 学生 rollout 和 LoRA 更新。实验将根据可用显存配置序列长度、批量大小、梯度累积、混合精度和教师输出缓存。</w:t>
      </w:r>
    </w:p>
    <w:p w14:paraId="56F2417D">
      <w:pPr>
        <w:pStyle w:val="3"/>
      </w:pPr>
      <w:r>
        <w:rPr>
          <w:rFonts w:ascii="黑体" w:hAnsi="黑体" w:eastAsia="黑体" w:cs="黑体"/>
          <w:b/>
          <w:color w:val="000000"/>
          <w:sz w:val="24"/>
        </w:rPr>
        <w:t>6.3 经费</w:t>
      </w:r>
    </w:p>
    <w:p w14:paraId="31301070">
      <w:pPr>
        <w:spacing w:before="0" w:after="0" w:line="360" w:lineRule="auto"/>
        <w:ind w:firstLine="420"/>
        <w:jc w:val="both"/>
      </w:pPr>
      <w:r>
        <w:rPr>
          <w:rFonts w:ascii="Times New Roman" w:hAnsi="Times New Roman" w:eastAsia="宋体"/>
          <w:sz w:val="24"/>
        </w:rPr>
        <w:t>本课题的经费以 GPU 算力租赁为主，用于 Qwen3-4B 教师模型在线评分、Qwen3-0.6B 学生模型 rollout 与 LoRA 训练，以及多组对照实验和重复实验。经费按计划上限编制，实际支出根据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为减少无效支出，先在小规模数据上完成 tokenizer、模板、Schema 和损失实现审计，再启动正式训练；实验统一记录 GPU 型号、计费时长、失败重跑原因和有效训练时长，使资源消耗能够与性能收益对应分析。</w:t>
      </w:r>
    </w:p>
    <w:p w14:paraId="646AF9F9">
      <w:pPr>
        <w:spacing w:before="0" w:after="120" w:line="240" w:lineRule="auto"/>
        <w:ind w:firstLine="0"/>
        <w:jc w:val="center"/>
      </w:pPr>
      <w:r>
        <w:rPr>
          <w:rFonts w:ascii="Times New Roman" w:hAnsi="Times New Roman" w:eastAsia="宋体"/>
          <w:sz w:val="21"/>
        </w:rPr>
        <w:t>表 6-1  经费预算</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训练、多组合对照和必要重复实验</w:t>
            </w:r>
            <w:r>
              <w:rPr>
                <w:rFonts w:hint="eastAsia"/>
                <w:b w:val="0"/>
                <w:sz w:val="17"/>
                <w:lang w:eastAsia="zh-CN"/>
              </w:rPr>
              <w:t>，</w:t>
            </w:r>
            <w:r>
              <w:rPr>
                <w:rFonts w:hint="eastAsia"/>
                <w:b w:val="0"/>
                <w:sz w:val="17"/>
                <w:lang w:val="en-US" w:eastAsia="zh-CN"/>
              </w:rPr>
              <w:t>预计使用</w:t>
            </w:r>
            <w:r>
              <w:rPr>
                <w:rFonts w:hint="default"/>
                <w:b w:val="0"/>
                <w:sz w:val="17"/>
                <w:lang w:val="en-US" w:eastAsia="zh-CN"/>
              </w:rPr>
              <w:t>NVIDIA GeForce RTX 5090 32G</w:t>
            </w:r>
            <w:r>
              <w:rPr>
                <w:rFonts w:hint="eastAsia"/>
                <w:b w:val="0"/>
                <w:sz w:val="17"/>
                <w:lang w:val="en-US" w:eastAsia="zh-CN"/>
              </w:rPr>
              <w:t>训练</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w:t>
            </w:r>
            <w:r>
              <w:rPr>
                <w:rFonts w:hint="default"/>
                <w:b w:val="0"/>
                <w:sz w:val="17"/>
                <w:lang w:val="en-US"/>
              </w:rPr>
              <w:t>,</w:t>
            </w:r>
            <w:r>
              <w:rPr>
                <w:rFonts w:hint="eastAsia"/>
                <w:b w:val="0"/>
                <w:sz w:val="17"/>
                <w:lang w:val="en-US" w:eastAsia="zh-CN"/>
              </w:rPr>
              <w:t>预计费率</w:t>
            </w:r>
            <w:r>
              <w:rPr>
                <w:rFonts w:hint="default"/>
                <w:b w:val="0"/>
                <w:sz w:val="17"/>
                <w:lang w:val="en-US" w:eastAsia="zh-CN"/>
              </w:rPr>
              <w:t>8</w:t>
            </w:r>
            <w:r>
              <w:rPr>
                <w:rFonts w:hint="eastAsia"/>
                <w:b w:val="0"/>
                <w:sz w:val="17"/>
                <w:lang w:val="en-US" w:eastAsia="zh-CN"/>
              </w:rPr>
              <w:t>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eastAsia"/>
                <w:b w:val="0"/>
                <w:sz w:val="17"/>
                <w:lang w:val="en-US" w:eastAsia="zh-CN"/>
              </w:rPr>
              <w:t>1000</w:t>
            </w:r>
          </w:p>
        </w:tc>
        <w:tc>
          <w:tcPr>
            <w:tcW w:w="2076" w:type="dxa"/>
            <w:vAlign w:val="center"/>
          </w:tcPr>
          <w:p w14:paraId="3475160D">
            <w:pPr>
              <w:spacing w:before="0" w:after="0" w:line="240" w:lineRule="auto"/>
              <w:ind w:firstLine="0"/>
              <w:jc w:val="center"/>
            </w:pPr>
          </w:p>
        </w:tc>
        <w:tc>
          <w:tcPr>
            <w:tcW w:w="2076" w:type="dxa"/>
            <w:vAlign w:val="center"/>
          </w:tcPr>
          <w:p w14:paraId="4887EE35">
            <w:pPr>
              <w:spacing w:before="0" w:after="0" w:line="240" w:lineRule="auto"/>
              <w:ind w:firstLine="0"/>
              <w:jc w:val="center"/>
            </w:pPr>
          </w:p>
        </w:tc>
      </w:tr>
    </w:tbl>
    <w:p w14:paraId="15A9EA17">
      <w:pPr>
        <w:pStyle w:val="2"/>
        <w:pageBreakBefore w:val="1"/>
      </w:pPr>
      <w:r>
        <w:rPr>
          <w:rFonts w:ascii="黑体" w:hAnsi="黑体" w:eastAsia="黑体" w:cs="黑体"/>
          <w:b/>
          <w:color w:val="000000"/>
          <w:sz w:val="28"/>
        </w:rPr>
        <w:t>7．研究过程中可能遇到的困难和问题，解决的措施</w:t>
      </w:r>
    </w:p>
    <w:p w14:paraId="2A5C30F9">
      <w:pPr>
        <w:ind w:firstLine="420"/>
        <w:jc w:val="both"/>
      </w:pPr>
      <w:r>
        <w:t xml:space="preserve">本课题可能遇到的困难集中在数据与接口、蒸馏估计、训练资源和部署评测四个方面，主要问题及解决措施如下：</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val="1"/>
        </w:trPr>
        <w:tc>
          <w:tcPr>
            <w:tcW w:w="4148" w:type="dxa"/>
          </w:tcPr>
          <w:p w14:paraId="4D407EE9">
            <w:pPr>
              <w:ind w:firstLine="0"/>
              <w:jc w:val="left"/>
            </w:pPr>
            <w:r>
              <w:rPr>
                <w:b/>
              </w:rPr>
              <w:t xml:space="preserve">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比较全词表、Top-K、K1 的反馈量，采用分块计算、缓存和梯度累积控制资源开销。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记录支持集外比例、熵和异常 loss；稳定化扩展只在主方案可运行后考虑。</w:t>
            </w:r>
          </w:p>
        </w:tc>
      </w:tr>
      <w:tr w14:paraId="7831A88A">
        <w:tc>
          <w:tcPr>
            <w:tcW w:w="4148" w:type="dxa"/>
          </w:tcPr>
          <w:p w14:paraId="273AF66C">
            <w:pPr>
              <w:ind w:firstLine="0"/>
              <w:jc w:val="left"/>
            </w:pPr>
            <w:r>
              <w:t>数据格式、许可证或训练测试泄漏</w:t>
            </w:r>
          </w:p>
        </w:tc>
        <w:tc>
          <w:tcPr>
            <w:tcW w:w="4148" w:type="dxa"/>
          </w:tcPr>
          <w:p w14:paraId="654FCD3D">
            <w:pPr>
              <w:ind w:firstLine="0"/>
              <w:jc w:val="left"/>
            </w:pPr>
            <w:r>
              <w:t>核验数据卡和许可证，去重并隔离测试集，保存版本和过滤规则。</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或自建测试程序的版本、加载方式和测量参数。</w:t>
            </w:r>
          </w:p>
        </w:tc>
      </w:tr>
    </w:tbl>
    <w:p w14:paraId="7661A5B1">
      <w:pPr>
        <w:ind w:firstLine="420"/>
        <w:jc w:val="both"/>
      </w:pPr>
      <w:r>
        <w:t xml:space="preserve">实施过程中，训练前完成数据、模型、tokenizer 和消息模板审计；采用短序列验证、小批量训练、梯度累积、混合精度、教师输出缓存和分块计算控制资源开销；为全词表、Top-K 和 K1 规定统一的支持集、采样与 Mask 协议，并保存异常 loss、非法结构和失败工具调用的可追溯样本。</w:t>
      </w:r>
    </w:p>
    <w:p w14:paraId="59D0F03A">
      <w:pPr>
        <w:ind w:firstLine="420"/>
        <w:jc w:val="both"/>
      </w:pPr>
      <w:r>
        <w:t xml:space="preserve">实验日志按照数据与接口、蒸馏估计、训练资源和部署评测四类记录问题；评测结果分层报告格式解析、函数选择、参数生成、工具执行和端到端任务完成情况，使算法效果、资源成本与系统性能能够分别分析。</w:t>
      </w:r>
    </w:p>
    <w:p w14:paraId="1E1D72DA">
      <w:pPr>
        <w:ind w:firstLine="420"/>
        <w:jc w:val="both"/>
      </w:pPr>
      <w:r>
        <w:t>完成主要比较后，将进一步考察 Top-K 支持集修复和损失截断方法，包括师生高概率集合并集、残余概率质量保留和极端概率比裁剪，用于分析截断监督的稳定性。</w:t>
      </w:r>
    </w:p>
    <w:p w14:paraId="0874BB6A">
      <w:pPr>
        <w:pStyle w:val="2"/>
      </w:pPr>
      <w:r>
        <w:rPr>
          <w:rFonts w:ascii="黑体" w:hAnsi="黑体" w:eastAsia="黑体" w:cs="黑体"/>
          <w:b/>
          <w:color w:val="000000"/>
          <w:sz w:val="28"/>
        </w:rPr>
        <w:t>8．主要参考文献</w:t>
      </w:r>
    </w:p>
    <w:p w14:paraId="1DB37AB9">
      <w:pPr>
        <w:pStyle w:val="15"/>
        <w:numPr>
          <w:ilvl w:val="0"/>
          <w:numId w:val="1"/>
        </w:numPr>
        <w:ind w:firstLine="420"/>
        <w:jc w:val="left"/>
      </w:pPr>
      <w:r>
        <w:t>Hinton G, Vinyals O, Dean J. Distilling the Knowledge in a Neural Network[EB/OL]. arXiv:1503.02531, 2015.</w:t>
      </w:r>
    </w:p>
    <w:p w14:paraId="1ADC76CC">
      <w:pPr>
        <w:pStyle w:val="15"/>
        <w:numPr>
          <w:ilvl w:val="0"/>
          <w:numId w:val="1"/>
        </w:numPr>
        <w:ind w:firstLine="420"/>
        <w:jc w:val="left"/>
      </w:pPr>
      <w:r>
        <w:t>Kim Y, Rush A M. Sequence-Level Knowledge Distillation[C]//Proceedings of the 2016 Conference on Empirical Methods in Natural Language Processing. ACL, 2016: 1317-1327. DOI:10.18653/v1/D16-1139.</w:t>
      </w:r>
    </w:p>
    <w:p w14:paraId="4F6C6FD9">
      <w:pPr>
        <w:pStyle w:val="15"/>
        <w:numPr>
          <w:ilvl w:val="0"/>
          <w:numId w:val="1"/>
        </w:numPr>
        <w:ind w:firstLine="420"/>
        <w:jc w:val="left"/>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5"/>
        <w:numPr>
          <w:ilvl w:val="0"/>
          <w:numId w:val="1"/>
        </w:numPr>
        <w:ind w:firstLine="420"/>
        <w:jc w:val="left"/>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5"/>
        <w:numPr>
          <w:ilvl w:val="0"/>
          <w:numId w:val="1"/>
        </w:numPr>
        <w:ind w:firstLine="420"/>
        <w:jc w:val="left"/>
      </w:pPr>
      <w:r>
        <w:t>Huszár F. How (not) to Train your Generative Model: Scheduled Sampling, Likelihood, Adversary?[EB/OL]. arXiv:1511.05101, 2015.</w:t>
      </w:r>
    </w:p>
    <w:p w14:paraId="6C24ECAE">
      <w:pPr>
        <w:pStyle w:val="15"/>
        <w:numPr>
          <w:ilvl w:val="0"/>
          <w:numId w:val="1"/>
        </w:numPr>
        <w:ind w:firstLine="420"/>
        <w:jc w:val="left"/>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5"/>
        <w:numPr>
          <w:ilvl w:val="0"/>
          <w:numId w:val="1"/>
        </w:numPr>
        <w:ind w:firstLine="420"/>
        <w:jc w:val="left"/>
      </w:pPr>
      <w:r>
        <w:t>Agarwal R, Vieillard N, Zhou Y, et al. On-Policy Distillation of Language Models: Learning from Self-Generated Mistakes[C]//International Conference on Learning Representations. 2024. arXiv:2306.13649.</w:t>
      </w:r>
    </w:p>
    <w:p w14:paraId="7DB42AF6">
      <w:pPr>
        <w:pStyle w:val="15"/>
        <w:numPr>
          <w:ilvl w:val="0"/>
          <w:numId w:val="1"/>
        </w:numPr>
        <w:ind w:firstLine="420"/>
        <w:jc w:val="left"/>
      </w:pPr>
      <w:r>
        <w:t>Gu Y, Dong L, Wei F, et al. MiniLLM: Knowledge Distillation of Large Language Models[C]//International Conference on Learning Representations. 2024. arXiv:2306.08543.</w:t>
      </w:r>
    </w:p>
    <w:p w14:paraId="719D2FB1">
      <w:pPr>
        <w:pStyle w:val="15"/>
        <w:numPr>
          <w:ilvl w:val="0"/>
          <w:numId w:val="1"/>
        </w:numPr>
        <w:ind w:firstLine="420"/>
        <w:jc w:val="left"/>
      </w:pPr>
      <w:r>
        <w:t>Ko J, Kim S, Chen T, et al. DistiLLM: Towards Streamlined Distillation for Large Language Models[C]//Proceedings of the 41st International Conference on Machine Learning. PMLR, 2024, 235: 24872-24895.</w:t>
      </w:r>
    </w:p>
    <w:p w14:paraId="1C80C04E">
      <w:pPr>
        <w:pStyle w:val="15"/>
        <w:numPr>
          <w:ilvl w:val="0"/>
          <w:numId w:val="1"/>
        </w:numPr>
        <w:ind w:firstLine="420"/>
        <w:jc w:val="left"/>
      </w:pPr>
      <w:r>
        <w:t>Lu K, Thinking Machines Lab. On-Policy Distillation[EB/OL]. Thinking Machines Lab: Connectionism, 2025（技术博客）. DOI:10.64434/tml.20251026.</w:t>
      </w:r>
    </w:p>
    <w:p w14:paraId="23921927">
      <w:pPr>
        <w:pStyle w:val="15"/>
        <w:numPr>
          <w:ilvl w:val="0"/>
          <w:numId w:val="1"/>
        </w:numPr>
        <w:ind w:firstLine="420"/>
        <w:jc w:val="left"/>
      </w:pPr>
      <w:r>
        <w:t>Li Y, Zuo Y, He B, et al. Rethinking On-Policy Distillation of Large Language Models: Phenomenology, Mechanism, and Recipe[EB/OL]. arXiv:2604.13016v2, 2026. DOI:10.48550/arXiv.2604.13016.</w:t>
      </w:r>
    </w:p>
    <w:p w14:paraId="32C3FCC3">
      <w:pPr>
        <w:pStyle w:val="15"/>
        <w:numPr>
          <w:ilvl w:val="0"/>
          <w:numId w:val="1"/>
        </w:numPr>
        <w:ind w:firstLine="420"/>
        <w:jc w:val="left"/>
      </w:pPr>
      <w:r>
        <w:t>Fu Z, He B, Zuo Y, et al. Rethinking On-Policy Distillation of Large Language Models II: One Training Example[EB/OL]. arXiv:2609.04172v1, 2026. DOI:10.48550/arXiv.2609.04172.</w:t>
      </w:r>
    </w:p>
    <w:p w14:paraId="4B227259">
      <w:pPr>
        <w:pStyle w:val="15"/>
        <w:numPr>
          <w:ilvl w:val="0"/>
          <w:numId w:val="1"/>
        </w:numPr>
        <w:ind w:firstLine="420"/>
        <w:jc w:val="left"/>
      </w:pPr>
      <w:r>
        <w:t>Fu Y, Huang H, Jiang K, et al. Revisiting On-Policy Distillation: Empirical Failure Modes and Simple Fixes[EB/OL]. arXiv:2603.25562v2, 2026. DOI:10.48550/arXiv.2603.25562.</w:t>
      </w:r>
    </w:p>
    <w:p w14:paraId="529E3E43">
      <w:pPr>
        <w:pStyle w:val="15"/>
        <w:numPr>
          <w:ilvl w:val="0"/>
          <w:numId w:val="1"/>
        </w:numPr>
        <w:ind w:firstLine="420"/>
        <w:jc w:val="left"/>
      </w:pPr>
      <w:r>
        <w:t>Zhu W, Xie R, Wang R, et al. Hybrid Policy Distillation for LLMs[EB/OL]. arXiv:2604.20244v2, 2026. DOI:10.48550/arXiv.2604.20244.</w:t>
      </w:r>
    </w:p>
    <w:p w14:paraId="319C7304">
      <w:pPr>
        <w:pStyle w:val="15"/>
        <w:numPr>
          <w:ilvl w:val="0"/>
          <w:numId w:val="1"/>
        </w:numPr>
        <w:ind w:firstLine="420"/>
        <w:jc w:val="left"/>
      </w:pPr>
      <w:r>
        <w:t>Song M, Zheng M. A Survey of On-Policy Distillation for Large Language Models[EB/OL]. arXiv:2604.00626v4, 2026. DOI:10.48550/arXiv.2604.00626.</w:t>
      </w:r>
    </w:p>
    <w:p w14:paraId="6F2F83D3">
      <w:pPr>
        <w:pStyle w:val="15"/>
        <w:numPr>
          <w:ilvl w:val="0"/>
          <w:numId w:val="1"/>
        </w:numPr>
        <w:ind w:firstLine="420"/>
        <w:jc w:val="left"/>
      </w:pPr>
      <w:r>
        <w:t>Qwen Team. Qwen3 Technical Report[EB/OL]. arXiv:2505.09388, 2025. DOI:10.48550/arXiv.2505.09388.</w:t>
      </w:r>
    </w:p>
    <w:p w14:paraId="3D1CC9FC">
      <w:pPr>
        <w:pStyle w:val="15"/>
        <w:numPr>
          <w:ilvl w:val="0"/>
          <w:numId w:val="1"/>
        </w:numPr>
        <w:ind w:firstLine="420"/>
        <w:jc w:val="left"/>
      </w:pPr>
      <w:r>
        <w:t>Kullback S, Leibler R A. On Information and Sufficiency[J]. The Annals of Mathematical Statistics, 1951, 22(1): 79-86. DOI:10.1214/aoms/1177729694.</w:t>
      </w:r>
    </w:p>
    <w:p w14:paraId="2E214B5B">
      <w:pPr>
        <w:pStyle w:val="15"/>
        <w:numPr>
          <w:ilvl w:val="0"/>
          <w:numId w:val="1"/>
        </w:numPr>
        <w:ind w:firstLine="420"/>
        <w:jc w:val="left"/>
      </w:pPr>
      <w:r>
        <w:t>Lin J. Divergence Measures Based on the Shannon Entropy[J]. IEEE Transactions on Information Theory, 1991, 37(1): 145-151.</w:t>
      </w:r>
    </w:p>
    <w:p w14:paraId="6841C405">
      <w:pPr>
        <w:pStyle w:val="15"/>
        <w:numPr>
          <w:ilvl w:val="0"/>
          <w:numId w:val="1"/>
        </w:numPr>
        <w:ind w:firstLine="420"/>
        <w:jc w:val="left"/>
      </w:pPr>
      <w:r>
        <w:t>Hu E J, Shen Y, Wallis P, et al. LoRA: Low-Rank Adaptation of Large Language Models[C]//International Conference on Learning Representations. 2022. arXiv:2106.09685.</w:t>
      </w:r>
    </w:p>
    <w:p w14:paraId="366C4C73">
      <w:pPr>
        <w:pStyle w:val="15"/>
        <w:numPr>
          <w:ilvl w:val="0"/>
          <w:numId w:val="1"/>
        </w:numPr>
        <w:ind w:firstLine="420"/>
        <w:jc w:val="left"/>
      </w:pPr>
      <w:r>
        <w:t>Kwon W, Li Z, Zhuang S, et al. Efficient Memory Management for Large Language Model Serving with PagedAttention[C]//Proceedings of the 29th Symposium on Operating Systems Principles. ACM, 2023: 611-626. DOI:10.1145/3600006.3613165.</w:t>
      </w:r>
    </w:p>
    <w:p w14:paraId="3C944867">
      <w:pPr>
        <w:pStyle w:val="15"/>
        <w:numPr>
          <w:ilvl w:val="0"/>
          <w:numId w:val="1"/>
        </w:numPr>
        <w:ind w:firstLine="420"/>
        <w:jc w:val="left"/>
      </w:pPr>
      <w:r>
        <w:t>Yao S, Zhao J, Yu D, et al. ReAct: Synergizing Reasoning and Acting in Language Models[C]//International Conference on Learning Representations. 2023. arXiv:2210.03629.</w:t>
      </w:r>
    </w:p>
    <w:p w14:paraId="7EC0CC1B">
      <w:pPr>
        <w:pStyle w:val="15"/>
        <w:numPr>
          <w:ilvl w:val="0"/>
          <w:numId w:val="1"/>
        </w:numPr>
        <w:ind w:firstLine="420"/>
        <w:jc w:val="left"/>
      </w:pPr>
      <w:r>
        <w:t>Patil S G, Zhang T, Wang X, et al. Gorilla: Large Language Model Connected with Massive APIs[EB/OL]. arXiv:2305.15334, 2023.</w:t>
      </w:r>
    </w:p>
    <w:p w14:paraId="272697B3">
      <w:pPr>
        <w:pStyle w:val="15"/>
        <w:numPr>
          <w:ilvl w:val="0"/>
          <w:numId w:val="1"/>
        </w:numPr>
        <w:ind w:firstLine="420"/>
        <w:jc w:val="left"/>
      </w:pPr>
      <w:r>
        <w:t>Li M, Zhao Y, Yu B, et al. API-Bank: A Comprehensive Benchmark for Tool-Augmented LLMs[C]//Proceedings of the 2023 Conference on Empirical Methods in Natural Language Processing. ACL, 2023: 3102-3116. DOI:10.18653/v1/2023.emnlp-main.187.</w:t>
      </w:r>
    </w:p>
    <w:p w14:paraId="27EE8778">
      <w:pPr>
        <w:pStyle w:val="15"/>
        <w:numPr>
          <w:ilvl w:val="0"/>
          <w:numId w:val="1"/>
        </w:numPr>
        <w:ind w:firstLine="420"/>
        <w:jc w:val="left"/>
      </w:pPr>
      <w:r>
        <w:t>Qin Y, Liang S, Ye Y, et al. ToolLLM: Facilitating Large Language Models to Master 16000+ Real-world APIs[EB/OL]. arXiv:2307.16789, 2023.</w:t>
      </w:r>
    </w:p>
    <w:p w14:paraId="18515301">
      <w:pPr>
        <w:pStyle w:val="15"/>
        <w:numPr>
          <w:ilvl w:val="0"/>
          <w:numId w:val="1"/>
        </w:numPr>
        <w:ind w:firstLine="420"/>
        <w:jc w:val="left"/>
      </w:pPr>
      <w:r>
        <w:t>Liu Z, Hoang T, Zhang J, et al. APIGen: Automated Pipeline for Generating Verifiable and Diverse Function-Calling Datasets[C]//Advances in Neural Information Processing Systems. 2024. DOI:10.52202/079017-1725.</w:t>
      </w:r>
    </w:p>
    <w:p w14:paraId="79D77904">
      <w:pPr>
        <w:pStyle w:val="15"/>
        <w:numPr>
          <w:ilvl w:val="0"/>
          <w:numId w:val="1"/>
        </w:numPr>
        <w:ind w:firstLine="420"/>
        <w:jc w:val="left"/>
      </w:pPr>
      <w:r>
        <w:t>Liu W, Huang X, Zeng X, et al. ToolACE: Winning the Points of LLM Function Calling[C]//International Conference on Learning Representations. 2025. arXiv:2409.00920.</w:t>
      </w:r>
    </w:p>
    <w:p w14:paraId="77EEE5FF">
      <w:pPr>
        <w:pStyle w:val="15"/>
        <w:numPr>
          <w:ilvl w:val="0"/>
          <w:numId w:val="1"/>
        </w:numPr>
        <w:ind w:firstLine="420"/>
        <w:jc w:val="left"/>
      </w:pPr>
      <w:r>
        <w:t>Patil S G, Mao H, Yan F, et al. The Berkeley Function Calling Leaderboard (BFCL): From Tool Use to Agentic Evaluation of Large Language Models[C]//Proceedings of the 42nd International Conference on Machine Learning. PMLR, 2025, 267: 48371-48392.</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黑体">
    <w:altName w:val="汉仪中黑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方正雅意黑 GB18030L2"/>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等线 Light">
    <w:altName w:val="汉仪中等线KW"/>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方正雅意黑 GB18030L2">
    <w:panose1 w:val="02000500000000000000"/>
    <w:charset w:val="86"/>
    <w:family w:val="auto"/>
    <w:pitch w:val="default"/>
    <w:sig w:usb0="E00002FF" w:usb1="38CFFCFB" w:usb2="00000016" w:usb3="00000000" w:csb0="6004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6FFF75D6"/>
    <w:rsid w:val="F77BC61A"/>
    <w:rsid w:val="FEBB36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19"/>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18"/>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0"/>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0">
    <w:name w:val="Default Paragraph Font"/>
    <w:semiHidden/>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5">
    <w:name w:val="footer"/>
    <w:basedOn w:val="1"/>
    <w:link w:val="22"/>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1"/>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9">
    <w:name w:val="Table Grid"/>
    <w:basedOn w:val="8"/>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2">
    <w:name w:val="节"/>
    <w:basedOn w:val="1"/>
    <w:uiPriority w:val="0"/>
    <w:pPr>
      <w:snapToGrid w:val="0"/>
      <w:spacing w:beforeLines="50" w:afterLines="50" w:line="300" w:lineRule="auto"/>
    </w:pPr>
    <w:rPr>
      <w:rFonts w:eastAsia="黑体"/>
      <w:sz w:val="30"/>
    </w:rPr>
  </w:style>
  <w:style w:type="paragraph" w:customStyle="1" w:styleId="13">
    <w:name w:val="条"/>
    <w:basedOn w:val="1"/>
    <w:uiPriority w:val="0"/>
    <w:pPr>
      <w:snapToGrid w:val="0"/>
      <w:spacing w:beforeLines="50" w:afterLines="50" w:line="300" w:lineRule="auto"/>
    </w:pPr>
    <w:rPr>
      <w:rFonts w:eastAsia="黑体"/>
      <w:sz w:val="28"/>
    </w:rPr>
  </w:style>
  <w:style w:type="paragraph" w:customStyle="1" w:styleId="14">
    <w:name w:val="款"/>
    <w:basedOn w:val="1"/>
    <w:uiPriority w:val="0"/>
    <w:pPr>
      <w:snapToGrid w:val="0"/>
      <w:spacing w:line="300" w:lineRule="auto"/>
    </w:pPr>
    <w:rPr>
      <w:rFonts w:eastAsia="黑体"/>
    </w:rPr>
  </w:style>
  <w:style w:type="paragraph" w:styleId="15">
    <w:name w:val="List Paragraph"/>
    <w:basedOn w:val="1"/>
    <w:qFormat/>
    <w:uiPriority w:val="34"/>
    <w:pPr>
      <w:ind w:firstLine="420" w:firstLineChars="200"/>
    </w:pPr>
  </w:style>
  <w:style w:type="character" w:customStyle="1" w:styleId="16">
    <w:name w:val="fontstyle01"/>
    <w:basedOn w:val="10"/>
    <w:uiPriority w:val="0"/>
    <w:rPr>
      <w:rFonts w:hint="eastAsia" w:ascii="宋体" w:hAnsi="宋体" w:eastAsia="宋体"/>
      <w:color w:val="000000"/>
      <w:sz w:val="24"/>
      <w:szCs w:val="24"/>
    </w:rPr>
  </w:style>
  <w:style w:type="character" w:customStyle="1" w:styleId="17">
    <w:name w:val="fontstyle21"/>
    <w:basedOn w:val="10"/>
    <w:uiPriority w:val="0"/>
    <w:rPr>
      <w:rFonts w:hint="default" w:ascii="TimesNewRomanPSMT" w:hAnsi="TimesNewRomanPSMT"/>
      <w:color w:val="000000"/>
      <w:sz w:val="24"/>
      <w:szCs w:val="24"/>
    </w:rPr>
  </w:style>
  <w:style w:type="character" w:customStyle="1" w:styleId="18">
    <w:name w:val="标题 2 字符"/>
    <w:basedOn w:val="10"/>
    <w:link w:val="3"/>
    <w:uiPriority w:val="9"/>
    <w:rPr>
      <w:rFonts w:asciiTheme="majorHAnsi" w:hAnsiTheme="majorHAnsi" w:eastAsiaTheme="majorEastAsia" w:cstheme="majorBidi"/>
      <w:b/>
      <w:bCs/>
      <w:sz w:val="30"/>
      <w:szCs w:val="32"/>
    </w:rPr>
  </w:style>
  <w:style w:type="character" w:customStyle="1" w:styleId="19">
    <w:name w:val="标题 1 字符"/>
    <w:basedOn w:val="10"/>
    <w:link w:val="2"/>
    <w:uiPriority w:val="9"/>
    <w:rPr>
      <w:rFonts w:ascii="Times New Roman" w:hAnsi="Times New Roman" w:eastAsia="宋体" w:cs="Times New Roman"/>
      <w:b/>
      <w:bCs/>
      <w:kern w:val="44"/>
      <w:sz w:val="32"/>
      <w:szCs w:val="44"/>
    </w:rPr>
  </w:style>
  <w:style w:type="character" w:customStyle="1" w:styleId="20">
    <w:name w:val="标题 3 字符"/>
    <w:basedOn w:val="10"/>
    <w:link w:val="4"/>
    <w:uiPriority w:val="9"/>
    <w:rPr>
      <w:rFonts w:ascii="Times New Roman" w:hAnsi="Times New Roman" w:eastAsia="宋体" w:cs="Times New Roman"/>
      <w:b/>
      <w:bCs/>
      <w:sz w:val="28"/>
      <w:szCs w:val="32"/>
    </w:rPr>
  </w:style>
  <w:style w:type="character" w:customStyle="1" w:styleId="21">
    <w:name w:val="页眉 字符"/>
    <w:basedOn w:val="10"/>
    <w:link w:val="6"/>
    <w:uiPriority w:val="99"/>
    <w:rPr>
      <w:rFonts w:ascii="Times New Roman" w:hAnsi="Times New Roman" w:eastAsia="宋体" w:cs="Times New Roman"/>
      <w:sz w:val="18"/>
      <w:szCs w:val="18"/>
    </w:rPr>
  </w:style>
  <w:style w:type="character" w:customStyle="1" w:styleId="22">
    <w:name w:val="页脚 字符"/>
    <w:basedOn w:val="10"/>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26</Pages>
  <Words>735</Words>
  <Characters>4192</Characters>
  <Lines>34</Lines>
  <Paragraphs>9</Paragraphs>
  <TotalTime>3</TotalTime>
  <ScaleCrop>false</ScaleCrop>
  <LinksUpToDate>false</LinksUpToDate>
  <CharactersWithSpaces>4918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2022-10-09T18:38:00Z</dcterms:created>
  <dc:creator>董 睿璞</dc:creator>
  <cp:lastModifiedBy>Dr.Oppenheimer</cp:lastModifiedBy>
  <dcterms:modified xsi:type="dcterms:W3CDTF">2026-09-21T19:05:07Z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