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基于在线策略蒸馏的大语言模型后训练方法研究</w:t>
        <w:br/>
        <w:t>前置文献综述</w:t>
      </w:r>
    </w:p>
    <w:p>
      <w:pPr>
        <w:ind w:firstLine="0"/>
        <w:jc w:val="center"/>
      </w:pPr>
      <w:r>
        <w:rPr>
          <w:b/>
          <w:color w:val="000000"/>
        </w:rPr>
        <w:t>（供课题讨论与方案论证使用）</w:t>
        <w:br/>
      </w:r>
      <w:r>
        <w:rPr>
          <w:color w:val="000000"/>
        </w:rPr>
        <w:t>整理日期：2026年9月21日</w:t>
      </w:r>
    </w:p>
    <w:p>
      <w:pPr>
        <w:pStyle w:val="Heading1"/>
      </w:pPr>
      <w:r>
        <w:rPr>
          <w:color w:val="000000"/>
        </w:rPr>
        <w:t>摘要</w:t>
      </w:r>
    </w:p>
    <w:p>
      <w:pPr/>
      <w:r>
        <w:rPr>
          <w:color w:val="000000"/>
        </w:rPr>
        <w:t>大语言模型后训练已由监督微调扩展到知识蒸馏、偏好优化和强化学习。传统离线蒸馏可复用教师输出，但学生推理时会沿自身预测形成新状态，训练与部署仍可能发生分布偏移。在线策略蒸馏（On-Policy Distillation，OPD）让学生先生成轨迹，再由教师在学生实际访问的状态上提供token级反馈，结合了模仿学习的状态覆盖和知识蒸馏的密集监督。本文基于项目已核验的35篇文献，梳理后训练、序列级蒸馏、散度目标、OPD代表方法、失败模式和参数高效实现。本文将OPD理解为由状态采样、教师反馈、散度方向、监督支持集和资源约束共同构成的训练框架。本项目拟以Qwen3-0.6B为学生、Qwen3-4B为教师，采用LoRA比较不同散度与全词表、Top-K、K1 sampled-token监督。</w:t>
      </w:r>
    </w:p>
    <w:p>
      <w:pPr>
        <w:ind w:firstLine="0"/>
      </w:pPr>
      <w:r>
        <w:rPr>
          <w:b/>
          <w:color w:val="000000"/>
        </w:rPr>
        <w:t>关键词：</w:t>
      </w:r>
      <w:r>
        <w:rPr>
          <w:color w:val="000000"/>
        </w:rPr>
        <w:t>在线策略蒸馏；大语言模型；后训练；知识蒸馏；KL散度；LoRA</w:t>
      </w:r>
    </w:p>
    <w:p>
      <w:pPr>
        <w:pStyle w:val="Heading1"/>
      </w:pPr>
      <w:r>
        <w:rPr>
          <w:color w:val="000000"/>
        </w:rPr>
        <w:t>1 研究背景与综述范围</w:t>
      </w:r>
    </w:p>
    <w:p>
      <w:pPr/>
      <w:r>
        <w:rPr>
          <w:color w:val="000000"/>
        </w:rPr>
        <w:t>大语言模型在预训练后，还需要通过后训练获得指令遵循、结构化生成和任务决策能力。SFT使用目标序列，知识蒸馏利用教师分布或生成结果，偏好优化依据回答偏好，强化学习依赖奖励。PPO通过限制策略更新幅度提高在线优化的稳定性[19]，DPO则直接从偏好对学习策略[20]。它们提供了重要的后训练参照，但不同于教师在每个生成位置提供分布监督的在线蒸馏。</w:t>
      </w:r>
    </w:p>
    <w:p>
      <w:pPr/>
      <w:r>
        <w:rPr>
          <w:color w:val="000000"/>
        </w:rPr>
        <w:t>本文围绕几个问题组织文献：学生应在谁产生的状态上训练；教师应提供完整分布、截断分布还是单样本反馈；不同散度如何影响覆盖与集中；OPD与SFT、离线蒸馏、偏好优化和强化学习有何区别；有限预算下如何复现实验。Qwen3、DeepSeek-V4和MiMo-V2-Flash等报告[21–23]用于理解近期模型与效率背景，不作为本项目已经验证的实验结论。</w:t>
      </w:r>
    </w:p>
    <w:p>
      <w:pPr>
        <w:pStyle w:val="Heading1"/>
      </w:pPr>
      <w:r>
        <w:rPr>
          <w:color w:val="000000"/>
        </w:rPr>
        <w:t>2 从经典知识蒸馏到序列级蒸馏</w:t>
      </w:r>
    </w:p>
    <w:p>
      <w:pPr>
        <w:pStyle w:val="Heading2"/>
      </w:pPr>
      <w:r>
        <w:rPr>
          <w:color w:val="000000"/>
        </w:rPr>
        <w:t>2.1 软目标与序列级监督</w:t>
      </w:r>
    </w:p>
    <w:p>
      <w:pPr/>
      <w:r>
        <w:rPr>
          <w:color w:val="000000"/>
        </w:rPr>
        <w:t>Hinton等提出的经典知识蒸馏以教师软分布作为训练信号，通过温度缩放显露类别之间的相对关系[1]。与one-hot标签相比，软分布不仅告诉学生“正确答案是什么”，还保留教师对其他候选的相对判断。对分类问题而言，这一思想比较直接；对自回归语言模型而言，输出空间扩大到整个词表，每个位置的教师判断又依赖此前生成的前缀，因此蒸馏对象会随序列推进而变化。</w:t>
      </w:r>
    </w:p>
    <w:p>
      <w:pPr/>
      <w:r>
        <w:rPr>
          <w:color w:val="000000"/>
        </w:rPr>
        <w:t>Kim和Rush把知识蒸馏推进到序列级，使用教师搜索得到的完整序列训练学生[2]。SeqKD减轻了原始训练数据中的多模态性，并为生成模型提供了较容易学习的目标，但其训练轨迹仍由教师或固定语料产生。学生部署时必须沿自己的预测继续生成，一旦早期token偏离参考序列，后续状态就可能落在训练分布之外。由此可见，扩大监督单位能够改善序列学习，却不会自动解决训练前缀与推理前缀不一致的问题。</w:t>
      </w:r>
    </w:p>
    <w:p>
      <w:pPr>
        <w:pStyle w:val="Heading2"/>
      </w:pPr>
      <w:r>
        <w:rPr>
          <w:color w:val="000000"/>
        </w:rPr>
        <w:t>2.2 分布偏移与模仿学习视角</w:t>
      </w:r>
    </w:p>
    <w:p>
      <w:pPr/>
      <w:r>
        <w:rPr>
          <w:color w:val="000000"/>
        </w:rPr>
        <w:t>Huszár对scheduled sampling的分析指出，若训练过程中混合真实前缀和模型前缀，却没有为这种混合定义一致的概率目标，学习结果可能偏离真正的数据分布[4]。这一批评把“让模型看见自身错误”与“目标函数是否正确”区分开来：仅改变前缀来源并不足够，还需要说明监督信号对应什么分布、梯度如何估计，以及训练状态与部署状态如何衔接。</w:t>
      </w:r>
    </w:p>
    <w:p>
      <w:pPr/>
      <w:r>
        <w:rPr>
          <w:color w:val="000000"/>
        </w:rPr>
        <w:t>模仿学习中的DAgger为处理状态分布偏移提供了更明确的框架。其核心做法是让学习器按照当前策略访问状态，再由专家对这些状态给出动作，从而逐轮扩大学习器真正会遇到的状态覆盖范围[3]。ImitKD进一步把这一思路用于自回归知识蒸馏，将学生视为策略、教师视为oracle，在学生生成的前缀上查询教师监督[5]。这两项工作构成OPD的重要理论和方法前身：在线蒸馏的关键不只是拥有更强教师，而是把教师反馈放在学生真实到访的状态上。</w:t>
      </w:r>
    </w:p>
    <w:p>
      <w:pPr>
        <w:pStyle w:val="Heading1"/>
      </w:pPr>
      <w:r>
        <w:rPr>
          <w:color w:val="000000"/>
        </w:rPr>
        <w:t>3 散度目标及其训练含义</w:t>
      </w:r>
    </w:p>
    <w:p>
      <w:pPr>
        <w:pStyle w:val="Heading2"/>
      </w:pPr>
      <w:r>
        <w:rPr>
          <w:color w:val="000000"/>
        </w:rPr>
        <w:t>3.1 KL方向与覆盖倾向</w:t>
      </w:r>
    </w:p>
    <w:p>
      <w:pPr/>
      <w:r>
        <w:rPr>
          <w:color w:val="000000"/>
        </w:rPr>
        <w:t>KL散度由Kullback和Leibler提出[6]。在蒸馏中，Forward KL由教师分布加权，通常更重视覆盖教师认为可能的token；Reverse KL由学生分布加权，更关注学生当前易生成的区域，常表现出更强的模式集中倾向。这些概括还会受到模型容量、温度、采样方式和词表支持集影响。</w:t>
      </w:r>
    </w:p>
    <w:p>
      <w:pPr/>
      <w:r>
        <w:rPr>
          <w:color w:val="000000"/>
        </w:rPr>
        <w:t>Jensen–Shannon散度通过混合分布构造对称差异度量[7]。Wen等把序列级蒸馏统一为f-divergence最小化，讨论KL、Reverse KL、JSD和总变差距离等目标[8]。因此，“广义散度”必须落实为具体公式、参数、支持集和估计方法，否则同名实验也可能对应不同目标。</w:t>
      </w:r>
    </w:p>
    <w:p>
      <w:pPr>
        <w:pStyle w:val="Heading2"/>
      </w:pPr>
      <w:r>
        <w:rPr>
          <w:color w:val="000000"/>
        </w:rPr>
        <w:t>3.2 监督支持集与估计成本</w:t>
      </w:r>
    </w:p>
    <w:p>
      <w:pPr/>
      <w:r>
        <w:rPr>
          <w:color w:val="000000"/>
        </w:rPr>
        <w:t>完整教师分布保留信息最多，却需要处理每个有效位置上的全部logits。Top-K降低存储和计算成本，但必须说明支持集来源、是否重归一化以及如何处理支持集外概率。K1 sampled-token只用单个采样token估计期望，成本更低，但方差更大，也可能放大少数高权重样本。</w:t>
      </w:r>
    </w:p>
    <w:p>
      <w:pPr/>
      <w:r>
        <w:rPr>
          <w:color w:val="000000"/>
        </w:rPr>
        <w:t>监督粒度会改变散度的实际行为：截断可能削弱Forward KL的覆盖作用，也可能遗漏学生在教师Top-K以外的高概率错误；K1还需要明确proposal和方差控制。本项目将散度方向与监督粒度组成二维比较矩阵，并记录教师反馈量、显存、训练时间和有效token吞吐。</w:t>
      </w:r>
    </w:p>
    <w:p>
      <w:pPr>
        <w:pStyle w:val="Heading1"/>
      </w:pPr>
      <w:r>
        <w:rPr>
          <w:color w:val="000000"/>
        </w:rPr>
        <w:t>4 在线策略蒸馏的代表性方法</w:t>
      </w:r>
    </w:p>
    <w:p>
      <w:pPr>
        <w:pStyle w:val="Heading2"/>
      </w:pPr>
      <w:r>
        <w:rPr>
          <w:color w:val="000000"/>
        </w:rPr>
        <w:t>4.1 GKD、MiniLLM与DistiLLM</w:t>
      </w:r>
    </w:p>
    <w:p>
      <w:pPr/>
      <w:r>
        <w:rPr>
          <w:color w:val="000000"/>
        </w:rPr>
        <w:t>GKD系统研究了学生自生成轨迹上的在线蒸馏，让学生产生训练状态，再由教师在这些状态上提供token级分布监督，并比较不同生成策略与散度设置[9]。它把“从学生自己的错误中学习”转化为可执行训练流程，是本项目最直接的基线之一。GKD也说明在线样本比例、学生采样温度和散度目标会共同影响结果，因此不能只报告一个算法名称而省略rollout协议。</w:t>
      </w:r>
    </w:p>
    <w:p>
      <w:pPr/>
      <w:r>
        <w:rPr>
          <w:color w:val="000000"/>
        </w:rPr>
        <w:t>MiniLLM以Reverse KL为核心，强调从序列或策略层面对教师分布进行逼近[10]。Reverse KL使更新集中在学生当前轨迹与教师高概率区域相交的部分，可能减少学生对低质量模式的平均化，但也更容易强化少数模式。MiniLLM与GKD都属于在线蒸馏研究，却不能被写成同一种实现：前者更强调序列级策略优化及方差控制，后者更便于讨论学生轨迹上的token级散度。</w:t>
      </w:r>
    </w:p>
    <w:p>
      <w:pPr/>
      <w:r>
        <w:rPr>
          <w:color w:val="000000"/>
        </w:rPr>
        <w:t>DistiLLM引入skew KL与自适应off-policy学生样本调度，在缓解训练—推理错配的同时，尝试减少持续在线生成和教师评分的成本[11]。DistiLLM-2又采用对比式目标联合建模教师数据与学生数据，使研究重点由单一on-policy比例扩展到不同数据来源和目标函数的耦合[12]。这两项工作提示，纯在线采样并非唯一可行路径；在有限预算下，学生轨迹复用、教师数据混合和对比信号可能形成更有效的折中。</w:t>
      </w:r>
    </w:p>
    <w:p>
      <w:pPr>
        <w:pStyle w:val="Heading2"/>
      </w:pPr>
      <w:r>
        <w:rPr>
          <w:color w:val="000000"/>
        </w:rPr>
        <w:t>4.2 近期经验、失败模式与混合策略</w:t>
      </w:r>
    </w:p>
    <w:p>
      <w:pPr/>
      <w:r>
        <w:rPr>
          <w:color w:val="000000"/>
        </w:rPr>
        <w:t>Thinking Machines Lab将学生rollout、教师逐token评分和Reverse KL更新整理为工程流程[13]。2026年的若干预印本又从机制、单样本和失败案例分析OPD[14–16]：教师更强并不保证每个学生状态上的反馈都易于吸收，师生推理模式、模板、tokenizer、特殊token和提示分布都会影响监督。由于这些材料较新，其结论仍需独立实验复核。</w:t>
      </w:r>
    </w:p>
    <w:p>
      <w:pPr/>
      <w:r>
        <w:rPr>
          <w:color w:val="000000"/>
        </w:rPr>
        <w:t>Hybrid Policy Distillation尝试结合不同KL方向，以适应师生偏好不一致或不同训练阶段的需求[17]；近期综述则从状态来源、优化对象、反馈形式和稳定化手段归纳OPD方法[18]。这条研究线索说明，Forward KL与Reverse KL之间未必存在对所有样本都固定最优的选择。更合理的实验设计是先建立清楚的单一目标基线，再判断混合散度是否确实改善稳定性和任务结果，而不是一开始就叠加复杂机制。</w:t>
      </w:r>
    </w:p>
    <w:p>
      <w:pPr>
        <w:pStyle w:val="Heading1"/>
      </w:pPr>
      <w:r>
        <w:rPr>
          <w:color w:val="000000"/>
        </w:rPr>
        <w:t>5 模型、参数高效训练与推理基础</w:t>
      </w:r>
    </w:p>
    <w:p>
      <w:pPr/>
      <w:r>
        <w:rPr>
          <w:color w:val="000000"/>
        </w:rPr>
        <w:t>Qwen3技术报告提供本项目师生模型家族的背景[21]。DeepSeek-V4与MiMo-V2-Flash报告反映近期模型在长上下文和推理效率方面的发展[22–23]，但其中的能力数字不能直接作为Qwen3实验的预期结果。模型选型仍取决于算力、tokenizer兼容性和可复现性。</w:t>
      </w:r>
    </w:p>
    <w:p>
      <w:pPr/>
      <w:r>
        <w:rPr>
          <w:color w:val="000000"/>
        </w:rPr>
        <w:t>LoRA以低秩增量表示权重更新，可减少需要训练和保存的参数量[24]。它降低学生更新成本，却不能消除rollout、教师前向和分布损失的开销。因此，LoRA作为各组共享接口，教师反馈量、学生生成量和损失计算量仍需分别统计。</w:t>
      </w:r>
    </w:p>
    <w:p>
      <w:pPr/>
      <w:r>
        <w:rPr>
          <w:color w:val="000000"/>
        </w:rPr>
        <w:t>vLLM通过PagedAttention改善KV cache管理和批处理效率[25]，可用于最终的吞吐与延迟评测。训练效率和部署效率应分开记录：降低教师反馈量未必提高任务表现，训练成本较高的方法也可能带来更稳定的输出。</w:t>
      </w:r>
    </w:p>
    <w:p>
      <w:pPr>
        <w:pStyle w:val="Heading1"/>
      </w:pPr>
      <w:r>
        <w:rPr>
          <w:color w:val="000000"/>
        </w:rPr>
        <w:t>6 对OPD在后训练体系中位置的理解</w:t>
      </w:r>
    </w:p>
    <w:p>
      <w:pPr>
        <w:pStyle w:val="Heading2"/>
      </w:pPr>
      <w:r>
        <w:rPr>
          <w:color w:val="000000"/>
        </w:rPr>
        <w:t>6.1 OPD不是SFT的简单替代</w:t>
      </w:r>
    </w:p>
    <w:p>
      <w:pPr/>
      <w:r>
        <w:rPr>
          <w:color w:val="000000"/>
        </w:rPr>
        <w:t>SFT、离线蒸馏与OPD都可使用教师信息，但作用方式不同。SFT把目标回答当作硬标签，离线序列蒸馏把教师结果固定为训练语料，OPD则在学生当前策略访问的状态上取得教师分布反馈。SFT适合建立基本任务能力，离线蒸馏便于稳定复用教师结果，OPD更直接地校正学生真实错误。实践中可以先建立SFT或离线蒸馏起点，再进行OPD。</w:t>
      </w:r>
    </w:p>
    <w:p>
      <w:pPr/>
      <w:r>
        <w:rPr>
          <w:color w:val="000000"/>
        </w:rPr>
        <w:t>SFT最大化固定前缀下参考答案的似然，OPD则缩小教师与学生在学生状态分布上的差异。OPD中的前缀和教师监督都会随学生更新，因此结果对rollout温度、采样频率、停止条件和初始能力更敏感。只给出损失函数而不说明轨迹如何产生，仍不足以复现实验。</w:t>
      </w:r>
    </w:p>
    <w:p>
      <w:pPr>
        <w:pStyle w:val="Heading2"/>
      </w:pPr>
      <w:r>
        <w:rPr>
          <w:color w:val="000000"/>
        </w:rPr>
        <w:t>6.2 OPD也不同于强化学习和偏好优化</w:t>
      </w:r>
    </w:p>
    <w:p>
      <w:pPr/>
      <w:r>
        <w:rPr>
          <w:color w:val="000000"/>
        </w:rPr>
        <w:t>PPO和DPO代表两类后训练思路[19–20]：PPO根据奖励优化策略，DPO从偏好对学习回答选择；OPD则可在每个有效token位置取得教师概率或log-prob。密集反馈更容易定位偏离，却增加教师前向和分布传输成本。</w:t>
      </w:r>
    </w:p>
    <w:p>
      <w:pPr/>
      <w:r>
        <w:rPr>
          <w:color w:val="000000"/>
        </w:rPr>
        <w:t>OPD与强化学习都可能使用当前策略生成的数据，也都面对分布移动和估计方差。然而，教师分布不等于真实任务奖励。学生可能继承教师错误，分布更接近也不保证任务表现同比提高，因此蒸馏损失只是训练信号，不能替代最终能力指标。</w:t>
      </w:r>
    </w:p>
    <w:p>
      <w:pPr>
        <w:pStyle w:val="Heading2"/>
      </w:pPr>
      <w:r>
        <w:rPr>
          <w:color w:val="000000"/>
        </w:rPr>
        <w:t>6.3 OPD是一组相互耦合的设计选择</w:t>
      </w:r>
    </w:p>
    <w:p>
      <w:pPr/>
      <w:r>
        <w:rPr>
          <w:color w:val="000000"/>
        </w:rPr>
        <w:t>OPD可以拆成五个相互耦合的部分：学生状态生成、教师观察前缀、教师信息保留量、散度或估计器，以及计算与稳定性控制。GKD、MiniLLM、DistiLLM及后续工作改变了其中不同部分[9–18]。所以，“是否采用OPD”之外，还必须说明rollout比例、教师支持集和损失归一化等具体协议。</w:t>
      </w:r>
    </w:p>
    <w:p>
      <w:pPr/>
      <w:r>
        <w:rPr>
          <w:color w:val="000000"/>
        </w:rPr>
        <w:t>我对OPD的基本判断是：它最有价值的地方不是让教师输出更多答案，而是让教师观察学生真正会走到的位置；它最困难的地方也不是写出KL公式，而是保证师生在同一前缀、同一token边界和同一有效位置上比较，并控制不断变化的状态分布。实验设计需要优先保证定义和接口清楚，再讨论复杂的混合散度、数据回放或动态策略。</w:t>
      </w:r>
    </w:p>
    <w:p>
      <w:pPr>
        <w:pStyle w:val="Heading1"/>
      </w:pPr>
      <w:r>
        <w:rPr>
          <w:color w:val="000000"/>
        </w:rPr>
        <w:t>7 应用任务与评测材料的作用</w:t>
      </w:r>
    </w:p>
    <w:p>
      <w:pPr/>
      <w:r>
        <w:rPr>
          <w:color w:val="000000"/>
        </w:rPr>
        <w:t>ReAct、Gorilla、API-Bank、ToolLLM、APIGen、ToolACE、BFCL和AgentBench等文献[26–33]用于选择可自动验证的任务与评测方法；GSM8K和MATH提供推理评测补充[34–35]。它们在本项目中承担实验载体作用，OPD机制、散度选择和监督成本仍是研究核心。</w:t>
      </w:r>
    </w:p>
    <w:p>
      <w:pPr>
        <w:pStyle w:val="Heading1"/>
      </w:pPr>
      <w:r>
        <w:rPr>
          <w:color w:val="000000"/>
        </w:rPr>
        <w:t>8 现有研究的主要不足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vAlign w:val="center"/>
            <w:shd w:fill="FFFFFF" w:color="auto"/>
          </w:tcPr>
          <w:p>
            <w:pPr>
              <w:spacing w:line="276" w:lineRule="auto"/>
              <w:ind w:firstLine="0"/>
              <w:jc w:val="center"/>
            </w:pPr>
            <w:r>
              <w:rPr>
                <w:color w:val="000000"/>
              </w:rPr>
            </w:r>
            <w:r>
              <w:rPr>
                <w:rFonts w:eastAsia="Heiti SC"/>
                <w:b/>
                <w:color w:val="000000"/>
                <w:sz w:val="19"/>
              </w:rPr>
              <w:t>问题</w:t>
            </w:r>
          </w:p>
        </w:tc>
        <w:tc>
          <w:tcPr>
            <w:tcW w:type="dxa" w:w="3097"/>
            <w:vAlign w:val="center"/>
            <w:shd w:fill="FFFFFF" w:color="auto"/>
          </w:tcPr>
          <w:p>
            <w:pPr>
              <w:spacing w:line="276" w:lineRule="auto"/>
              <w:ind w:firstLine="0"/>
              <w:jc w:val="center"/>
            </w:pPr>
            <w:r>
              <w:rPr>
                <w:color w:val="000000"/>
              </w:rPr>
            </w:r>
            <w:r>
              <w:rPr>
                <w:rFonts w:eastAsia="Heiti SC"/>
                <w:b/>
                <w:color w:val="000000"/>
                <w:sz w:val="19"/>
              </w:rPr>
              <w:t>现有研究中的表现</w:t>
            </w:r>
          </w:p>
        </w:tc>
        <w:tc>
          <w:tcPr>
            <w:tcW w:type="dxa" w:w="3097"/>
            <w:vAlign w:val="center"/>
            <w:shd w:fill="FFFFFF" w:color="auto"/>
          </w:tcPr>
          <w:p>
            <w:pPr>
              <w:spacing w:line="276" w:lineRule="auto"/>
              <w:ind w:firstLine="0"/>
              <w:jc w:val="center"/>
            </w:pPr>
            <w:r>
              <w:rPr>
                <w:color w:val="000000"/>
              </w:rPr>
            </w:r>
            <w:r>
              <w:rPr>
                <w:rFonts w:eastAsia="Heiti SC"/>
                <w:b/>
                <w:color w:val="000000"/>
                <w:sz w:val="19"/>
              </w:rPr>
              <w:t>对本项目的要求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变量耦合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状态采样、散度、支持集和数据混合常同时变化，难以判断收益来源。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采用二维主矩阵并固定模型、数据、预算和生成协议。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成本报告不完整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部分工作重点报告任务指标，教师调用与rollout开销口径不统一。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分别记录教师前向、学生生成、损失计算、显存与墙钟时间。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兼容性不足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师生模板、tokenizer、推理习惯和特殊token差异可能被忽略。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训练前执行模板回环、token对齐和小批量损失测试。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任务解释不足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通用生成指标难以定位错误发生在内容、格式还是执行阶段。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使用Function Calling分层指标和可执行验证。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复现信息不足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在线采样和估计器对随机种子、温度、版本和停止规则敏感。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保存配置、提交号、数据版本、模型版本和原始轨迹。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近期结论尚不稳定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2026年OPD预印本提出多种新现象，但独立复核仍有限。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color w:val="000000"/>
              </w:rPr>
            </w:r>
            <w:r>
              <w:rPr>
                <w:rFonts w:eastAsia="Songti SC"/>
                <w:b w:val="0"/>
                <w:color w:val="000000"/>
                <w:sz w:val="19"/>
              </w:rPr>
              <w:t>将其作为假设来源，以受控实验验证，不预写结论。</w:t>
            </w:r>
          </w:p>
        </w:tc>
      </w:tr>
    </w:tbl>
    <w:p>
      <w:pPr/>
      <w:r>
        <w:rPr>
          <w:color w:val="000000"/>
        </w:rPr>
        <w:t>现有研究仍缺少在统一条件下对状态来源、散度方向、监督粒度和教师成本的联合比较。不同论文采用的模型、数据和预算并不一致，近期研究还发现教师能力、学生容量和提示分布之间存在交互。本项目更应建立定义清楚、记录完整的实验体系，而不是过早叠加复杂技巧。</w:t>
      </w:r>
    </w:p>
    <w:p>
      <w:pPr>
        <w:pStyle w:val="Heading1"/>
      </w:pPr>
      <w:r>
        <w:rPr>
          <w:color w:val="000000"/>
        </w:rPr>
        <w:t>9 本项目的研究定位与拟解决问题</w:t>
      </w:r>
    </w:p>
    <w:p>
      <w:pPr/>
      <w:r>
        <w:rPr>
          <w:color w:val="000000"/>
        </w:rPr>
        <w:t>基于现有工作，本项目把OPD定义为：学生按照当前策略在给定Function Calling输入上生成轨迹，教师在学生已经访问的前缀上提供分布或局部token反馈，学生使用明确规定的散度和估计器更新LoRA参数。该定义同时约束状态来源、教师观察对象和优化信号，能够与离线SFT、教师序列蒸馏、偏好优化和强化学习区分开。</w:t>
      </w:r>
    </w:p>
    <w:p>
      <w:pPr/>
      <w:r>
        <w:rPr>
          <w:color w:val="000000"/>
        </w:rPr>
        <w:t>项目重点回答四个问题：不同散度对训练稳定性和任务表现有何影响；全词表、Top-K和K1如何权衡收益与教师成本；师生tokenizer、模板和输出习惯的兼容性怎样影响结果；token级分布改善能否转化为端到端能力。</w:t>
      </w:r>
    </w:p>
    <w:p>
      <w:pPr/>
      <w:r>
        <w:rPr>
          <w:color w:val="000000"/>
        </w:rPr>
        <w:t>实验以Qwen3-0.6B为学生、Qwen3-4B为冻结教师，并用LoRA更新学生。主比较固定数据、训练步数、生成条件和评测脚本；三种监督方案分别记录支持集、重归一化、proposal和梯度估计规则。结果同时报告任务指标、稳定性、分布统计与资源消耗，尚未运行的组合标为“待实验验证”。</w:t>
      </w:r>
    </w:p>
    <w:p>
      <w:pPr>
        <w:pStyle w:val="Heading1"/>
      </w:pPr>
      <w:r>
        <w:rPr>
          <w:color w:val="000000"/>
        </w:rPr>
        <w:t>10 初步结论</w:t>
      </w:r>
    </w:p>
    <w:p>
      <w:pPr/>
      <w:r>
        <w:rPr>
          <w:color w:val="000000"/>
        </w:rPr>
        <w:t>现有文献形成了清楚的研究链：经典知识蒸馏用教师软分布传递信息；序列级蒸馏把监督扩展到完整生成；DAgger和ImitKD强调学生状态覆盖；GKD、MiniLLM和DistiLLM进一步把在线采样、散度与效率问题引入大语言模型蒸馏；近期研究开始讨论兼容性、失败模式和混合策略。</w:t>
      </w:r>
    </w:p>
    <w:p>
      <w:pPr/>
      <w:r>
        <w:rPr>
          <w:color w:val="000000"/>
        </w:rPr>
        <w:t>本项目不预设某一种散度或监督粒度必然最好。Forward KL、Reverse KL、广义散度、全词表、Top-K和K1各有统计与工程取舍，需要在相同状态分布和预算下检验。通过统一训练定义、数据、评测和资源记录，项目将回答OPD为何有效、何时失效以及需要多少教师成本。</w:t>
      </w:r>
    </w:p>
    <w:p>
      <w:pPr>
        <w:pStyle w:val="Heading1"/>
      </w:pPr>
      <w:r>
        <w:rPr>
          <w:color w:val="000000"/>
        </w:rPr>
        <w:t>参考文献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[1] Hinton G, Vinyals O, Dean J. Distilling the Knowledge in a Neural Network[EB/OL]. arXiv:1503.02531, 2015.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[2] Kim Y, Rush A M. Sequence-Level Knowledge Distillation[C]//Proceedings of EMNLP. ACL, 2016: 1317–1327.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[3] Ross S, Gordon G J, Bagnell J A. A Reduction of Imitation Learning and Structured Prediction to No-Regret Online Learning[C]//AISTATS. PMLR, 2011, 15: 627–635.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[4] Huszár F. How (not) to Train your Generative Model: Scheduled Sampling, Likelihood, Adversary?[EB/OL]. arXiv:1511.05101, 2015.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[5] Lin A, Wohlwend J, Chen H, et al. Autoregressive Knowledge Distillation through Imitation Learning[C]//EMNLP. ACL, 2020: 6121–6133.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[6] Kullback S, Leibler R A. On Information and Sufficiency[J]. The Annals of Mathematical Statistics, 1951, 22(1): 79–86.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[7] Lin J. Divergence Measures Based on the Shannon Entropy[J]. IEEE Transactions on Information Theory, 1991, 37(1): 145–151.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[8] Wen Y, Li Z, Du W, et al. f-Divergence Minimization for Sequence-Level Knowledge Distillation[C]//ACL. 2023: 10817–10834.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[9] Agarwal R, Vieillard N, Zhou Y, et al. On-Policy Distillation of Language Models: Learning from Self-Generated Mistakes[C]//ICLR. 2024.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[10] Gu Y, Dong L, Wei F, et al. MiniLLM: Knowledge Distillation of Large Language Models[C]//ICLR. 2024.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[11] Ko J, Kim S, Chen T, et al. DistiLLM: Towards Streamlined Distillation for Large Language Models[C]//ICML. PMLR, 2024, 235: 24872–24895.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[12] Ko J, Chen T, Kim S, et al. DistiLLM-2: A Contrastive Approach Boosts the Distillation of LLMs[C]//ICML. PMLR, 2025, 267: 31044–31062.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[13] Lu K, Thinking Machines Lab. On-Policy Distillation[EB/OL]. Thinking Machines Lab: Connectionism, 2025.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[14] Li Y, Zuo Y, He B, et al. Rethinking On-Policy Distillation of Large Language Models: Phenomenology, Mechanism, and Recipe[EB/OL]. arXiv:2604.13016, 2026.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[15] Fu Z, He B, Zuo Y, et al. Rethinking On-Policy Distillation of Large Language Models II: One Training Example[EB/OL]. arXiv:2609.04172, 2026.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[16] Fu Y, Huang H, Jiang K, et al. Revisiting On-Policy Distillation: Empirical Failure Modes and Simple Fixes[EB/OL]. arXiv:2603.25562, 2026.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[17] Zhu W, Xie R, Wang R, et al. Hybrid Policy Distillation for LLMs[EB/OL]. arXiv:2604.20244, 2026.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[18] Song M, Zheng M. A Survey of On-Policy Distillation for Large Language Models[EB/OL]. arXiv:2604.00626, 2026.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[19] Schulman J, Wolski F, Dhariwal P, et al. Proximal Policy Optimization Algorithms[EB/OL]. arXiv:1707.06347, 2017.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[20] Rafailov R, Sharma A, Mitchell E, et al. Direct Preference Optimization: Your Language Model is Secretly a Reward Model[C]//NeurIPS. 2023, 36.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[21] Qwen Team. Qwen3 Technical Report[EB/OL]. arXiv:2505.09388, 2025.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[22] DeepSeek-AI. DeepSeek-V4: Towards Highly Efficient Million-Token Context Intelligence[EB/OL]. arXiv:2606.19348, 2026.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[23] Xiaomi LLM-Core Team. MiMo-V2-Flash Technical Report[EB/OL]. arXiv:2601.02780, 2026.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[24] Hu E J, Shen Y, Wallis P, et al. LoRA: Low-Rank Adaptation of Large Language Models[C]//ICLR. 2022.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[25] Kwon W, Li Z, Zhuang S, et al. Efficient Memory Management for Large Language Model Serving with PagedAttention[C]//SOSP. ACM, 2023: 611–626.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[26] Yao S, Zhao J, Yu D, et al. ReAct: Synergizing Reasoning and Acting in Language Models[C]//ICLR. 2023.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[27] Patil S G, Zhang T, Wang X, et al. Gorilla: Large Language Model Connected with Massive APIs[EB/OL]. arXiv:2305.15334, 2023.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[28] Li M, Zhao Y, Yu B, et al. API-Bank: A Comprehensive Benchmark for Tool-Augmented LLMs[C]//EMNLP. ACL, 2023: 3102–3116.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[29] Qin Y, Liang S, Ye Y, et al. ToolLLM: Facilitating Large Language Models to Master 16000+ Real-world APIs[EB/OL]. arXiv:2307.16789, 2023.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[30] Liu Z, Hoang T, Zhang J, et al. APIGen: Automated Pipeline for Generating Verifiable and Diverse Function-Calling Datasets[C]//NeurIPS. 2024.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[31] Liu W, Huang X, Zeng X, et al. ToolACE: Winning the Points of LLM Function Calling[C]//ICLR. 2025.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[32] Patil S G, Mao H, Yan F, et al. The Berkeley Function Calling Leaderboard (BFCL): From Tool Use to Agentic Evaluation of Large Language Models[C]//ICML. PMLR, 2025, 267: 48371–48392.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[33] Liu X, Yu H, Zhang H, et al. AgentBench: Evaluating LLMs as Agents[C]//ICLR. 2024.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[34] Cobbe K, Kosaraju V, Bavarian M, et al. Training Verifiers to Solve Math Word Problems[EB/OL]. arXiv:2110.14168, 2021.</w:t>
      </w:r>
    </w:p>
    <w:p>
      <w:pPr>
        <w:spacing w:line="276" w:lineRule="auto" w:after="40"/>
        <w:ind w:hanging="420" w:left="420"/>
      </w:pPr>
      <w:r>
        <w:rPr>
          <w:color w:val="000000"/>
          <w:sz w:val="19"/>
        </w:rPr>
        <w:t>[35] Hendrycks D, Burns C, Kadavath S, et al. Measuring Mathematical Problem Solving With the MATH Dataset[C]//NeurIPS Datasets and Benchmarks. 2021, 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eastAsia="Songti SC"/>
        <w:color w:val="000000"/>
        <w:sz w:val="18"/>
      </w:rPr>
      <w:t>在线策略蒸馏项目前置文献综述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  <w:ind w:firstLine="420"/>
    </w:pPr>
    <w:rPr>
      <w:rFonts w:ascii="Times New Roman" w:hAnsi="Times New Roman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Hei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Tint="BF"/>
          <w:left w:val="single" w:sz="8" w:space="0" w:color="000000" w:themeTint="BF"/>
          <w:bottom w:val="single" w:sz="8" w:space="0" w:color="000000" w:themeTint="BF"/>
          <w:right w:val="single" w:sz="8" w:space="0" w:color="00000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  <w:insideV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  <w:insideV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  <w:insideV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  <w:insideV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  <w:insideV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  <w:insideV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Tint="BF"/>
        <w:left w:val="single" w:sz="8" w:space="0" w:color="000000" w:themeTint="BF"/>
        <w:bottom w:val="single" w:sz="8" w:space="0" w:color="000000" w:themeTint="BF"/>
        <w:right w:val="single" w:sz="8" w:space="0" w:color="000000" w:themeTint="BF"/>
        <w:insideH w:val="single" w:sz="8" w:space="0" w:color="000000" w:themeTint="BF"/>
        <w:insideV w:val="single" w:sz="8" w:space="0" w:color="00000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