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1140DE6A">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_Toc343155053 </w:instrText>
      </w:r>
      <w:r>
        <w:fldChar w:fldCharType="separate"/>
      </w:r>
      <w:r>
        <w:rPr>
          <w:rFonts w:ascii="黑体" w:hAnsi="黑体" w:eastAsia="黑体" w:cs="黑体"/>
        </w:rPr>
        <w:t>1．课题来源及研究的目的和意义</w:t>
      </w:r>
      <w:r>
        <w:tab/>
      </w:r>
      <w:r>
        <w:fldChar w:fldCharType="begin"/>
      </w:r>
      <w:r>
        <w:instrText xml:space="preserve"> PAGEREF _Toc343155053 \h </w:instrText>
      </w:r>
      <w:r>
        <w:fldChar w:fldCharType="separate"/>
      </w:r>
      <w:r>
        <w:t>3</w:t>
      </w:r>
      <w:r>
        <w:fldChar w:fldCharType="end"/>
      </w:r>
      <w:r>
        <w:fldChar w:fldCharType="end"/>
      </w:r>
    </w:p>
    <w:p w14:paraId="1BFAE83D">
      <w:pPr>
        <w:pStyle w:val="8"/>
        <w:tabs>
          <w:tab w:val="right" w:leader="dot" w:pos="8306"/>
        </w:tabs>
      </w:pPr>
      <w:r>
        <w:fldChar w:fldCharType="begin"/>
      </w:r>
      <w:r>
        <w:instrText xml:space="preserve"> HYPERLINK \l _Toc1413383576 </w:instrText>
      </w:r>
      <w:r>
        <w:fldChar w:fldCharType="separate"/>
      </w:r>
      <w:r>
        <w:rPr>
          <w:rFonts w:ascii="黑体" w:hAnsi="黑体" w:eastAsia="黑体" w:cs="黑体"/>
        </w:rPr>
        <w:t>1.1 课题来源</w:t>
      </w:r>
      <w:r>
        <w:tab/>
      </w:r>
      <w:r>
        <w:fldChar w:fldCharType="begin"/>
      </w:r>
      <w:r>
        <w:instrText xml:space="preserve"> PAGEREF _Toc1413383576 \h </w:instrText>
      </w:r>
      <w:r>
        <w:fldChar w:fldCharType="separate"/>
      </w:r>
      <w:r>
        <w:t>3</w:t>
      </w:r>
      <w:r>
        <w:fldChar w:fldCharType="end"/>
      </w:r>
      <w:r>
        <w:fldChar w:fldCharType="end"/>
      </w:r>
    </w:p>
    <w:p w14:paraId="5A4D734F">
      <w:pPr>
        <w:pStyle w:val="8"/>
        <w:tabs>
          <w:tab w:val="right" w:leader="dot" w:pos="8306"/>
        </w:tabs>
      </w:pPr>
      <w:r>
        <w:fldChar w:fldCharType="begin"/>
      </w:r>
      <w:r>
        <w:instrText xml:space="preserve"> HYPERLINK \l _Toc1421142365 </w:instrText>
      </w:r>
      <w:r>
        <w:fldChar w:fldCharType="separate"/>
      </w:r>
      <w:r>
        <w:rPr>
          <w:rFonts w:ascii="黑体" w:hAnsi="黑体" w:eastAsia="黑体" w:cs="黑体"/>
        </w:rPr>
        <w:t>1.2 研究背景</w:t>
      </w:r>
      <w:r>
        <w:tab/>
      </w:r>
      <w:r>
        <w:fldChar w:fldCharType="begin"/>
      </w:r>
      <w:r>
        <w:instrText xml:space="preserve"> PAGEREF _Toc1421142365 \h </w:instrText>
      </w:r>
      <w:r>
        <w:fldChar w:fldCharType="separate"/>
      </w:r>
      <w:r>
        <w:t>3</w:t>
      </w:r>
      <w:r>
        <w:fldChar w:fldCharType="end"/>
      </w:r>
      <w:r>
        <w:fldChar w:fldCharType="end"/>
      </w:r>
    </w:p>
    <w:p w14:paraId="6ED70580">
      <w:pPr>
        <w:pStyle w:val="8"/>
        <w:tabs>
          <w:tab w:val="right" w:leader="dot" w:pos="8306"/>
        </w:tabs>
      </w:pPr>
      <w:r>
        <w:fldChar w:fldCharType="begin"/>
      </w:r>
      <w:r>
        <w:instrText xml:space="preserve"> HYPERLINK \l _Toc826606621 </w:instrText>
      </w:r>
      <w:r>
        <w:fldChar w:fldCharType="separate"/>
      </w:r>
      <w:r>
        <w:rPr>
          <w:rFonts w:ascii="黑体" w:hAnsi="黑体" w:eastAsia="黑体" w:cs="黑体"/>
        </w:rPr>
        <w:t>1.3 研究目的和意义</w:t>
      </w:r>
      <w:r>
        <w:tab/>
      </w:r>
      <w:r>
        <w:fldChar w:fldCharType="begin"/>
      </w:r>
      <w:r>
        <w:instrText xml:space="preserve"> PAGEREF _Toc826606621 \h </w:instrText>
      </w:r>
      <w:r>
        <w:fldChar w:fldCharType="separate"/>
      </w:r>
      <w:r>
        <w:t>4</w:t>
      </w:r>
      <w:r>
        <w:fldChar w:fldCharType="end"/>
      </w:r>
      <w:r>
        <w:fldChar w:fldCharType="end"/>
      </w:r>
    </w:p>
    <w:p w14:paraId="11ED66A0">
      <w:pPr>
        <w:pStyle w:val="7"/>
        <w:tabs>
          <w:tab w:val="right" w:leader="dot" w:pos="8306"/>
        </w:tabs>
      </w:pPr>
      <w:r>
        <w:fldChar w:fldCharType="begin"/>
      </w:r>
      <w:r>
        <w:instrText xml:space="preserve"> HYPERLINK \l _Toc705766704 </w:instrText>
      </w:r>
      <w:r>
        <w:fldChar w:fldCharType="separate"/>
      </w:r>
      <w:r>
        <w:rPr>
          <w:rFonts w:ascii="黑体" w:hAnsi="黑体" w:eastAsia="黑体" w:cs="黑体"/>
        </w:rPr>
        <w:t>2．国内外在该方向的研究现状及分析</w:t>
      </w:r>
      <w:r>
        <w:tab/>
      </w:r>
      <w:r>
        <w:fldChar w:fldCharType="begin"/>
      </w:r>
      <w:r>
        <w:instrText xml:space="preserve"> PAGEREF _Toc705766704 \h </w:instrText>
      </w:r>
      <w:r>
        <w:fldChar w:fldCharType="separate"/>
      </w:r>
      <w:r>
        <w:t>4</w:t>
      </w:r>
      <w:r>
        <w:fldChar w:fldCharType="end"/>
      </w:r>
      <w:r>
        <w:fldChar w:fldCharType="end"/>
      </w:r>
    </w:p>
    <w:p w14:paraId="7862EFBA">
      <w:pPr>
        <w:pStyle w:val="8"/>
        <w:tabs>
          <w:tab w:val="right" w:leader="dot" w:pos="8306"/>
        </w:tabs>
      </w:pPr>
      <w:r>
        <w:fldChar w:fldCharType="begin"/>
      </w:r>
      <w:r>
        <w:instrText xml:space="preserve"> HYPERLINK \l _Toc1268811747 </w:instrText>
      </w:r>
      <w:r>
        <w:fldChar w:fldCharType="separate"/>
      </w:r>
      <w:r>
        <w:rPr>
          <w:rFonts w:ascii="黑体" w:hAnsi="黑体" w:eastAsia="黑体" w:cs="黑体"/>
        </w:rPr>
        <w:t>2.1 大语言模型后训练和知识蒸馏</w:t>
      </w:r>
      <w:r>
        <w:tab/>
      </w:r>
      <w:r>
        <w:fldChar w:fldCharType="begin"/>
      </w:r>
      <w:r>
        <w:instrText xml:space="preserve"> PAGEREF _Toc1268811747 \h </w:instrText>
      </w:r>
      <w:r>
        <w:fldChar w:fldCharType="separate"/>
      </w:r>
      <w:r>
        <w:t>4</w:t>
      </w:r>
      <w:r>
        <w:fldChar w:fldCharType="end"/>
      </w:r>
      <w:r>
        <w:fldChar w:fldCharType="end"/>
      </w:r>
    </w:p>
    <w:p w14:paraId="13D9EF9F">
      <w:pPr>
        <w:pStyle w:val="8"/>
        <w:tabs>
          <w:tab w:val="right" w:leader="dot" w:pos="8306"/>
        </w:tabs>
      </w:pPr>
      <w:r>
        <w:fldChar w:fldCharType="begin"/>
      </w:r>
      <w:r>
        <w:instrText xml:space="preserve"> HYPERLINK \l _Toc406417119 </w:instrText>
      </w:r>
      <w:r>
        <w:fldChar w:fldCharType="separate"/>
      </w:r>
      <w:r>
        <w:rPr>
          <w:rFonts w:ascii="黑体" w:hAnsi="黑体" w:eastAsia="黑体" w:cs="黑体"/>
        </w:rPr>
        <w:t>2.2 分布偏移与在线策略蒸馏</w:t>
      </w:r>
      <w:r>
        <w:tab/>
      </w:r>
      <w:r>
        <w:fldChar w:fldCharType="begin"/>
      </w:r>
      <w:r>
        <w:instrText xml:space="preserve"> PAGEREF _Toc406417119 \h </w:instrText>
      </w:r>
      <w:r>
        <w:fldChar w:fldCharType="separate"/>
      </w:r>
      <w:r>
        <w:t>6</w:t>
      </w:r>
      <w:r>
        <w:fldChar w:fldCharType="end"/>
      </w:r>
      <w:r>
        <w:fldChar w:fldCharType="end"/>
      </w:r>
    </w:p>
    <w:p w14:paraId="6412D100">
      <w:pPr>
        <w:pStyle w:val="8"/>
        <w:tabs>
          <w:tab w:val="right" w:leader="dot" w:pos="8306"/>
        </w:tabs>
      </w:pPr>
      <w:r>
        <w:fldChar w:fldCharType="begin"/>
      </w:r>
      <w:r>
        <w:instrText xml:space="preserve"> HYPERLINK \l _Toc1654521573 </w:instrText>
      </w:r>
      <w:r>
        <w:fldChar w:fldCharType="separate"/>
      </w:r>
      <w:r>
        <w:rPr>
          <w:rFonts w:ascii="黑体" w:hAnsi="黑体" w:eastAsia="黑体" w:cs="黑体"/>
        </w:rPr>
        <w:t>2.3 KL 散度方向与广义散度</w:t>
      </w:r>
      <w:r>
        <w:tab/>
      </w:r>
      <w:r>
        <w:fldChar w:fldCharType="begin"/>
      </w:r>
      <w:r>
        <w:instrText xml:space="preserve"> PAGEREF _Toc1654521573 \h </w:instrText>
      </w:r>
      <w:r>
        <w:fldChar w:fldCharType="separate"/>
      </w:r>
      <w:r>
        <w:t>7</w:t>
      </w:r>
      <w:r>
        <w:fldChar w:fldCharType="end"/>
      </w:r>
      <w:r>
        <w:fldChar w:fldCharType="end"/>
      </w:r>
    </w:p>
    <w:p w14:paraId="408AD3E6">
      <w:pPr>
        <w:pStyle w:val="8"/>
        <w:tabs>
          <w:tab w:val="right" w:leader="dot" w:pos="8306"/>
        </w:tabs>
      </w:pPr>
      <w:r>
        <w:fldChar w:fldCharType="begin"/>
      </w:r>
      <w:r>
        <w:instrText xml:space="preserve"> HYPERLINK \l _Toc1925816055 </w:instrText>
      </w:r>
      <w:r>
        <w:fldChar w:fldCharType="separate"/>
      </w:r>
      <w:r>
        <w:rPr>
          <w:rFonts w:ascii="黑体" w:hAnsi="黑体" w:eastAsia="黑体" w:cs="黑体"/>
        </w:rPr>
        <w:t>2.4 监督信息粒度与资源效率</w:t>
      </w:r>
      <w:r>
        <w:tab/>
      </w:r>
      <w:r>
        <w:fldChar w:fldCharType="begin"/>
      </w:r>
      <w:r>
        <w:instrText xml:space="preserve"> PAGEREF _Toc1925816055 \h </w:instrText>
      </w:r>
      <w:r>
        <w:fldChar w:fldCharType="separate"/>
      </w:r>
      <w:r>
        <w:t>9</w:t>
      </w:r>
      <w:r>
        <w:fldChar w:fldCharType="end"/>
      </w:r>
      <w:r>
        <w:fldChar w:fldCharType="end"/>
      </w:r>
    </w:p>
    <w:p w14:paraId="4A0ABB55">
      <w:pPr>
        <w:pStyle w:val="8"/>
        <w:tabs>
          <w:tab w:val="right" w:leader="dot" w:pos="8306"/>
        </w:tabs>
      </w:pPr>
      <w:r>
        <w:fldChar w:fldCharType="begin"/>
      </w:r>
      <w:r>
        <w:instrText xml:space="preserve"> HYPERLINK \l _Toc316908801 </w:instrText>
      </w:r>
      <w:r>
        <w:fldChar w:fldCharType="separate"/>
      </w:r>
      <w:r>
        <w:rPr>
          <w:rFonts w:ascii="黑体" w:hAnsi="黑体" w:eastAsia="黑体" w:cs="黑体"/>
        </w:rPr>
        <w:t>2.5 Function Calling 数据与评测研究</w:t>
      </w:r>
      <w:r>
        <w:tab/>
      </w:r>
      <w:r>
        <w:fldChar w:fldCharType="begin"/>
      </w:r>
      <w:r>
        <w:instrText xml:space="preserve"> PAGEREF _Toc316908801 \h </w:instrText>
      </w:r>
      <w:r>
        <w:fldChar w:fldCharType="separate"/>
      </w:r>
      <w:r>
        <w:t>10</w:t>
      </w:r>
      <w:r>
        <w:fldChar w:fldCharType="end"/>
      </w:r>
      <w:r>
        <w:fldChar w:fldCharType="end"/>
      </w:r>
    </w:p>
    <w:p w14:paraId="29B30675">
      <w:pPr>
        <w:pStyle w:val="8"/>
        <w:tabs>
          <w:tab w:val="right" w:leader="dot" w:pos="8306"/>
        </w:tabs>
      </w:pPr>
      <w:r>
        <w:fldChar w:fldCharType="begin"/>
      </w:r>
      <w:r>
        <w:instrText xml:space="preserve"> HYPERLINK \l _Toc526773847 </w:instrText>
      </w:r>
      <w:r>
        <w:fldChar w:fldCharType="separate"/>
      </w:r>
      <w:r>
        <w:rPr>
          <w:rFonts w:ascii="黑体" w:hAnsi="黑体" w:eastAsia="黑体" w:cs="黑体"/>
        </w:rPr>
        <w:t>2.6 现有方法的问题与本文的研究切入点</w:t>
      </w:r>
      <w:r>
        <w:tab/>
      </w:r>
      <w:r>
        <w:fldChar w:fldCharType="begin"/>
      </w:r>
      <w:r>
        <w:instrText xml:space="preserve"> PAGEREF _Toc526773847 \h </w:instrText>
      </w:r>
      <w:r>
        <w:fldChar w:fldCharType="separate"/>
      </w:r>
      <w:r>
        <w:t>11</w:t>
      </w:r>
      <w:r>
        <w:fldChar w:fldCharType="end"/>
      </w:r>
      <w:r>
        <w:fldChar w:fldCharType="end"/>
      </w:r>
    </w:p>
    <w:p w14:paraId="2F61F32E">
      <w:pPr>
        <w:pStyle w:val="7"/>
        <w:tabs>
          <w:tab w:val="right" w:leader="dot" w:pos="8306"/>
        </w:tabs>
      </w:pPr>
      <w:r>
        <w:fldChar w:fldCharType="begin"/>
      </w:r>
      <w:r>
        <w:instrText xml:space="preserve"> HYPERLINK \l _Toc1560453595 </w:instrText>
      </w:r>
      <w:r>
        <w:fldChar w:fldCharType="separate"/>
      </w:r>
      <w:r>
        <w:rPr>
          <w:rFonts w:ascii="黑体" w:hAnsi="黑体" w:eastAsia="黑体" w:cs="黑体"/>
        </w:rPr>
        <w:t>3．主要研究内容</w:t>
      </w:r>
      <w:r>
        <w:tab/>
      </w:r>
      <w:r>
        <w:fldChar w:fldCharType="begin"/>
      </w:r>
      <w:r>
        <w:instrText xml:space="preserve"> PAGEREF _Toc1560453595 \h </w:instrText>
      </w:r>
      <w:r>
        <w:fldChar w:fldCharType="separate"/>
      </w:r>
      <w:r>
        <w:t>12</w:t>
      </w:r>
      <w:r>
        <w:fldChar w:fldCharType="end"/>
      </w:r>
      <w:r>
        <w:fldChar w:fldCharType="end"/>
      </w:r>
    </w:p>
    <w:p w14:paraId="751A3E2F">
      <w:pPr>
        <w:pStyle w:val="8"/>
        <w:tabs>
          <w:tab w:val="right" w:leader="dot" w:pos="8306"/>
        </w:tabs>
      </w:pPr>
      <w:r>
        <w:fldChar w:fldCharType="begin"/>
      </w:r>
      <w:r>
        <w:instrText xml:space="preserve"> HYPERLINK \l _Toc1473274001 </w:instrText>
      </w:r>
      <w:r>
        <w:fldChar w:fldCharType="separate"/>
      </w:r>
      <w:r>
        <w:rPr>
          <w:rFonts w:ascii="黑体" w:hAnsi="黑体" w:eastAsia="黑体" w:cs="黑体"/>
        </w:rPr>
        <w:t>3.1 研究问题概述</w:t>
      </w:r>
      <w:r>
        <w:tab/>
      </w:r>
      <w:r>
        <w:fldChar w:fldCharType="begin"/>
      </w:r>
      <w:r>
        <w:instrText xml:space="preserve"> PAGEREF _Toc1473274001 \h </w:instrText>
      </w:r>
      <w:r>
        <w:fldChar w:fldCharType="separate"/>
      </w:r>
      <w:r>
        <w:t>12</w:t>
      </w:r>
      <w:r>
        <w:fldChar w:fldCharType="end"/>
      </w:r>
      <w:r>
        <w:fldChar w:fldCharType="end"/>
      </w:r>
    </w:p>
    <w:p w14:paraId="0BF493A0">
      <w:pPr>
        <w:pStyle w:val="8"/>
        <w:tabs>
          <w:tab w:val="right" w:leader="dot" w:pos="8306"/>
        </w:tabs>
      </w:pPr>
      <w:r>
        <w:fldChar w:fldCharType="begin"/>
      </w:r>
      <w:r>
        <w:instrText xml:space="preserve"> HYPERLINK \l _Toc829684897 </w:instrText>
      </w:r>
      <w:r>
        <w:fldChar w:fldCharType="separate"/>
      </w:r>
      <w:r>
        <w:rPr>
          <w:rFonts w:ascii="黑体" w:hAnsi="黑体" w:eastAsia="黑体" w:cs="黑体"/>
        </w:rPr>
        <w:t>3.2 学生状态分布上的有效教师监督</w:t>
      </w:r>
      <w:r>
        <w:tab/>
      </w:r>
      <w:r>
        <w:fldChar w:fldCharType="begin"/>
      </w:r>
      <w:r>
        <w:instrText xml:space="preserve"> PAGEREF _Toc829684897 \h </w:instrText>
      </w:r>
      <w:r>
        <w:fldChar w:fldCharType="separate"/>
      </w:r>
      <w:r>
        <w:t>12</w:t>
      </w:r>
      <w:r>
        <w:fldChar w:fldCharType="end"/>
      </w:r>
      <w:r>
        <w:fldChar w:fldCharType="end"/>
      </w:r>
    </w:p>
    <w:p w14:paraId="3C547D1C">
      <w:pPr>
        <w:pStyle w:val="8"/>
        <w:tabs>
          <w:tab w:val="right" w:leader="dot" w:pos="8306"/>
        </w:tabs>
      </w:pPr>
      <w:r>
        <w:fldChar w:fldCharType="begin"/>
      </w:r>
      <w:r>
        <w:instrText xml:space="preserve"> HYPERLINK \l _Toc902743908 </w:instrText>
      </w:r>
      <w:r>
        <w:fldChar w:fldCharType="separate"/>
      </w:r>
      <w:r>
        <w:rPr>
          <w:rFonts w:ascii="黑体" w:hAnsi="黑体" w:eastAsia="黑体" w:cs="黑体"/>
        </w:rPr>
        <w:t>3.3 不同散度目标的优化偏好</w:t>
      </w:r>
      <w:r>
        <w:tab/>
      </w:r>
      <w:r>
        <w:fldChar w:fldCharType="begin"/>
      </w:r>
      <w:r>
        <w:instrText xml:space="preserve"> PAGEREF _Toc902743908 \h </w:instrText>
      </w:r>
      <w:r>
        <w:fldChar w:fldCharType="separate"/>
      </w:r>
      <w:r>
        <w:t>12</w:t>
      </w:r>
      <w:r>
        <w:fldChar w:fldCharType="end"/>
      </w:r>
      <w:r>
        <w:fldChar w:fldCharType="end"/>
      </w:r>
    </w:p>
    <w:p w14:paraId="3B498A3B">
      <w:pPr>
        <w:pStyle w:val="8"/>
        <w:tabs>
          <w:tab w:val="right" w:leader="dot" w:pos="8306"/>
        </w:tabs>
      </w:pPr>
      <w:r>
        <w:fldChar w:fldCharType="begin"/>
      </w:r>
      <w:r>
        <w:instrText xml:space="preserve"> HYPERLINK \l _Toc444895701 </w:instrText>
      </w:r>
      <w:r>
        <w:fldChar w:fldCharType="separate"/>
      </w:r>
      <w:r>
        <w:rPr>
          <w:rFonts w:ascii="黑体" w:hAnsi="黑体" w:eastAsia="黑体" w:cs="黑体"/>
        </w:rPr>
        <w:t>3.4 监督信息粒度与资源效率</w:t>
      </w:r>
      <w:r>
        <w:tab/>
      </w:r>
      <w:r>
        <w:fldChar w:fldCharType="begin"/>
      </w:r>
      <w:r>
        <w:instrText xml:space="preserve"> PAGEREF _Toc444895701 \h </w:instrText>
      </w:r>
      <w:r>
        <w:fldChar w:fldCharType="separate"/>
      </w:r>
      <w:r>
        <w:t>13</w:t>
      </w:r>
      <w:r>
        <w:fldChar w:fldCharType="end"/>
      </w:r>
      <w:r>
        <w:fldChar w:fldCharType="end"/>
      </w:r>
    </w:p>
    <w:p w14:paraId="7881F9DE">
      <w:pPr>
        <w:pStyle w:val="8"/>
        <w:tabs>
          <w:tab w:val="right" w:leader="dot" w:pos="8306"/>
        </w:tabs>
      </w:pPr>
      <w:r>
        <w:fldChar w:fldCharType="begin"/>
      </w:r>
      <w:r>
        <w:instrText xml:space="preserve"> HYPERLINK \l _Toc1971471500 </w:instrText>
      </w:r>
      <w:r>
        <w:fldChar w:fldCharType="separate"/>
      </w:r>
      <w:r>
        <w:rPr>
          <w:rFonts w:ascii="黑体" w:hAnsi="黑体" w:eastAsia="黑体" w:cs="黑体"/>
        </w:rPr>
        <w:t xml:space="preserve">3.5 </w:t>
      </w:r>
      <w:r>
        <w:rPr>
          <w:rFonts w:hint="eastAsia" w:ascii="黑体" w:hAnsi="黑体" w:eastAsia="黑体" w:cs="黑体"/>
          <w:lang w:val="en-US" w:eastAsia="zh-CN"/>
        </w:rPr>
        <w:t>本章总结</w:t>
      </w:r>
      <w:r>
        <w:tab/>
      </w:r>
      <w:r>
        <w:fldChar w:fldCharType="begin"/>
      </w:r>
      <w:r>
        <w:instrText xml:space="preserve"> PAGEREF _Toc1971471500 \h </w:instrText>
      </w:r>
      <w:r>
        <w:fldChar w:fldCharType="separate"/>
      </w:r>
      <w:r>
        <w:t>13</w:t>
      </w:r>
      <w:r>
        <w:fldChar w:fldCharType="end"/>
      </w:r>
      <w:r>
        <w:fldChar w:fldCharType="end"/>
      </w:r>
    </w:p>
    <w:p w14:paraId="514823E7">
      <w:pPr>
        <w:pStyle w:val="7"/>
        <w:tabs>
          <w:tab w:val="right" w:leader="dot" w:pos="8306"/>
        </w:tabs>
      </w:pPr>
      <w:r>
        <w:fldChar w:fldCharType="begin"/>
      </w:r>
      <w:r>
        <w:instrText xml:space="preserve"> HYPERLINK \l _Toc996310937 </w:instrText>
      </w:r>
      <w:r>
        <w:fldChar w:fldCharType="separate"/>
      </w:r>
      <w:r>
        <w:rPr>
          <w:rFonts w:ascii="黑体" w:hAnsi="黑体" w:eastAsia="黑体" w:cs="黑体"/>
        </w:rPr>
        <w:t>4．研究方案</w:t>
      </w:r>
      <w:r>
        <w:tab/>
      </w:r>
      <w:r>
        <w:fldChar w:fldCharType="begin"/>
      </w:r>
      <w:r>
        <w:instrText xml:space="preserve"> PAGEREF _Toc996310937 \h </w:instrText>
      </w:r>
      <w:r>
        <w:fldChar w:fldCharType="separate"/>
      </w:r>
      <w:r>
        <w:t>14</w:t>
      </w:r>
      <w:r>
        <w:fldChar w:fldCharType="end"/>
      </w:r>
      <w:r>
        <w:fldChar w:fldCharType="end"/>
      </w:r>
    </w:p>
    <w:p w14:paraId="4025CBA3">
      <w:pPr>
        <w:pStyle w:val="8"/>
        <w:tabs>
          <w:tab w:val="right" w:leader="dot" w:pos="8306"/>
        </w:tabs>
      </w:pPr>
      <w:r>
        <w:fldChar w:fldCharType="begin"/>
      </w:r>
      <w:r>
        <w:instrText xml:space="preserve"> HYPERLINK \l _Toc1067922500 </w:instrText>
      </w:r>
      <w:r>
        <w:fldChar w:fldCharType="separate"/>
      </w:r>
      <w:r>
        <w:rPr>
          <w:rFonts w:ascii="黑体" w:hAnsi="黑体" w:eastAsia="黑体" w:cs="黑体"/>
        </w:rPr>
        <w:t>4.1 总体技术路线</w:t>
      </w:r>
      <w:r>
        <w:tab/>
      </w:r>
      <w:r>
        <w:fldChar w:fldCharType="begin"/>
      </w:r>
      <w:r>
        <w:instrText xml:space="preserve"> PAGEREF _Toc1067922500 \h </w:instrText>
      </w:r>
      <w:r>
        <w:fldChar w:fldCharType="separate"/>
      </w:r>
      <w:r>
        <w:t>14</w:t>
      </w:r>
      <w:r>
        <w:fldChar w:fldCharType="end"/>
      </w:r>
      <w:r>
        <w:fldChar w:fldCharType="end"/>
      </w:r>
    </w:p>
    <w:p w14:paraId="7DF1DE27">
      <w:pPr>
        <w:pStyle w:val="8"/>
        <w:tabs>
          <w:tab w:val="right" w:leader="dot" w:pos="8306"/>
        </w:tabs>
      </w:pPr>
      <w:r>
        <w:fldChar w:fldCharType="begin"/>
      </w:r>
      <w:r>
        <w:instrText xml:space="preserve"> HYPERLINK \l _Toc2052619521 </w:instrText>
      </w:r>
      <w:r>
        <w:fldChar w:fldCharType="separate"/>
      </w:r>
      <w:r>
        <w:rPr>
          <w:rFonts w:ascii="黑体" w:hAnsi="黑体" w:eastAsia="黑体" w:cs="黑体"/>
        </w:rPr>
        <w:t>4.2 模型和数据准备</w:t>
      </w:r>
      <w:r>
        <w:tab/>
      </w:r>
      <w:r>
        <w:fldChar w:fldCharType="begin"/>
      </w:r>
      <w:r>
        <w:instrText xml:space="preserve"> PAGEREF _Toc2052619521 \h </w:instrText>
      </w:r>
      <w:r>
        <w:fldChar w:fldCharType="separate"/>
      </w:r>
      <w:r>
        <w:t>15</w:t>
      </w:r>
      <w:r>
        <w:fldChar w:fldCharType="end"/>
      </w:r>
      <w:r>
        <w:fldChar w:fldCharType="end"/>
      </w:r>
    </w:p>
    <w:p w14:paraId="1C6B657F">
      <w:pPr>
        <w:pStyle w:val="8"/>
        <w:tabs>
          <w:tab w:val="right" w:leader="dot" w:pos="8306"/>
        </w:tabs>
      </w:pPr>
      <w:r>
        <w:fldChar w:fldCharType="begin"/>
      </w:r>
      <w:r>
        <w:instrText xml:space="preserve"> HYPERLINK \l _Toc1198984039 </w:instrText>
      </w:r>
      <w:r>
        <w:fldChar w:fldCharType="separate"/>
      </w:r>
      <w:r>
        <w:rPr>
          <w:rFonts w:ascii="黑体" w:hAnsi="黑体" w:eastAsia="黑体" w:cs="黑体"/>
        </w:rPr>
        <w:t>4.3 学生 rollout 和教师反馈</w:t>
      </w:r>
      <w:r>
        <w:tab/>
      </w:r>
      <w:r>
        <w:fldChar w:fldCharType="begin"/>
      </w:r>
      <w:r>
        <w:instrText xml:space="preserve"> PAGEREF _Toc1198984039 \h </w:instrText>
      </w:r>
      <w:r>
        <w:fldChar w:fldCharType="separate"/>
      </w:r>
      <w:r>
        <w:t>16</w:t>
      </w:r>
      <w:r>
        <w:fldChar w:fldCharType="end"/>
      </w:r>
      <w:r>
        <w:fldChar w:fldCharType="end"/>
      </w:r>
    </w:p>
    <w:p w14:paraId="00E96A21">
      <w:pPr>
        <w:pStyle w:val="8"/>
        <w:tabs>
          <w:tab w:val="right" w:leader="dot" w:pos="8306"/>
        </w:tabs>
      </w:pPr>
      <w:r>
        <w:fldChar w:fldCharType="begin"/>
      </w:r>
      <w:r>
        <w:instrText xml:space="preserve"> HYPERLINK \l _Toc1485683672 </w:instrText>
      </w:r>
      <w:r>
        <w:fldChar w:fldCharType="separate"/>
      </w:r>
      <w:r>
        <w:rPr>
          <w:rFonts w:ascii="黑体" w:hAnsi="黑体" w:eastAsia="黑体" w:cs="黑体"/>
        </w:rPr>
        <w:t>4.4 损失与监督信息粒度/估计方式的定义原则</w:t>
      </w:r>
      <w:r>
        <w:tab/>
      </w:r>
      <w:r>
        <w:fldChar w:fldCharType="begin"/>
      </w:r>
      <w:r>
        <w:instrText xml:space="preserve"> PAGEREF _Toc1485683672 \h </w:instrText>
      </w:r>
      <w:r>
        <w:fldChar w:fldCharType="separate"/>
      </w:r>
      <w:r>
        <w:t>17</w:t>
      </w:r>
      <w:r>
        <w:fldChar w:fldCharType="end"/>
      </w:r>
      <w:r>
        <w:fldChar w:fldCharType="end"/>
      </w:r>
    </w:p>
    <w:p w14:paraId="230D6651">
      <w:pPr>
        <w:pStyle w:val="8"/>
        <w:tabs>
          <w:tab w:val="right" w:leader="dot" w:pos="8306"/>
        </w:tabs>
      </w:pPr>
      <w:r>
        <w:fldChar w:fldCharType="begin"/>
      </w:r>
      <w:r>
        <w:instrText xml:space="preserve"> HYPERLINK \l _Toc1093111635 </w:instrText>
      </w:r>
      <w:r>
        <w:fldChar w:fldCharType="separate"/>
      </w:r>
      <w:r>
        <w:rPr>
          <w:rFonts w:ascii="黑体" w:hAnsi="黑体" w:eastAsia="黑体" w:cs="黑体"/>
        </w:rPr>
        <w:t>4.5 评价指标和公平性</w:t>
      </w:r>
      <w:r>
        <w:tab/>
      </w:r>
      <w:r>
        <w:fldChar w:fldCharType="begin"/>
      </w:r>
      <w:r>
        <w:instrText xml:space="preserve"> PAGEREF _Toc1093111635 \h </w:instrText>
      </w:r>
      <w:r>
        <w:fldChar w:fldCharType="separate"/>
      </w:r>
      <w:r>
        <w:t>19</w:t>
      </w:r>
      <w:r>
        <w:fldChar w:fldCharType="end"/>
      </w:r>
      <w:r>
        <w:fldChar w:fldCharType="end"/>
      </w:r>
    </w:p>
    <w:p w14:paraId="0FEDE538">
      <w:pPr>
        <w:pStyle w:val="8"/>
        <w:tabs>
          <w:tab w:val="right" w:leader="dot" w:pos="8306"/>
        </w:tabs>
      </w:pPr>
      <w:r>
        <w:fldChar w:fldCharType="begin"/>
      </w:r>
      <w:r>
        <w:instrText xml:space="preserve"> HYPERLINK \l _Toc204649360 </w:instrText>
      </w:r>
      <w:r>
        <w:fldChar w:fldCharType="separate"/>
      </w:r>
      <w:r>
        <w:rPr>
          <w:rFonts w:ascii="黑体" w:hAnsi="黑体" w:eastAsia="黑体" w:cs="黑体"/>
        </w:rPr>
        <w:t>4.6 可行性分析</w:t>
      </w:r>
      <w:r>
        <w:tab/>
      </w:r>
      <w:r>
        <w:fldChar w:fldCharType="begin"/>
      </w:r>
      <w:r>
        <w:instrText xml:space="preserve"> PAGEREF _Toc204649360 \h </w:instrText>
      </w:r>
      <w:r>
        <w:fldChar w:fldCharType="separate"/>
      </w:r>
      <w:r>
        <w:t>21</w:t>
      </w:r>
      <w:r>
        <w:fldChar w:fldCharType="end"/>
      </w:r>
      <w:r>
        <w:fldChar w:fldCharType="end"/>
      </w:r>
    </w:p>
    <w:p w14:paraId="45D1CE7F">
      <w:pPr>
        <w:pStyle w:val="7"/>
        <w:tabs>
          <w:tab w:val="right" w:leader="dot" w:pos="8306"/>
        </w:tabs>
      </w:pPr>
      <w:r>
        <w:fldChar w:fldCharType="begin"/>
      </w:r>
      <w:r>
        <w:instrText xml:space="preserve"> HYPERLINK \l _Toc1420474673 </w:instrText>
      </w:r>
      <w:r>
        <w:fldChar w:fldCharType="separate"/>
      </w:r>
      <w:r>
        <w:rPr>
          <w:rFonts w:ascii="黑体" w:hAnsi="黑体" w:eastAsia="黑体" w:cs="黑体"/>
        </w:rPr>
        <w:t>5．进度安排，预期达到的目标</w:t>
      </w:r>
      <w:r>
        <w:tab/>
      </w:r>
      <w:r>
        <w:fldChar w:fldCharType="begin"/>
      </w:r>
      <w:r>
        <w:instrText xml:space="preserve"> PAGEREF _Toc1420474673 \h </w:instrText>
      </w:r>
      <w:r>
        <w:fldChar w:fldCharType="separate"/>
      </w:r>
      <w:r>
        <w:t>21</w:t>
      </w:r>
      <w:r>
        <w:fldChar w:fldCharType="end"/>
      </w:r>
      <w:r>
        <w:fldChar w:fldCharType="end"/>
      </w:r>
    </w:p>
    <w:p w14:paraId="74CCCD2F">
      <w:pPr>
        <w:pStyle w:val="8"/>
        <w:tabs>
          <w:tab w:val="right" w:leader="dot" w:pos="8306"/>
        </w:tabs>
      </w:pPr>
      <w:r>
        <w:fldChar w:fldCharType="begin"/>
      </w:r>
      <w:r>
        <w:instrText xml:space="preserve"> HYPERLINK \l _Toc342125412 </w:instrText>
      </w:r>
      <w:r>
        <w:fldChar w:fldCharType="separate"/>
      </w:r>
      <w:r>
        <w:rPr>
          <w:rFonts w:ascii="黑体" w:hAnsi="黑体" w:eastAsia="黑体" w:cs="黑体"/>
        </w:rPr>
        <w:t>5.1 进度安排</w:t>
      </w:r>
      <w:r>
        <w:tab/>
      </w:r>
      <w:r>
        <w:fldChar w:fldCharType="begin"/>
      </w:r>
      <w:r>
        <w:instrText xml:space="preserve"> PAGEREF _Toc342125412 \h </w:instrText>
      </w:r>
      <w:r>
        <w:fldChar w:fldCharType="separate"/>
      </w:r>
      <w:r>
        <w:t>21</w:t>
      </w:r>
      <w:r>
        <w:fldChar w:fldCharType="end"/>
      </w:r>
      <w:r>
        <w:fldChar w:fldCharType="end"/>
      </w:r>
    </w:p>
    <w:p w14:paraId="4780DA18">
      <w:pPr>
        <w:pStyle w:val="8"/>
        <w:tabs>
          <w:tab w:val="right" w:leader="dot" w:pos="8306"/>
        </w:tabs>
      </w:pPr>
      <w:r>
        <w:fldChar w:fldCharType="begin"/>
      </w:r>
      <w:r>
        <w:instrText xml:space="preserve"> HYPERLINK \l _Toc1288076465 </w:instrText>
      </w:r>
      <w:r>
        <w:fldChar w:fldCharType="separate"/>
      </w:r>
      <w:r>
        <w:rPr>
          <w:rFonts w:ascii="黑体" w:hAnsi="黑体" w:eastAsia="黑体" w:cs="黑体"/>
        </w:rPr>
        <w:t>5.2 预期达到的目标</w:t>
      </w:r>
      <w:r>
        <w:tab/>
      </w:r>
      <w:r>
        <w:fldChar w:fldCharType="begin"/>
      </w:r>
      <w:r>
        <w:instrText xml:space="preserve"> PAGEREF _Toc1288076465 \h </w:instrText>
      </w:r>
      <w:r>
        <w:fldChar w:fldCharType="separate"/>
      </w:r>
      <w:r>
        <w:t>23</w:t>
      </w:r>
      <w:r>
        <w:fldChar w:fldCharType="end"/>
      </w:r>
      <w:r>
        <w:fldChar w:fldCharType="end"/>
      </w:r>
    </w:p>
    <w:p w14:paraId="74D5507E">
      <w:pPr>
        <w:pStyle w:val="7"/>
        <w:tabs>
          <w:tab w:val="right" w:leader="dot" w:pos="8306"/>
        </w:tabs>
      </w:pPr>
      <w:r>
        <w:fldChar w:fldCharType="begin"/>
      </w:r>
      <w:r>
        <w:instrText xml:space="preserve"> HYPERLINK \l _Toc2065985495 </w:instrText>
      </w:r>
      <w:r>
        <w:fldChar w:fldCharType="separate"/>
      </w:r>
      <w:r>
        <w:rPr>
          <w:rFonts w:ascii="黑体" w:hAnsi="黑体" w:eastAsia="黑体" w:cs="黑体"/>
        </w:rPr>
        <w:t>6．课题已具备和所需的条件、经费</w:t>
      </w:r>
      <w:r>
        <w:tab/>
      </w:r>
      <w:r>
        <w:fldChar w:fldCharType="begin"/>
      </w:r>
      <w:r>
        <w:instrText xml:space="preserve"> PAGEREF _Toc2065985495 \h </w:instrText>
      </w:r>
      <w:r>
        <w:fldChar w:fldCharType="separate"/>
      </w:r>
      <w:r>
        <w:t>23</w:t>
      </w:r>
      <w:r>
        <w:fldChar w:fldCharType="end"/>
      </w:r>
      <w:r>
        <w:fldChar w:fldCharType="end"/>
      </w:r>
    </w:p>
    <w:p w14:paraId="2D25F71C">
      <w:pPr>
        <w:pStyle w:val="8"/>
        <w:tabs>
          <w:tab w:val="right" w:leader="dot" w:pos="8306"/>
        </w:tabs>
      </w:pPr>
      <w:r>
        <w:fldChar w:fldCharType="begin"/>
      </w:r>
      <w:r>
        <w:instrText xml:space="preserve"> HYPERLINK \l _Toc355126122 </w:instrText>
      </w:r>
      <w:r>
        <w:fldChar w:fldCharType="separate"/>
      </w:r>
      <w:r>
        <w:rPr>
          <w:rFonts w:ascii="黑体" w:hAnsi="黑体" w:eastAsia="黑体" w:cs="黑体"/>
        </w:rPr>
        <w:t>6.1 已具备条件</w:t>
      </w:r>
      <w:r>
        <w:tab/>
      </w:r>
      <w:r>
        <w:fldChar w:fldCharType="begin"/>
      </w:r>
      <w:r>
        <w:instrText xml:space="preserve"> PAGEREF _Toc355126122 \h </w:instrText>
      </w:r>
      <w:r>
        <w:fldChar w:fldCharType="separate"/>
      </w:r>
      <w:r>
        <w:t>23</w:t>
      </w:r>
      <w:r>
        <w:fldChar w:fldCharType="end"/>
      </w:r>
      <w:r>
        <w:fldChar w:fldCharType="end"/>
      </w:r>
    </w:p>
    <w:p w14:paraId="262A9340">
      <w:pPr>
        <w:pStyle w:val="8"/>
        <w:tabs>
          <w:tab w:val="right" w:leader="dot" w:pos="8306"/>
        </w:tabs>
      </w:pPr>
      <w:r>
        <w:fldChar w:fldCharType="begin"/>
      </w:r>
      <w:r>
        <w:instrText xml:space="preserve"> HYPERLINK \l _Toc747677441 </w:instrText>
      </w:r>
      <w:r>
        <w:fldChar w:fldCharType="separate"/>
      </w:r>
      <w:r>
        <w:rPr>
          <w:rFonts w:ascii="黑体" w:hAnsi="黑体" w:eastAsia="黑体" w:cs="黑体"/>
        </w:rPr>
        <w:t>6.2 所需条件</w:t>
      </w:r>
      <w:r>
        <w:tab/>
      </w:r>
      <w:r>
        <w:fldChar w:fldCharType="begin"/>
      </w:r>
      <w:r>
        <w:instrText xml:space="preserve"> PAGEREF _Toc747677441 \h </w:instrText>
      </w:r>
      <w:r>
        <w:fldChar w:fldCharType="separate"/>
      </w:r>
      <w:r>
        <w:t>24</w:t>
      </w:r>
      <w:r>
        <w:fldChar w:fldCharType="end"/>
      </w:r>
      <w:r>
        <w:fldChar w:fldCharType="end"/>
      </w:r>
    </w:p>
    <w:p w14:paraId="37FAAA57">
      <w:pPr>
        <w:pStyle w:val="8"/>
        <w:tabs>
          <w:tab w:val="right" w:leader="dot" w:pos="8306"/>
        </w:tabs>
      </w:pPr>
      <w:r>
        <w:fldChar w:fldCharType="begin"/>
      </w:r>
      <w:r>
        <w:instrText xml:space="preserve"> HYPERLINK \l _Toc1287932290 </w:instrText>
      </w:r>
      <w:r>
        <w:fldChar w:fldCharType="separate"/>
      </w:r>
      <w:r>
        <w:rPr>
          <w:rFonts w:ascii="黑体" w:hAnsi="黑体" w:eastAsia="黑体" w:cs="黑体"/>
        </w:rPr>
        <w:t>6.3 经费</w:t>
      </w:r>
      <w:r>
        <w:tab/>
      </w:r>
      <w:r>
        <w:fldChar w:fldCharType="begin"/>
      </w:r>
      <w:r>
        <w:instrText xml:space="preserve"> PAGEREF _Toc1287932290 \h </w:instrText>
      </w:r>
      <w:r>
        <w:fldChar w:fldCharType="separate"/>
      </w:r>
      <w:r>
        <w:t>24</w:t>
      </w:r>
      <w:r>
        <w:fldChar w:fldCharType="end"/>
      </w:r>
      <w:r>
        <w:fldChar w:fldCharType="end"/>
      </w:r>
    </w:p>
    <w:p w14:paraId="62B2D911">
      <w:pPr>
        <w:pStyle w:val="7"/>
        <w:tabs>
          <w:tab w:val="right" w:leader="dot" w:pos="8306"/>
        </w:tabs>
      </w:pPr>
      <w:r>
        <w:fldChar w:fldCharType="begin"/>
      </w:r>
      <w:r>
        <w:instrText xml:space="preserve"> HYPERLINK \l _Toc1790319917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_Toc1790319917 \h </w:instrText>
      </w:r>
      <w:r>
        <w:fldChar w:fldCharType="separate"/>
      </w:r>
      <w:r>
        <w:t>25</w:t>
      </w:r>
      <w:r>
        <w:fldChar w:fldCharType="end"/>
      </w:r>
      <w:r>
        <w:fldChar w:fldCharType="end"/>
      </w:r>
    </w:p>
    <w:p w14:paraId="3891DCEE">
      <w:pPr>
        <w:pStyle w:val="7"/>
        <w:tabs>
          <w:tab w:val="right" w:leader="dot" w:pos="8306"/>
        </w:tabs>
      </w:pPr>
      <w:r>
        <w:fldChar w:fldCharType="begin"/>
      </w:r>
      <w:r>
        <w:instrText xml:space="preserve"> HYPERLINK \l _Toc1513466902 </w:instrText>
      </w:r>
      <w:r>
        <w:fldChar w:fldCharType="separate"/>
      </w:r>
      <w:r>
        <w:rPr>
          <w:rFonts w:ascii="黑体" w:hAnsi="黑体" w:eastAsia="黑体" w:cs="黑体"/>
        </w:rPr>
        <w:t>8．主要参考文献</w:t>
      </w:r>
      <w:r>
        <w:tab/>
      </w:r>
      <w:r>
        <w:fldChar w:fldCharType="begin"/>
      </w:r>
      <w:r>
        <w:instrText xml:space="preserve"> PAGEREF _Toc1513466902 \h </w:instrText>
      </w:r>
      <w:r>
        <w:fldChar w:fldCharType="separate"/>
      </w:r>
      <w:r>
        <w:t>26</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343155053"/>
      <w:r>
        <w:rPr>
          <w:rFonts w:ascii="黑体" w:hAnsi="黑体" w:eastAsia="黑体" w:cs="黑体"/>
          <w:b/>
          <w:color w:val="000000"/>
          <w:sz w:val="28"/>
        </w:rPr>
        <w:t>1．课题来源及研究的目的和意义</w:t>
      </w:r>
      <w:bookmarkEnd w:id="0"/>
    </w:p>
    <w:p w14:paraId="5244ADAC">
      <w:pPr>
        <w:pStyle w:val="3"/>
      </w:pPr>
      <w:bookmarkStart w:id="1" w:name="_Toc1413383576"/>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1421142365"/>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826606621"/>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梳理离线蒸馏、在线策略蒸馏、KL 散度和工具增强模型的发展脉络，明确 OPD 在 Function Calling 场景中的研究问题。</w:t>
      </w:r>
    </w:p>
    <w:p w14:paraId="6CEC8EBA">
      <w:pPr>
        <w:pStyle w:val="17"/>
        <w:ind w:firstLine="420"/>
        <w:jc w:val="both"/>
      </w:pPr>
      <w:r>
        <w:t>2. 在统一的 OPD 后训练流程中比较主要散度方向和监督信息粒度（或估计方式），具体实验见第 3、4 节。</w:t>
      </w:r>
    </w:p>
    <w:p w14:paraId="1582C878">
      <w:pPr>
        <w:pStyle w:val="17"/>
        <w:ind w:firstLine="420"/>
        <w:jc w:val="both"/>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705766704"/>
      <w:r>
        <w:rPr>
          <w:rFonts w:ascii="黑体" w:hAnsi="黑体" w:eastAsia="黑体" w:cs="黑体"/>
          <w:b/>
          <w:color w:val="000000"/>
          <w:sz w:val="28"/>
        </w:rPr>
        <w:t>2．国内外在该方向的研究现状及分析</w:t>
      </w:r>
      <w:bookmarkEnd w:id="4"/>
    </w:p>
    <w:p w14:paraId="4756E8EE">
      <w:pPr>
        <w:pStyle w:val="3"/>
      </w:pPr>
      <w:bookmarkStart w:id="5" w:name="_Toc1268811747"/>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近期研究已经将讨论推进到大模型的具体后训练与轻量化环节。吴春志等系统比较了全参数、部分参数、新增参数与无参数微调方法在训练开销和任务适配能力上的差异[28]；舒善富等则直接面向代码大模型，采用自适应知识蒸馏协调正向与反向KL散度，以缓解单一散度在不同概率区域的学习偏差[29]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406417119"/>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1654521573"/>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r w14:paraId="2F8B8BD3">
        <w:trPr>
          <w:cantSplit/>
          <w:jc w:val="center"/>
        </w:trPr>
        <w:tc>
          <w:tcPr>
            <w:tcW w:w="650" w:type="dxa"/>
            <w:tcMar>
              <w:top w:w="0" w:type="dxa"/>
              <w:left w:w="0" w:type="dxa"/>
              <w:bottom w:w="0" w:type="dxa"/>
              <w:right w:w="0" w:type="dxa"/>
            </w:tcMar>
            <w:vAlign w:val="center"/>
          </w:tcPr>
          <w:p w14:paraId="7B4126D3">
            <w:pPr>
              <w:spacing w:before="0" w:after="0"/>
              <w:jc w:val="left"/>
            </w:pPr>
          </w:p>
        </w:tc>
        <w:tc>
          <w:tcPr>
            <w:tcW w:w="7006" w:type="dxa"/>
            <w:tcMar>
              <w:top w:w="0" w:type="dxa"/>
              <w:left w:w="0" w:type="dxa"/>
              <w:bottom w:w="0" w:type="dxa"/>
              <w:right w:w="0" w:type="dxa"/>
            </w:tcMar>
            <w:vAlign w:val="center"/>
          </w:tcPr>
          <w:p w14:paraId="29240DE1">
            <w:pPr>
              <w:spacing w:before="0" w:after="0"/>
              <w:jc w:val="center"/>
              <w:rPr>
                <w:oMath/>
              </w:rPr>
            </w:pPr>
          </w:p>
        </w:tc>
        <w:tc>
          <w:tcPr>
            <w:tcW w:w="650" w:type="dxa"/>
            <w:tcMar>
              <w:top w:w="0" w:type="dxa"/>
              <w:left w:w="0" w:type="dxa"/>
              <w:bottom w:w="0" w:type="dxa"/>
              <w:right w:w="0" w:type="dxa"/>
            </w:tcMar>
            <w:vAlign w:val="center"/>
          </w:tcPr>
          <w:p w14:paraId="4CB65A6D">
            <w:pPr>
              <w:spacing w:before="0" w:after="0"/>
              <w:jc w:val="right"/>
            </w:pPr>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bl>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2" w:name="_Toc1925816055"/>
      <w:r>
        <w:rPr>
          <w:rFonts w:ascii="黑体" w:hAnsi="黑体" w:eastAsia="黑体" w:cs="黑体"/>
          <w:b/>
          <w:color w:val="000000"/>
          <w:sz w:val="24"/>
        </w:rPr>
        <w:t>2.4 监督信息粒度与资源效率</w:t>
      </w:r>
      <w:bookmarkEnd w:id="12"/>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3" w:name="_Toc316908801"/>
      <w:r>
        <w:rPr>
          <w:rFonts w:ascii="黑体" w:hAnsi="黑体" w:eastAsia="黑体" w:cs="黑体"/>
          <w:b/>
          <w:color w:val="000000"/>
          <w:sz w:val="24"/>
        </w:rPr>
        <w:t>2.5 Function Calling 数据与评测研究</w:t>
      </w:r>
      <w:bookmarkEnd w:id="13"/>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w:t>
      </w:r>
    </w:p>
    <w:p w14:paraId="7D373851">
      <w:pPr>
        <w:pStyle w:val="3"/>
      </w:pPr>
      <w:bookmarkStart w:id="14" w:name="_Toc526773847"/>
      <w:r>
        <w:rPr>
          <w:rFonts w:ascii="黑体" w:hAnsi="黑体" w:eastAsia="黑体" w:cs="黑体"/>
          <w:b/>
          <w:color w:val="000000"/>
          <w:sz w:val="24"/>
        </w:rPr>
        <w:t>2.6 现有方法的问题与本文的研究切入点</w:t>
      </w:r>
      <w:bookmarkEnd w:id="14"/>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044C70A9">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w:t>
      </w:r>
    </w:p>
    <w:p w14:paraId="327DDAEA">
      <w:pPr>
        <w:ind w:firstLine="420"/>
        <w:jc w:val="both"/>
      </w:pPr>
      <w:r>
        <w:t>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5" w:name="_Toc1560453595"/>
      <w:r>
        <w:rPr>
          <w:rFonts w:ascii="黑体" w:hAnsi="黑体" w:eastAsia="黑体" w:cs="黑体"/>
          <w:b/>
          <w:color w:val="000000"/>
          <w:sz w:val="28"/>
        </w:rPr>
        <w:t>3．主要研究内容</w:t>
      </w:r>
      <w:bookmarkEnd w:id="15"/>
    </w:p>
    <w:p w14:paraId="6D3F1612">
      <w:pPr>
        <w:pStyle w:val="3"/>
      </w:pPr>
      <w:bookmarkStart w:id="16" w:name="_Toc1473274001"/>
      <w:r>
        <w:rPr>
          <w:rFonts w:ascii="黑体" w:hAnsi="黑体" w:eastAsia="黑体" w:cs="黑体"/>
          <w:b/>
          <w:color w:val="000000"/>
          <w:sz w:val="24"/>
        </w:rPr>
        <w:t>3.1 研究问题概述</w:t>
      </w:r>
      <w:bookmarkEnd w:id="16"/>
    </w:p>
    <w:p w14:paraId="71C6F5B5">
      <w:pPr>
        <w:ind w:firstLine="420"/>
        <w:jc w:val="both"/>
      </w:pPr>
      <w:r>
        <w:t>本文不把模型、数据、LoRA 配置和评测脚本分别列为独立研究内容，而把它们视为统一实验条件。在此基础上，研究内容归纳为以下三个问题，并分别对应第 3.2、3.3 和 3.4 节：</w:t>
      </w:r>
    </w:p>
    <w:p w14:paraId="264D2FA9">
      <w:pPr>
        <w:pStyle w:val="17"/>
        <w:ind w:firstLine="420"/>
        <w:jc w:val="both"/>
      </w:pPr>
      <w:r>
        <w:t>1. 学生状态分布问题：教师在学生自主生成的哪些状态上提供反馈，才能真正缓解训练与推理之间的分布偏移？</w:t>
      </w:r>
    </w:p>
    <w:p w14:paraId="1E031E97">
      <w:pPr>
        <w:pStyle w:val="17"/>
        <w:ind w:firstLine="420"/>
        <w:jc w:val="both"/>
      </w:pPr>
      <w:r>
        <w:t>2. 散度目标问题：Forward KL、Reverse KL 和广义散度如何改变学生的分布覆盖、模式选择与训练稳定性？</w:t>
      </w:r>
    </w:p>
    <w:p w14:paraId="2D6DF87B">
      <w:pPr>
        <w:pStyle w:val="17"/>
        <w:ind w:firstLine="420"/>
        <w:jc w:val="both"/>
      </w:pPr>
      <w:r>
        <w:t>3. 监督信息粒度问题：全词表、Top-K 和 K1 sampled-token 如何在任务效果、估计方差与教师反馈成本之间权衡？</w:t>
      </w:r>
    </w:p>
    <w:p w14:paraId="1EEDD05E">
      <w:pPr>
        <w:pStyle w:val="3"/>
      </w:pPr>
      <w:bookmarkStart w:id="17" w:name="_Toc829684897"/>
      <w:r>
        <w:rPr>
          <w:rFonts w:ascii="黑体" w:hAnsi="黑体" w:eastAsia="黑体" w:cs="黑体"/>
          <w:b/>
          <w:color w:val="000000"/>
          <w:sz w:val="24"/>
        </w:rPr>
        <w:t>3.2 学生状态分布上的有效教师监督</w:t>
      </w:r>
      <w:bookmarkEnd w:id="17"/>
    </w:p>
    <w:p w14:paraId="306F781D">
      <w:pPr>
        <w:ind w:firstLine="420"/>
        <w:jc w:val="both"/>
      </w:pPr>
      <w:r>
        <w:t>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8" w:name="_Toc902743908"/>
      <w:r>
        <w:rPr>
          <w:rFonts w:ascii="黑体" w:hAnsi="黑体" w:eastAsia="黑体" w:cs="黑体"/>
          <w:b/>
          <w:color w:val="000000"/>
          <w:sz w:val="24"/>
        </w:rPr>
        <w:t>3.3 不同散度目标的优化偏好</w:t>
      </w:r>
      <w:bookmarkEnd w:id="18"/>
    </w:p>
    <w:p w14:paraId="6EF7E413">
      <w:pPr>
        <w:ind w:firstLine="420"/>
        <w:jc w:val="both"/>
      </w:pPr>
      <w:r>
        <w:t>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19" w:name="_Toc444895701"/>
      <w:r>
        <w:rPr>
          <w:rFonts w:ascii="黑体" w:hAnsi="黑体" w:eastAsia="黑体" w:cs="黑体"/>
          <w:b/>
          <w:color w:val="000000"/>
          <w:sz w:val="24"/>
        </w:rPr>
        <w:t>3.4 监督信息粒度与资源效率</w:t>
      </w:r>
      <w:bookmarkEnd w:id="19"/>
    </w:p>
    <w:p w14:paraId="7DA378CA">
      <w:pPr>
        <w:ind w:firstLine="420"/>
        <w:jc w:val="both"/>
      </w:pPr>
      <w:r>
        <w:t>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rPr>
          <w:rFonts w:hint="eastAsia" w:eastAsia="黑体"/>
          <w:lang w:val="en-US" w:eastAsia="zh-CN"/>
        </w:rPr>
      </w:pPr>
      <w:bookmarkStart w:id="20" w:name="_Toc1971471500"/>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0"/>
    </w:p>
    <w:p w14:paraId="03761740">
      <w:pPr>
        <w:ind w:firstLine="420"/>
        <w:jc w:val="both"/>
      </w:pPr>
      <w:r>
        <w:t xml:space="preserve">三个问题的关系如图 </w:t>
      </w:r>
      <w:r>
        <w:fldChar w:fldCharType="begin"/>
      </w:r>
      <w:r>
        <w:instrText xml:space="preserve"> REF _RefFigureResearchQuestions \h </w:instrText>
      </w:r>
      <w:r>
        <w:fldChar w:fldCharType="separate"/>
      </w:r>
      <w:r>
        <w:rPr>
          <w:rFonts w:ascii="Times New Roman" w:hAnsi="Times New Roman" w:eastAsia="宋体"/>
          <w:sz w:val="21"/>
        </w:rPr>
        <w:t>1</w:t>
      </w:r>
      <w:r>
        <w:fldChar w:fldCharType="end"/>
      </w:r>
      <w:r>
        <w:t xml:space="preserve"> 所示。学生状态分布确定教师监督发生的位置，散度目标决定教师分布如何转化为参数更新，监督信息粒度进一步限定可用信息及其计算成本。三者最终在统一的 Function Calling 评测框架中接受任务效果、训练稳定性和资源开销的共同检验。</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21"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1"/>
      <w:r>
        <w:rPr>
          <w:rFonts w:ascii="Times New Roman" w:hAnsi="Times New Roman" w:eastAsia="宋体"/>
          <w:sz w:val="21"/>
        </w:rPr>
        <w:t xml:space="preserve">  三个研究问题及其关系</w:t>
      </w:r>
    </w:p>
    <w:p w14:paraId="575D3309">
      <w:pPr>
        <w:pStyle w:val="2"/>
      </w:pPr>
      <w:bookmarkStart w:id="22" w:name="_Toc996310937"/>
      <w:r>
        <w:rPr>
          <w:rFonts w:ascii="黑体" w:hAnsi="黑体" w:eastAsia="黑体" w:cs="黑体"/>
          <w:b/>
          <w:color w:val="000000"/>
          <w:sz w:val="28"/>
        </w:rPr>
        <w:t>4．研究方案</w:t>
      </w:r>
      <w:bookmarkEnd w:id="22"/>
    </w:p>
    <w:p w14:paraId="1076D32B">
      <w:pPr>
        <w:pStyle w:val="3"/>
      </w:pPr>
      <w:bookmarkStart w:id="23" w:name="_Toc1067922500"/>
      <w:r>
        <w:rPr>
          <w:rFonts w:ascii="黑体" w:hAnsi="黑体" w:eastAsia="黑体" w:cs="黑体"/>
          <w:b/>
          <w:color w:val="000000"/>
          <w:sz w:val="24"/>
        </w:rPr>
        <w:t>4.1 总体技术路线</w:t>
      </w:r>
      <w:bookmarkEnd w:id="23"/>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本文以学生模型在真实生成过程中访问的状态为起点，将教师反馈、分布匹配和参数更新放在</w:t>
      </w:r>
      <w:r>
        <w:rPr>
          <w:rFonts w:hint="eastAsia"/>
          <w:lang w:val="en-US" w:eastAsia="zh-CN"/>
        </w:rPr>
        <w:t>一起综合计算</w:t>
      </w:r>
      <w:r>
        <w:t>。具体过程是：学生先根据当前策略生成 Function Calling 轨迹，教师再在这些学生前缀上给出条件分布，最后由选定的散度和监督信息粒度形成梯度。这样处理后，状态来源、优化目标和教师信息量不再混在一个方法名称中，而可以作为三个相互独立的变量加以比较。</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r>
                  <m:rPr>
                    <m:sty m:val="p"/>
                  </m:rPr>
                  <w:rPr>
                    <w:rFonts w:hint="default"/>
                    <w:lang w:val="en-US"/>
                  </w:rPr>
                  <m:t>,</m:t>
                </m:r>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3FDE61D">
            <w:pPr>
              <w:spacing w:before="0" w:after="0"/>
              <w:jc w:val="right"/>
            </w:pPr>
            <w:bookmarkStart w:id="24" w:name="_RefEq4_1"/>
            <w:r>
              <w:t>(4-</w:t>
            </w:r>
            <w:r>
              <w:fldChar w:fldCharType="begin"/>
            </w:r>
            <w:r>
              <w:instrText xml:space="preserve"> SEQ Eq4 \* ARABIC </w:instrText>
            </w:r>
            <w:r>
              <w:fldChar w:fldCharType="separate"/>
            </w:r>
            <w:r>
              <w:t>1</w:t>
            </w:r>
            <w:r>
              <w:fldChar w:fldCharType="end"/>
            </w:r>
            <w:r>
              <w:t>)</w:t>
            </w:r>
            <w:bookmarkEnd w:id="24"/>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5" w:name="_RefEq4_2"/>
            <w:r>
              <w:t>(4-</w:t>
            </w:r>
            <w:r>
              <w:fldChar w:fldCharType="begin"/>
            </w:r>
            <w:r>
              <w:instrText xml:space="preserve"> SEQ Eq4 \* ARABIC </w:instrText>
            </w:r>
            <w:r>
              <w:fldChar w:fldCharType="separate"/>
            </w:r>
            <w:r>
              <w:t>2</w:t>
            </w:r>
            <w:r>
              <w:fldChar w:fldCharType="end"/>
            </w:r>
            <w:r>
              <w:t>)</w:t>
            </w:r>
            <w:bookmarkEnd w:id="25"/>
          </w:p>
        </w:tc>
      </w:tr>
    </w:tbl>
    <w:p w14:paraId="7DD08C89">
      <w:pPr>
        <w:ind w:firstLine="0"/>
        <w:jc w:val="both"/>
      </w:pPr>
      <w:r>
        <w:t>上式中的统一估计项在全词表方案下等于完整散度，在 Top-K 方案下等于重归一化后的截断散度，在 K1 方案下等于后文给出的单样本重要性估计。每次参数更新只对师生条件分布之间的损失反向传播；学生生成的离散轨迹只作为状态序列使用，不对采样过程本身求梯度。学生生成分布决定教师看到什么状态，散度函数决定教师知识以何种偏好转化为梯度，估计方式则决定每个位置实际使用多少教师信息。学生只在 LoRA 参数子空间内更新，因此总体优化问题可写为：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6" w:name="_RefEq4_3"/>
            <w:r>
              <w:t>(4-</w:t>
            </w:r>
            <w:r>
              <w:fldChar w:fldCharType="begin"/>
            </w:r>
            <w:r>
              <w:instrText xml:space="preserve"> SEQ Eq4 \* ARABIC </w:instrText>
            </w:r>
            <w:r>
              <w:fldChar w:fldCharType="separate"/>
            </w:r>
            <w:r>
              <w:t>3</w:t>
            </w:r>
            <w:r>
              <w:fldChar w:fldCharType="end"/>
            </w:r>
            <w:r>
              <w:t>)</w:t>
            </w:r>
            <w:bookmarkEnd w:id="26"/>
          </w:p>
        </w:tc>
      </w:tr>
    </w:tbl>
    <w:p w14:paraId="1457368B">
      <w:pPr>
        <w:ind w:firstLine="420"/>
        <w:jc w:val="both"/>
      </w:pPr>
      <w:r>
        <w:t>三个研究问题由此统一到同一目标中：学生轨迹决定监督状态，散度决定优化偏好，监督信息粒度与估计方式决定信息量和计算成本。整体技术路线如图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7"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7"/>
      <w:r>
        <w:rPr>
          <w:rFonts w:ascii="Times New Roman" w:hAnsi="Times New Roman" w:eastAsia="宋体"/>
          <w:sz w:val="21"/>
        </w:rPr>
        <w:t xml:space="preserve">  研究总体技术路线</w:t>
      </w:r>
    </w:p>
    <w:p w14:paraId="51D0960D">
      <w:pPr>
        <w:pStyle w:val="3"/>
      </w:pPr>
      <w:bookmarkStart w:id="28" w:name="_Toc2052619521"/>
      <w:r>
        <w:rPr>
          <w:rFonts w:ascii="黑体" w:hAnsi="黑体" w:eastAsia="黑体" w:cs="黑体"/>
          <w:b/>
          <w:color w:val="000000"/>
          <w:sz w:val="24"/>
        </w:rPr>
        <w:t>4.2 模型和数据准备</w:t>
      </w:r>
      <w:bookmarkEnd w:id="28"/>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29" w:name="_RefEq4_4"/>
            <w:r>
              <w:t>(4-</w:t>
            </w:r>
            <w:r>
              <w:fldChar w:fldCharType="begin"/>
            </w:r>
            <w:r>
              <w:instrText xml:space="preserve"> SEQ Eq4 \* ARABIC </w:instrText>
            </w:r>
            <w:r>
              <w:fldChar w:fldCharType="separate"/>
            </w:r>
            <w:r>
              <w:t>4</w:t>
            </w:r>
            <w:r>
              <w:fldChar w:fldCharType="end"/>
            </w:r>
            <w:r>
              <w:t>)</w:t>
            </w:r>
            <w:bookmarkEnd w:id="29"/>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0" w:name="_RefEq4_5"/>
            <w:r>
              <w:t>(4-</w:t>
            </w:r>
            <w:r>
              <w:fldChar w:fldCharType="begin"/>
            </w:r>
            <w:r>
              <w:instrText xml:space="preserve"> SEQ Eq4 \* ARABIC </w:instrText>
            </w:r>
            <w:r>
              <w:fldChar w:fldCharType="separate"/>
            </w:r>
            <w:r>
              <w:t>5</w:t>
            </w:r>
            <w:r>
              <w:fldChar w:fldCharType="end"/>
            </w:r>
            <w:r>
              <w:t>)</w:t>
            </w:r>
            <w:bookmarkEnd w:id="30"/>
          </w:p>
        </w:tc>
      </w:tr>
    </w:tbl>
    <w:p w14:paraId="0799E47D">
      <w:pPr>
        <w:ind w:firstLine="420"/>
        <w:jc w:val="both"/>
      </w:pPr>
      <w:r>
        <w:t>上式依次将用户请求、工具 schema、已有对话与工具返回作为模板输入。训练集、验证集和测试集采用独立划分，并满足以下互斥关系：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pPr>
            <m:oMathPara>
              <m:oMath>
                <m:sSub>
                  <m:sSubPr/>
                  <m:e>
                    <m:r>
                      <m:rPr/>
                      <m:t>D</m:t>
                    </m:r>
                  </m:e>
                  <m:sub>
                    <m:r>
                      <m:rPr>
                        <m:sty m:val="p"/>
                      </m:rPr>
                      <m:t>tr</m:t>
                    </m:r>
                  </m:sub>
                </m:sSub>
                <m:r>
                  <m:rPr>
                    <m:sty m:val="p"/>
                  </m:rPr>
                  <m:t>∩</m:t>
                </m:r>
                <m:sSub>
                  <m:sSubPr/>
                  <m:e>
                    <m:r>
                      <m:rPr/>
                      <m:t>D</m:t>
                    </m:r>
                  </m:e>
                  <m:sub>
                    <m:r>
                      <m:rPr>
                        <m:sty m:val="p"/>
                      </m:rPr>
                      <m:t>val</m:t>
                    </m:r>
                  </m:sub>
                </m:sSub>
                <m:r>
                  <m:rPr>
                    <m:sty m:val="p"/>
                  </m:rPr>
                  <m:t>=</m:t>
                </m:r>
                <m:sSub>
                  <m:sSubPr/>
                  <m:e>
                    <m:r>
                      <m:rPr/>
                      <m:t>D</m:t>
                    </m:r>
                  </m:e>
                  <m:sub>
                    <m:r>
                      <m:rPr>
                        <m:sty m:val="p"/>
                      </m:rPr>
                      <m:t>tr</m:t>
                    </m:r>
                  </m:sub>
                </m:sSub>
                <m:r>
                  <m:rPr>
                    <m:sty m:val="p"/>
                  </m:rPr>
                  <m:t>∩</m:t>
                </m:r>
                <m:sSub>
                  <m:sSubPr/>
                  <m:e>
                    <m:r>
                      <m:rPr/>
                      <m:t>D</m:t>
                    </m:r>
                  </m:e>
                  <m:sub>
                    <m:r>
                      <m:rPr>
                        <m:sty m:val="p"/>
                      </m:rPr>
                      <m:t>te</m:t>
                    </m:r>
                  </m:sub>
                </m:sSub>
                <m:r>
                  <m:rPr>
                    <m:sty m:val="p"/>
                  </m: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1" w:name="_RefEq4_6"/>
            <w:r>
              <w:t>(4-</w:t>
            </w:r>
            <w:r>
              <w:fldChar w:fldCharType="begin"/>
            </w:r>
            <w:r>
              <w:instrText xml:space="preserve"> SEQ Eq4 \* ARABIC </w:instrText>
            </w:r>
            <w:r>
              <w:fldChar w:fldCharType="separate"/>
            </w:r>
            <w:r>
              <w:t>6</w:t>
            </w:r>
            <w:r>
              <w:fldChar w:fldCharType="end"/>
            </w:r>
            <w:r>
              <w:t>)</w:t>
            </w:r>
            <w:bookmarkEnd w:id="31"/>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32" w:name="_Toc1198984039"/>
      <w:r>
        <w:rPr>
          <w:rFonts w:ascii="黑体" w:hAnsi="黑体" w:eastAsia="黑体" w:cs="黑体"/>
          <w:b/>
          <w:color w:val="000000"/>
          <w:sz w:val="24"/>
        </w:rPr>
        <w:t>4.3 学生 rollout 和教师反馈</w:t>
      </w:r>
      <w:bookmarkEnd w:id="32"/>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r>
                  <m:rPr>
                    <m:sty m:val="p"/>
                  </m:rPr>
                  <m:t>,</m:t>
                </m:r>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2654C18">
            <w:pPr>
              <w:spacing w:before="0" w:after="0"/>
              <w:jc w:val="right"/>
            </w:pPr>
            <w:bookmarkStart w:id="33" w:name="_RefEq4_7"/>
            <w:r>
              <w:t>(4-</w:t>
            </w:r>
            <w:r>
              <w:fldChar w:fldCharType="begin"/>
            </w:r>
            <w:r>
              <w:instrText xml:space="preserve"> SEQ Eq4 \* ARABIC </w:instrText>
            </w:r>
            <w:r>
              <w:fldChar w:fldCharType="separate"/>
            </w:r>
            <w:r>
              <w:t>7</w:t>
            </w:r>
            <w:r>
              <w:fldChar w:fldCharType="end"/>
            </w:r>
            <w:r>
              <w:t>)</w:t>
            </w:r>
            <w:bookmarkEnd w:id="33"/>
          </w:p>
        </w:tc>
      </w:tr>
    </w:tbl>
    <w:p w14:paraId="516744BC">
      <w:pPr>
        <w:ind w:firstLine="420"/>
        <w:jc w:val="both"/>
      </w:pPr>
      <w:r>
        <w:t>教师并不重新生成一条替代答案，而是在学生已经到达的前缀上评分。这样，教师监督对应的是学生部署时真正可能访问的状态。对同一前缀，师生两侧分别计算 logits，并通过 softmax 得到条件概率分布：</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r>
                  <m:rPr>
                    <m:sty m:val="p"/>
                  </m:rPr>
                  <m:t>,</m:t>
                </m:r>
                <m:r>
                  <m:rPr/>
                  <m:t>  </m:t>
                </m:r>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4" w:name="_RefEq4_8"/>
            <w:r>
              <w:t>(4-</w:t>
            </w:r>
            <w:r>
              <w:fldChar w:fldCharType="begin"/>
            </w:r>
            <w:r>
              <w:instrText xml:space="preserve"> SEQ Eq4 \* ARABIC </w:instrText>
            </w:r>
            <w:r>
              <w:fldChar w:fldCharType="separate"/>
            </w:r>
            <w:r>
              <w:t>8</w:t>
            </w:r>
            <w:r>
              <w:fldChar w:fldCharType="end"/>
            </w:r>
            <w:r>
              <w:t>)</w:t>
            </w:r>
            <w:bookmarkEnd w:id="34"/>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r>
                  <m:rPr>
                    <m:sty m:val="p"/>
                  </m:rPr>
                  <m:t>,</m:t>
                </m:r>
                <m:r>
                  <m:rPr/>
                  <m:t>  </m:t>
                </m:r>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34A630B7">
            <w:pPr>
              <w:spacing w:before="0" w:after="0"/>
              <w:jc w:val="right"/>
            </w:pPr>
            <w:bookmarkStart w:id="35" w:name="_RefEq4_9"/>
            <w:r>
              <w:t>(4-</w:t>
            </w:r>
            <w:r>
              <w:fldChar w:fldCharType="begin"/>
            </w:r>
            <w:r>
              <w:instrText xml:space="preserve"> SEQ Eq4 \* ARABIC </w:instrText>
            </w:r>
            <w:r>
              <w:fldChar w:fldCharType="separate"/>
            </w:r>
            <w:r>
              <w:t>9</w:t>
            </w:r>
            <w:r>
              <w:fldChar w:fldCharType="end"/>
            </w:r>
            <w:r>
              <w:t>)</w:t>
            </w:r>
            <w:bookmarkEnd w:id="35"/>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6"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6"/>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给出了各环节需要固定和单独记录的变量。本文在所有对照组中使用同一批输入、同一 rollout 规则和同一有效位置掩码，使损失变化能够归因于散度类型或监督信息粒度，而不是生成长度、模板或后处理差异。训练、反馈与评测之间的关系见图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37"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37"/>
      <w:r>
        <w:rPr>
          <w:rFonts w:ascii="Times New Roman" w:hAnsi="Times New Roman" w:eastAsia="宋体"/>
          <w:sz w:val="21"/>
        </w:rPr>
        <w:t xml:space="preserve">  在线策略蒸馏训练与性能评测流程</w:t>
      </w:r>
    </w:p>
    <w:p w14:paraId="5E2DE293">
      <w:pPr>
        <w:pStyle w:val="3"/>
      </w:pPr>
      <w:bookmarkStart w:id="38" w:name="_Toc1485683672"/>
      <w:r>
        <w:rPr>
          <w:rFonts w:ascii="黑体" w:hAnsi="黑体" w:eastAsia="黑体" w:cs="黑体"/>
          <w:b/>
          <w:color w:val="000000"/>
          <w:sz w:val="24"/>
        </w:rPr>
        <w:t>4.4 损失与监督信息粒度/估计方式的定义原则</w:t>
      </w:r>
      <w:bookmarkEnd w:id="38"/>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39" w:name="_RefEq4_10"/>
            <w:r>
              <w:t>(4-</w:t>
            </w:r>
            <w:r>
              <w:fldChar w:fldCharType="begin"/>
            </w:r>
            <w:r>
              <w:instrText xml:space="preserve"> SEQ Eq4 \* ARABIC </w:instrText>
            </w:r>
            <w:r>
              <w:fldChar w:fldCharType="separate"/>
            </w:r>
            <w:r>
              <w:t>10</w:t>
            </w:r>
            <w:r>
              <w:fldChar w:fldCharType="end"/>
            </w:r>
            <w:r>
              <w:t>)</w:t>
            </w:r>
            <w:bookmarkEnd w:id="39"/>
          </w:p>
        </w:tc>
      </w:tr>
    </w:tbl>
    <w:p w14:paraId="6E53B4B0">
      <w:pPr>
        <w:ind w:firstLine="420"/>
        <w:jc w:val="both"/>
      </w:pPr>
      <w:r>
        <w:t>Reverse KL 以学生概率作为权重，更集中地约束学生当前愿意生成的区域：</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0" w:name="_RefEq4_11"/>
            <w:r>
              <w:t>(4-</w:t>
            </w:r>
            <w:r>
              <w:fldChar w:fldCharType="begin"/>
            </w:r>
            <w:r>
              <w:instrText xml:space="preserve"> SEQ Eq4 \* ARABIC </w:instrText>
            </w:r>
            <w:r>
              <w:fldChar w:fldCharType="separate"/>
            </w:r>
            <w:r>
              <w:t>11</w:t>
            </w:r>
            <w:r>
              <w:fldChar w:fldCharType="end"/>
            </w:r>
            <w:r>
              <w:t>)</w:t>
            </w:r>
            <w:bookmarkEnd w:id="40"/>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r>
                  <m:rPr>
                    <m:sty m:val="p"/>
                  </m:rPr>
                  <m:t>,</m:t>
                </m:r>
                <m:r>
                  <m:rPr/>
                  <m:t>  </m:t>
                </m:r>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6857AB00">
            <w:pPr>
              <w:spacing w:before="0" w:after="0"/>
              <w:jc w:val="right"/>
            </w:pPr>
            <w:bookmarkStart w:id="41" w:name="_RefEq4_12"/>
            <w:r>
              <w:t>(4-</w:t>
            </w:r>
            <w:r>
              <w:fldChar w:fldCharType="begin"/>
            </w:r>
            <w:r>
              <w:instrText xml:space="preserve"> SEQ Eq4 \* ARABIC </w:instrText>
            </w:r>
            <w:r>
              <w:fldChar w:fldCharType="separate"/>
            </w:r>
            <w:r>
              <w:t>12</w:t>
            </w:r>
            <w:r>
              <w:fldChar w:fldCharType="end"/>
            </w:r>
            <w:r>
              <w:t>)</w:t>
            </w:r>
            <w:bookmarkEnd w:id="41"/>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m:t>,</m:t>
                </m:r>
                <m:r>
                  <m:rPr/>
                  <m:t>  0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2" w:name="_RefEq4_13"/>
            <w:r>
              <w:t>(4-</w:t>
            </w:r>
            <w:r>
              <w:fldChar w:fldCharType="begin"/>
            </w:r>
            <w:r>
              <w:instrText xml:space="preserve"> SEQ Eq4 \* ARABIC </w:instrText>
            </w:r>
            <w:r>
              <w:fldChar w:fldCharType="separate"/>
            </w:r>
            <w:r>
              <w:t>13</w:t>
            </w:r>
            <w:r>
              <w:fldChar w:fldCharType="end"/>
            </w:r>
            <w:r>
              <w:t>)</w:t>
            </w:r>
            <w:bookmarkEnd w:id="42"/>
          </w:p>
        </w:tc>
      </w:tr>
    </w:tbl>
    <w:p w14:paraId="0B274885">
      <w:pPr>
        <w:ind w:firstLine="420"/>
        <w:jc w:val="both"/>
      </w:pPr>
      <w:r>
        <w:t>混合系数改变后，混合分布对教师概率和学生概率的依赖随之变化。本文不会只用“覆盖”或“模式选择”解释结果，而会结合师生熵、支持集重叠和梯度稳定性判断散度实际产生的作用[7][8][9][12]。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上述散度与三种监督信息粒度组成表 4-2 的实验矩阵。每个单元格都在相同数据、学生初始化、更新步数和 rollout 预算下运行。</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3"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3"/>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left"/>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left"/>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left"/>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left"/>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left"/>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left"/>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left"/>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left"/>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left"/>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left"/>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left"/>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left"/>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left"/>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left"/>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left"/>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left"/>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left"/>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left"/>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left"/>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left"/>
            </w:pPr>
            <w:r>
              <w:rPr>
                <w:rFonts w:ascii="Times New Roman" w:hAnsi="Times New Roman" w:eastAsia="宋体"/>
                <w:b w:val="0"/>
                <w:sz w:val="19"/>
              </w:rPr>
              <w:t>单样本随机估计</w:t>
            </w:r>
          </w:p>
        </w:tc>
      </w:tr>
    </w:tbl>
    <w:p w14:paraId="26F667FD">
      <w:pPr>
        <w:ind w:firstLine="420"/>
        <w:jc w:val="both"/>
      </w:pPr>
      <w:r>
        <w:t>矩阵的作用不是穷举方法名称，而是分离两个容易混淆的因素：纵向改变教师信息的保留范围，横向改变分布差异转化为梯度的方式。由此可以判断性能变化究竟来自散度偏好，还是来自教师信息量。</w:t>
      </w:r>
    </w:p>
    <w:p w14:paraId="7D429E15">
      <w:pPr>
        <w:ind w:firstLine="420"/>
        <w:jc w:val="both"/>
      </w:pPr>
      <w:r>
        <w:t>全词表方案以完整词表作为支持集，并直接使用师生完整概率分布计算散度，是信息最完整的基线。Top-K 方案则由教师分布确定支持集：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bookmarkStart w:id="44" w:name="_RefEq4_14"/>
            <w:r>
              <w:t>(4-</w:t>
            </w:r>
            <w:r>
              <w:fldChar w:fldCharType="begin"/>
            </w:r>
            <w:r>
              <w:instrText xml:space="preserve"> SEQ Eq4 \* ARABIC </w:instrText>
            </w:r>
            <w:r>
              <w:fldChar w:fldCharType="separate"/>
            </w:r>
            <w:r>
              <w:t>14</w:t>
            </w:r>
            <w:r>
              <w:fldChar w:fldCharType="end"/>
            </w:r>
            <w:r>
              <w:t>)</w:t>
            </w:r>
            <w:bookmarkEnd w:id="44"/>
          </w:p>
        </w:tc>
      </w:tr>
    </w:tbl>
    <w:p w14:paraId="1E71EBD7">
      <w:pPr>
        <w:ind w:firstLine="420"/>
        <w:jc w:val="both"/>
      </w:pPr>
      <w:r>
        <w:t>在同一支持集上分别归一化师生概率，以避免把教师尾部概率无意并入某个保留 token：</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m:t>,</m:t>
                </m:r>
                <m:r>
                  <m:rPr/>
                  <m:t>  </m:t>
                </m:r>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m:t>,</m:t>
                </m:r>
                <m:r>
                  <m:rPr/>
                  <m:t>  v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45" w:name="_RefEq4_15"/>
            <w:r>
              <w:t>(4-</w:t>
            </w:r>
            <w:r>
              <w:fldChar w:fldCharType="begin"/>
            </w:r>
            <w:r>
              <w:instrText xml:space="preserve"> SEQ Eq4 \* ARABIC </w:instrText>
            </w:r>
            <w:r>
              <w:fldChar w:fldCharType="separate"/>
            </w:r>
            <w:r>
              <w:t>15</w:t>
            </w:r>
            <w:r>
              <w:fldChar w:fldCharType="end"/>
            </w:r>
            <w:r>
              <w:t>)</w:t>
            </w:r>
            <w:bookmarkEnd w:id="45"/>
          </w:p>
        </w:tc>
      </w:tr>
    </w:tbl>
    <w:p w14:paraId="718B00F7">
      <w:pPr>
        <w:ind w:firstLine="420"/>
        <w:jc w:val="both"/>
      </w:pPr>
      <w:r>
        <w:t>K1 sampled-token 将词表求和改写为单样本重要性估计。样本从提议分布中抽取，Forward KL 与 Reverse KL 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m:t>,</m:t>
                </m:r>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m:t>,</m:t>
                </m:r>
                <m:r>
                  <m:rPr>
                    <m:sty m:val="p"/>
                  </m:rPr>
                  <w:rPr>
                    <w:rFonts w:hint="default" w:ascii="DejaVu Math TeX Gyre" w:hAnsi="DejaVu Math TeX Gyre"/>
                    <w:lang w:val="en-US" w:eastAsia="zh-CN"/>
                  </w:rPr>
                  <m:t xml:space="preserve"> </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46" w:name="_RefEq4_16"/>
            <w:r>
              <w:t>(4-</w:t>
            </w:r>
            <w:r>
              <w:fldChar w:fldCharType="begin"/>
            </w:r>
            <w:r>
              <w:instrText xml:space="preserve"> SEQ Eq4 \* ARABIC </w:instrText>
            </w:r>
            <w:r>
              <w:fldChar w:fldCharType="separate"/>
            </w:r>
            <w:r>
              <w:t>16</w:t>
            </w:r>
            <w:r>
              <w:fldChar w:fldCharType="end"/>
            </w:r>
            <w:r>
              <w:t>)</w:t>
            </w:r>
            <w:bookmarkEnd w:id="46"/>
          </w:p>
        </w:tc>
      </w:tr>
    </w:tbl>
    <w:p w14:paraId="3D436604">
      <w:pPr>
        <w:ind w:firstLine="420"/>
        <w:jc w:val="both"/>
      </w:pPr>
      <w:r>
        <w:t>为控制方差，提议分布必须覆盖被估计分布的支持集，并记录其定义、随机种子和概率下界。所有方案统一采用 log-sum-exp、有效位置归一化和有限值检查，以避免混合精度下的 NaN 或 Inf。</w:t>
      </w:r>
    </w:p>
    <w:p w14:paraId="264AD57D">
      <w:pPr>
        <w:pStyle w:val="3"/>
        <w:jc w:val="left"/>
      </w:pPr>
      <w:bookmarkStart w:id="47" w:name="_Toc1093111635"/>
      <w:r>
        <w:rPr>
          <w:rFonts w:ascii="黑体" w:hAnsi="黑体" w:eastAsia="黑体" w:cs="黑体"/>
          <w:b/>
          <w:color w:val="000000"/>
          <w:sz w:val="24"/>
        </w:rPr>
        <w:t>4.5 评价指标和公平性</w:t>
      </w:r>
      <w:bookmarkEnd w:id="47"/>
      <w:bookmarkStart w:id="68" w:name="_GoBack"/>
      <w:bookmarkEnd w:id="68"/>
    </w:p>
    <w:p w14:paraId="1E75A657">
      <w:pPr>
        <w:ind w:firstLine="420"/>
        <w:jc w:val="both"/>
      </w:pPr>
      <w:r>
        <w:t>本文从任务正确性、训练稳定性和资源成本三个层面评价方法，具体指标及其作用见表 4-3。</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48"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48"/>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49" w:name="_RefEq4_17"/>
            <w:r>
              <w:t>(4-</w:t>
            </w:r>
            <w:r>
              <w:fldChar w:fldCharType="begin"/>
            </w:r>
            <w:r>
              <w:instrText xml:space="preserve"> SEQ Eq4 \* ARABIC </w:instrText>
            </w:r>
            <w:r>
              <w:fldChar w:fldCharType="separate"/>
            </w:r>
            <w:r>
              <w:t>17</w:t>
            </w:r>
            <w:r>
              <w:fldChar w:fldCharType="end"/>
            </w:r>
            <w:r>
              <w:t>)</w:t>
            </w:r>
            <w:bookmarkEnd w:id="49"/>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0" w:name="_RefEq4_18"/>
            <w:r>
              <w:t>(4-</w:t>
            </w:r>
            <w:r>
              <w:fldChar w:fldCharType="begin"/>
            </w:r>
            <w:r>
              <w:instrText xml:space="preserve"> SEQ Eq4 \* ARABIC </w:instrText>
            </w:r>
            <w:r>
              <w:fldChar w:fldCharType="separate"/>
            </w:r>
            <w:r>
              <w:t>18</w:t>
            </w:r>
            <w:r>
              <w:fldChar w:fldCharType="end"/>
            </w:r>
            <w:r>
              <w:t>)</w:t>
            </w:r>
            <w:bookmarkEnd w:id="50"/>
          </w:p>
        </w:tc>
      </w:tr>
    </w:tbl>
    <w:p w14:paraId="04F1D07C">
      <w:pPr>
        <w:ind w:firstLine="420"/>
        <w:jc w:val="both"/>
      </w:pPr>
      <w:r>
        <w:t>其中“≡”依据 schema 允许的类型转换、顺序不敏感字段和等价表示判定。本文还分别报告 JSON 可解析率、schema 合法率和工具执行成功率，因为格式合法、函数选择正确与任务真正完成并不是同一个指标。BFCL 的任务划分与判定规则为这套评测提供参考[27]。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m>
                  <m:mPr>
                    <m:mcs>
                      <m:mc>
                        <m:mcPr>
                          <m:count m:val="1"/>
                          <m:mcJc m:val="right"/>
                        </m:mcPr>
                      </m:mc>
                    </m:mcs>
                    <m:plcHide m:val="1"/>
                  </m:mPr>
                  <m:mr>
                    <m:e>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e>
                  </m:mr>
                  <m:mr>
                    <m:e>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e>
                  </m:mr>
                </m:m>
              </m:oMath>
            </m:oMathPara>
          </w:p>
        </w:tc>
        <w:tc>
          <w:tcPr>
            <w:tcW w:w="650" w:type="dxa"/>
            <w:tcMar>
              <w:top w:w="0" w:type="dxa"/>
              <w:left w:w="0" w:type="dxa"/>
              <w:bottom w:w="0" w:type="dxa"/>
              <w:right w:w="0" w:type="dxa"/>
            </w:tcMar>
            <w:vAlign w:val="center"/>
          </w:tcPr>
          <w:p w14:paraId="6373FFD1">
            <w:pPr>
              <w:spacing w:before="0" w:after="0"/>
              <w:jc w:val="right"/>
            </w:pPr>
            <w:bookmarkStart w:id="51" w:name="_RefEq4_19"/>
            <w:r>
              <w:t>(4-</w:t>
            </w:r>
            <w:r>
              <w:fldChar w:fldCharType="begin"/>
            </w:r>
            <w:r>
              <w:instrText xml:space="preserve"> SEQ Eq4 \* ARABIC </w:instrText>
            </w:r>
            <w:r>
              <w:fldChar w:fldCharType="separate"/>
            </w:r>
            <w:r>
              <w:t>19</w:t>
            </w:r>
            <w:r>
              <w:fldChar w:fldCharType="end"/>
            </w:r>
            <w:r>
              <w:t>)</w:t>
            </w:r>
            <w:bookmarkEnd w:id="51"/>
          </w:p>
        </w:tc>
      </w:tr>
    </w:tbl>
    <w:p w14:paraId="3E2F0339">
      <w:pPr>
        <w:ind w:firstLine="420"/>
        <w:jc w:val="both"/>
      </w:pPr>
      <w:r>
        <w:t>熵反映教师分布的集中程度，重叠率反映学生高概率区域与教师高概率区域是否一致。二者与异常损失、格式错误率和梯度范数结合后，可以区分“学生没有覆盖教师知识”和“教师在低质量学生状态上给出不稳定监督”这两类原因。</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r>
                  <m:rPr>
                    <m:sty m:val="p"/>
                  </m:rPr>
                  <m:t>,</m:t>
                </m:r>
                <m:r>
                  <m:rPr/>
                  <m:t>  </m:t>
                </m:r>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358F0084">
            <w:pPr>
              <w:spacing w:before="0" w:after="0"/>
              <w:jc w:val="right"/>
            </w:pPr>
            <w:bookmarkStart w:id="52" w:name="_RefEq4_20"/>
            <w:r>
              <w:t>(4-</w:t>
            </w:r>
            <w:r>
              <w:fldChar w:fldCharType="begin"/>
            </w:r>
            <w:r>
              <w:instrText xml:space="preserve"> SEQ Eq4 \* ARABIC </w:instrText>
            </w:r>
            <w:r>
              <w:fldChar w:fldCharType="separate"/>
            </w:r>
            <w:r>
              <w:t>20</w:t>
            </w:r>
            <w:r>
              <w:fldChar w:fldCharType="end"/>
            </w:r>
            <w:r>
              <w:t>)</w:t>
            </w:r>
            <w:bookmarkEnd w:id="52"/>
          </w:p>
        </w:tc>
      </w:tr>
    </w:tbl>
    <w:p w14:paraId="2DE6B7B8">
      <w:pPr>
        <w:ind w:firstLine="420"/>
        <w:jc w:val="both"/>
      </w:pPr>
      <w:r>
        <w:t>除总成本外，本文同时报告教师处理 token 数、峰值显存、墙钟时间和推理吞吐。吞吐量按生成 token 数除以墙钟时间计算，从而避免只比较最终准确率而忽略不同监督方式实际消耗的计算资源。</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r>
                  <m:rPr>
                    <m:sty m:val="p"/>
                  </m:rPr>
                  <m:t>,</m:t>
                </m:r>
                <m:r>
                  <m:rPr/>
                  <m:t>  σ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0C8D8C8E">
            <w:pPr>
              <w:spacing w:before="0" w:after="0"/>
              <w:jc w:val="right"/>
            </w:pPr>
            <w:bookmarkStart w:id="53" w:name="_RefEq4_21"/>
            <w:r>
              <w:t>(4-</w:t>
            </w:r>
            <w:r>
              <w:fldChar w:fldCharType="begin"/>
            </w:r>
            <w:r>
              <w:instrText xml:space="preserve"> SEQ Eq4 \* ARABIC </w:instrText>
            </w:r>
            <w:r>
              <w:fldChar w:fldCharType="separate"/>
            </w:r>
            <w:r>
              <w:t>21</w:t>
            </w:r>
            <w:r>
              <w:fldChar w:fldCharType="end"/>
            </w:r>
            <w:r>
              <w:t>)</w:t>
            </w:r>
            <w:bookmarkEnd w:id="53"/>
          </w:p>
        </w:tc>
      </w:tr>
    </w:tbl>
    <w:p w14:paraId="6303CE0D">
      <w:pPr>
        <w:ind w:firstLine="420"/>
        <w:jc w:val="both"/>
      </w:pPr>
      <w:r>
        <w:t>结果讨论以完整训练曲线、测试集统计和资源消耗为依据，失败案例再按工具选择、结构解析、参数字段、参数值、上下文和执行环节分类。</w:t>
      </w:r>
    </w:p>
    <w:p w14:paraId="56ED6E07">
      <w:pPr>
        <w:pStyle w:val="3"/>
        <w:jc w:val="left"/>
      </w:pPr>
      <w:bookmarkStart w:id="54" w:name="_Toc204649360"/>
      <w:r>
        <w:rPr>
          <w:rFonts w:ascii="黑体" w:hAnsi="黑体" w:eastAsia="黑体" w:cs="黑体"/>
          <w:b/>
          <w:color w:val="000000"/>
          <w:sz w:val="24"/>
        </w:rPr>
        <w:t>4.6 可行性分析</w:t>
      </w:r>
      <w:bookmarkEnd w:id="54"/>
    </w:p>
    <w:p w14:paraId="40E26365">
      <w:pPr>
        <w:ind w:firstLine="420"/>
        <w:jc w:val="both"/>
      </w:pPr>
      <w:r>
        <w:t>上述方案建立在可获得的模型规模和开源工具链之上。Qwen3-4B 教师只参与前向评分，Qwen3-0.6B 学生通过 LoRA 更新，PyTorch、Transformers、PEFT 与 vLLM[20] 分别承担训练、参数高效适配和部署测量。本文先用小样本验证 tokenizer 对齐、掩码、散度数值和梯度传播，再在接口与评测规则固定后扩大实验规模。由公式定义、预算约束和分层指标共同限定实验边界，可以保证后续结果能够复现，也能够解释。</w:t>
      </w:r>
    </w:p>
    <w:p w14:paraId="6CC957E8">
      <w:pPr>
        <w:pStyle w:val="2"/>
      </w:pPr>
      <w:bookmarkStart w:id="55" w:name="_Toc1420474673"/>
      <w:r>
        <w:rPr>
          <w:rFonts w:ascii="黑体" w:hAnsi="黑体" w:eastAsia="黑体" w:cs="黑体"/>
          <w:b/>
          <w:color w:val="000000"/>
          <w:sz w:val="28"/>
        </w:rPr>
        <w:t>5．进度安排，预期达到的目标</w:t>
      </w:r>
      <w:bookmarkEnd w:id="55"/>
    </w:p>
    <w:p w14:paraId="4D67942D">
      <w:pPr>
        <w:pStyle w:val="3"/>
      </w:pPr>
      <w:bookmarkStart w:id="56" w:name="_Toc342125412"/>
      <w:r>
        <w:rPr>
          <w:rFonts w:ascii="黑体" w:hAnsi="黑体" w:eastAsia="黑体" w:cs="黑体"/>
          <w:b/>
          <w:color w:val="000000"/>
          <w:sz w:val="24"/>
        </w:rPr>
        <w:t>5.1 进度安排</w:t>
      </w:r>
      <w:bookmarkEnd w:id="56"/>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57"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57"/>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58"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58"/>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59" w:name="_Toc1288076465"/>
      <w:r>
        <w:rPr>
          <w:rFonts w:ascii="黑体" w:hAnsi="黑体" w:eastAsia="黑体" w:cs="黑体"/>
          <w:b/>
          <w:color w:val="000000"/>
          <w:sz w:val="24"/>
        </w:rPr>
        <w:t>5.2 预期达到的目标</w:t>
      </w:r>
      <w:bookmarkEnd w:id="59"/>
    </w:p>
    <w:p w14:paraId="5C45F9E1">
      <w:pPr>
        <w:pStyle w:val="17"/>
        <w:ind w:firstLine="420"/>
        <w:jc w:val="both"/>
      </w:pPr>
      <w:r>
        <w:t>1. 建立以 Qwen3-0.6B 为学生、冻结的 Qwen3-4B 为教师的 LoRA 在线策略蒸馏流程。</w:t>
      </w:r>
    </w:p>
    <w:p w14:paraId="661280AE">
      <w:pPr>
        <w:pStyle w:val="17"/>
        <w:ind w:firstLine="420"/>
        <w:jc w:val="both"/>
      </w:pPr>
      <w:r>
        <w:t>2. 在公开 Function Calling 数据上比较 Forward KL、Reverse KL、广义散度，以及全词表、Top-K 和 K1 sampled-token 三种监督方案。</w:t>
      </w:r>
    </w:p>
    <w:p w14:paraId="4D24F9B5">
      <w:pPr>
        <w:pStyle w:val="17"/>
        <w:ind w:firstLine="420"/>
        <w:jc w:val="both"/>
      </w:pPr>
      <w:r>
        <w:t>3. 建立分层评测方法，分别分析输出格式、函数选择、参数生成、调用执行和端到端任务完成情况。</w:t>
      </w:r>
    </w:p>
    <w:p w14:paraId="444409D5">
      <w:pPr>
        <w:pStyle w:val="17"/>
        <w:ind w:firstLine="420"/>
        <w:jc w:val="both"/>
      </w:pPr>
      <w:r>
        <w:t>4. 系统记录各方法的训练稳定性、教师反馈量、训练资源和部署表现。</w:t>
      </w:r>
    </w:p>
    <w:p w14:paraId="1F6068D2">
      <w:pPr>
        <w:pStyle w:val="17"/>
        <w:ind w:firstLine="420"/>
        <w:jc w:val="both"/>
      </w:pPr>
      <w:r>
        <w:t>5. 通过 vLLM 或自建测试程序验证最终模型，形成任务性能、训练成本和推理性能的对比结果。</w:t>
      </w:r>
    </w:p>
    <w:p w14:paraId="34BA0ABE">
      <w:pPr>
        <w:pStyle w:val="17"/>
        <w:ind w:firstLine="420"/>
        <w:jc w:val="both"/>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60" w:name="_Toc2065985495"/>
      <w:r>
        <w:rPr>
          <w:rFonts w:ascii="黑体" w:hAnsi="黑体" w:eastAsia="黑体" w:cs="黑体"/>
          <w:b/>
          <w:color w:val="000000"/>
          <w:sz w:val="28"/>
        </w:rPr>
        <w:t>6．课题已具备和所需的条件、经费</w:t>
      </w:r>
      <w:bookmarkEnd w:id="60"/>
    </w:p>
    <w:p w14:paraId="15508BCB">
      <w:pPr>
        <w:pStyle w:val="3"/>
      </w:pPr>
      <w:bookmarkStart w:id="61" w:name="_Toc355126122"/>
      <w:r>
        <w:rPr>
          <w:rFonts w:ascii="黑体" w:hAnsi="黑体" w:eastAsia="黑体" w:cs="黑体"/>
          <w:b/>
          <w:color w:val="000000"/>
          <w:sz w:val="24"/>
        </w:rPr>
        <w:t>6.1 已具备条件</w:t>
      </w:r>
      <w:bookmarkEnd w:id="61"/>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62" w:name="_Toc747677441"/>
      <w:r>
        <w:rPr>
          <w:rFonts w:ascii="黑体" w:hAnsi="黑体" w:eastAsia="黑体" w:cs="黑体"/>
          <w:b/>
          <w:color w:val="000000"/>
          <w:sz w:val="24"/>
        </w:rPr>
        <w:t>6.2 所需条件</w:t>
      </w:r>
      <w:bookmarkEnd w:id="62"/>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63" w:name="_Toc1287932290"/>
      <w:r>
        <w:rPr>
          <w:rFonts w:ascii="黑体" w:hAnsi="黑体" w:eastAsia="黑体" w:cs="黑体"/>
          <w:b/>
          <w:color w:val="000000"/>
          <w:sz w:val="24"/>
        </w:rPr>
        <w:t>6.3 经费</w:t>
      </w:r>
      <w:bookmarkEnd w:id="63"/>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64"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4"/>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65" w:name="_Toc1790319917"/>
      <w:r>
        <w:rPr>
          <w:rFonts w:ascii="黑体" w:hAnsi="黑体" w:eastAsia="黑体" w:cs="黑体"/>
          <w:b/>
          <w:color w:val="000000"/>
          <w:sz w:val="28"/>
        </w:rPr>
        <w:t>7．研究过程中可能遇到的困难和问题，解决的措施</w:t>
      </w:r>
      <w:bookmarkEnd w:id="65"/>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66"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6"/>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67" w:name="_Toc1513466902"/>
      <w:r>
        <w:rPr>
          <w:rFonts w:ascii="黑体" w:hAnsi="黑体" w:eastAsia="黑体" w:cs="黑体"/>
          <w:b/>
          <w:color w:val="000000"/>
          <w:sz w:val="28"/>
        </w:rPr>
        <w:t>8．主要参考文献</w:t>
      </w:r>
      <w:bookmarkEnd w:id="67"/>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D9A5F8"/>
    <w:rsid w:val="5B7F2A6F"/>
    <w:rsid w:val="5BBFD06E"/>
    <w:rsid w:val="5BEE7428"/>
    <w:rsid w:val="5DFFEF69"/>
    <w:rsid w:val="5F7FB192"/>
    <w:rsid w:val="5FFB665B"/>
    <w:rsid w:val="655A2287"/>
    <w:rsid w:val="65F78774"/>
    <w:rsid w:val="673FE172"/>
    <w:rsid w:val="676F45A0"/>
    <w:rsid w:val="6AE7AADF"/>
    <w:rsid w:val="6BFF7062"/>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FFCF3E"/>
    <w:rsid w:val="94EE1148"/>
    <w:rsid w:val="9AE84B35"/>
    <w:rsid w:val="9FB74D0D"/>
    <w:rsid w:val="B2BB4892"/>
    <w:rsid w:val="B5CF164B"/>
    <w:rsid w:val="B77E3856"/>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F3E35A1F"/>
    <w:rsid w:val="F67432E3"/>
    <w:rsid w:val="F6FAC322"/>
    <w:rsid w:val="F76F48F5"/>
    <w:rsid w:val="F77BC61A"/>
    <w:rsid w:val="F7977A33"/>
    <w:rsid w:val="F7E1E449"/>
    <w:rsid w:val="F9EF1204"/>
    <w:rsid w:val="F9FB7683"/>
    <w:rsid w:val="FBEF9E1A"/>
    <w:rsid w:val="FCB7DDE0"/>
    <w:rsid w:val="FDCE3F8B"/>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735</Words>
  <Characters>4192</Characters>
  <Lines>34</Lines>
  <Paragraphs>9</Paragraphs>
  <TotalTime>0</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2022-10-16T02:38:00Z</dcterms:created>
  <dc:creator>董 睿璞</dc:creator>
  <cp:lastModifiedBy>Dr.Oppenheimer</cp:lastModifiedBy>
  <dcterms:modified xsi:type="dcterms:W3CDTF">2026-09-26T21:05:34Z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