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ACA72">
      <w:pPr>
        <w:spacing w:before="78" w:after="78"/>
        <w:jc w:val="both"/>
        <w:rPr>
          <w:rFonts w:eastAsia="楷体_GB2312"/>
          <w:b/>
          <w:spacing w:val="40"/>
          <w:sz w:val="36"/>
        </w:rPr>
      </w:pPr>
    </w:p>
    <w:p w14:paraId="0EE9D77E">
      <w:pPr>
        <w:spacing w:before="78" w:after="78"/>
        <w:ind w:firstLine="883"/>
        <w:jc w:val="center"/>
        <w:rPr>
          <w:rFonts w:eastAsia="楷体_GB2312"/>
          <w:b/>
          <w:spacing w:val="40"/>
          <w:sz w:val="36"/>
        </w:rPr>
      </w:pPr>
    </w:p>
    <w:p w14:paraId="3BFCB7BE">
      <w:pPr>
        <w:spacing w:before="78" w:after="78"/>
        <w:jc w:val="center"/>
        <w:rPr>
          <w:rFonts w:eastAsia="楷体_GB2312"/>
          <w:b/>
          <w:spacing w:val="40"/>
          <w:sz w:val="36"/>
        </w:rPr>
      </w:pPr>
      <w:r>
        <w:rPr>
          <w:rFonts w:eastAsia="楷体_GB2312"/>
          <w:b/>
          <w:spacing w:val="40"/>
          <w:sz w:val="36"/>
        </w:rPr>
        <w:drawing>
          <wp:inline distT="0" distB="0" distL="0" distR="0">
            <wp:extent cx="2137410" cy="40386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137410" cy="403860"/>
                    </a:xfrm>
                    <a:prstGeom prst="rect">
                      <a:avLst/>
                    </a:prstGeom>
                    <a:noFill/>
                    <a:ln>
                      <a:noFill/>
                    </a:ln>
                  </pic:spPr>
                </pic:pic>
              </a:graphicData>
            </a:graphic>
          </wp:inline>
        </w:drawing>
      </w:r>
    </w:p>
    <w:p w14:paraId="6921CBFD">
      <w:pPr>
        <w:spacing w:before="78" w:after="78"/>
        <w:ind w:firstLine="883"/>
        <w:jc w:val="center"/>
        <w:rPr>
          <w:rFonts w:eastAsia="楷体_GB2312"/>
          <w:b/>
          <w:spacing w:val="40"/>
          <w:sz w:val="36"/>
        </w:rPr>
      </w:pPr>
    </w:p>
    <w:p w14:paraId="509B8C31">
      <w:pPr>
        <w:spacing w:before="78" w:after="78"/>
        <w:jc w:val="center"/>
        <w:rPr>
          <w:b/>
          <w:spacing w:val="40"/>
          <w:sz w:val="48"/>
        </w:rPr>
      </w:pPr>
      <w:r>
        <w:rPr>
          <w:rFonts w:hint="eastAsia" w:ascii="黑体" w:hAnsi="黑体" w:eastAsia="黑体" w:cs="黑体"/>
          <w:b/>
          <w:color w:val="000000"/>
          <w:spacing w:val="40"/>
          <w:sz w:val="48"/>
        </w:rPr>
        <w:t>毕业设计（论文</w:t>
      </w:r>
      <w:bookmarkStart w:id="46" w:name="_GoBack"/>
      <w:bookmarkEnd w:id="46"/>
      <w:r>
        <w:rPr>
          <w:rFonts w:hint="eastAsia" w:ascii="黑体" w:hAnsi="黑体" w:eastAsia="黑体" w:cs="黑体"/>
          <w:b/>
          <w:color w:val="000000"/>
          <w:spacing w:val="40"/>
          <w:sz w:val="48"/>
        </w:rPr>
        <w:t>）开题报告</w:t>
      </w:r>
    </w:p>
    <w:p w14:paraId="7A5E0120">
      <w:pPr>
        <w:spacing w:before="78" w:after="78"/>
        <w:ind w:firstLine="643"/>
        <w:rPr>
          <w:b/>
          <w:sz w:val="32"/>
        </w:rPr>
      </w:pPr>
    </w:p>
    <w:p w14:paraId="035E13DA">
      <w:pPr>
        <w:spacing w:before="78" w:after="78"/>
        <w:rPr>
          <w:b/>
          <w:sz w:val="32"/>
        </w:rPr>
      </w:pPr>
    </w:p>
    <w:p w14:paraId="4B2C42F9">
      <w:pPr>
        <w:spacing w:before="78" w:after="78"/>
        <w:ind w:firstLine="701" w:firstLineChars="250"/>
        <w:rPr>
          <w:b/>
          <w:sz w:val="28"/>
          <w:szCs w:val="21"/>
        </w:rPr>
      </w:pPr>
      <w:r>
        <w:rPr>
          <w:rFonts w:hint="eastAsia" w:ascii="黑体" w:hAnsi="黑体" w:eastAsia="黑体" w:cs="黑体"/>
          <w:b/>
          <w:color w:val="000000"/>
          <w:sz w:val="28"/>
          <w:szCs w:val="21"/>
        </w:rPr>
        <w:t>题</w:t>
      </w:r>
      <w:r>
        <w:rPr>
          <w:rFonts w:ascii="黑体" w:hAnsi="黑体" w:eastAsia="黑体" w:cs="黑体"/>
          <w:b/>
          <w:color w:val="000000"/>
          <w:sz w:val="28"/>
          <w:szCs w:val="21"/>
        </w:rPr>
        <w:t xml:space="preserve"> </w:t>
      </w:r>
      <w:r>
        <w:rPr>
          <w:rFonts w:hint="eastAsia" w:ascii="黑体" w:hAnsi="黑体" w:eastAsia="黑体" w:cs="黑体"/>
          <w:b/>
          <w:color w:val="000000"/>
          <w:sz w:val="28"/>
          <w:szCs w:val="21"/>
        </w:rPr>
        <w:t>目：基于在线策略蒸馏的大语言模型后训练方法研究</w:t>
      </w:r>
    </w:p>
    <w:p w14:paraId="7C122DCF">
      <w:pPr>
        <w:spacing w:before="78" w:after="78"/>
        <w:ind w:firstLine="643"/>
        <w:rPr>
          <w:b/>
          <w:sz w:val="32"/>
        </w:rPr>
      </w:pPr>
    </w:p>
    <w:p w14:paraId="607458DB">
      <w:pPr>
        <w:spacing w:before="78" w:after="78"/>
        <w:ind w:firstLine="643"/>
        <w:rPr>
          <w:b/>
          <w:sz w:val="32"/>
          <w:u w:val="single"/>
        </w:rPr>
      </w:pPr>
    </w:p>
    <w:p w14:paraId="6A81B0BC">
      <w:pPr>
        <w:spacing w:before="78" w:after="78"/>
        <w:ind w:firstLine="643"/>
        <w:rPr>
          <w:b/>
          <w:sz w:val="32"/>
          <w:u w:val="single"/>
        </w:rPr>
      </w:pPr>
    </w:p>
    <w:p w14:paraId="0C65FAB6">
      <w:pPr>
        <w:spacing w:before="78" w:after="78"/>
        <w:ind w:firstLine="643"/>
        <w:rPr>
          <w:b/>
          <w:sz w:val="32"/>
          <w:u w:val="single"/>
        </w:rPr>
      </w:pPr>
    </w:p>
    <w:p w14:paraId="3F4FC680">
      <w:pPr>
        <w:spacing w:before="249" w:beforeLines="80" w:after="60"/>
        <w:ind w:firstLine="2197" w:firstLineChars="686"/>
        <w:rPr>
          <w:b/>
          <w:sz w:val="32"/>
          <w:u w:val="single"/>
        </w:rPr>
      </w:pPr>
      <w:r>
        <w:rPr>
          <w:rFonts w:hint="eastAsia"/>
          <w:b/>
          <w:sz w:val="32"/>
        </w:rPr>
        <w:t>专</w:t>
      </w:r>
      <w:r>
        <w:rPr>
          <w:b/>
          <w:sz w:val="32"/>
        </w:rPr>
        <w:t xml:space="preserve">    </w:t>
      </w:r>
      <w:r>
        <w:rPr>
          <w:rFonts w:hint="eastAsia"/>
          <w:b/>
          <w:sz w:val="32"/>
        </w:rPr>
        <w:t>业</w:t>
      </w:r>
      <w:r>
        <w:rPr>
          <w:b/>
          <w:sz w:val="32"/>
        </w:rPr>
        <w:t xml:space="preserve"> </w:t>
      </w:r>
      <w:r>
        <w:rPr>
          <w:b/>
          <w:sz w:val="32"/>
          <w:u w:val="single"/>
        </w:rPr>
        <w:t xml:space="preserve">  </w:t>
      </w:r>
      <w:r>
        <w:rPr>
          <w:rFonts w:hint="eastAsia"/>
          <w:b/>
          <w:sz w:val="32"/>
          <w:u w:val="single"/>
          <w:lang w:val="en-US" w:eastAsia="zh-CN"/>
        </w:rPr>
        <w:t>计算机科学与技术</w:t>
      </w:r>
      <w:r>
        <w:rPr>
          <w:b/>
          <w:sz w:val="32"/>
          <w:u w:val="single"/>
        </w:rPr>
        <w:t xml:space="preserve">   </w:t>
      </w:r>
    </w:p>
    <w:p w14:paraId="727EE0AF">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生</w:t>
      </w:r>
      <w:r>
        <w:rPr>
          <w:b/>
          <w:sz w:val="32"/>
        </w:rPr>
        <w:t xml:space="preserve"> </w:t>
      </w:r>
      <w:r>
        <w:rPr>
          <w:b/>
          <w:sz w:val="32"/>
          <w:u w:val="single"/>
        </w:rPr>
        <w:t xml:space="preserve">       </w:t>
      </w:r>
      <w:r>
        <w:rPr>
          <w:rFonts w:hint="eastAsia"/>
          <w:b/>
          <w:sz w:val="32"/>
          <w:u w:val="single"/>
          <w:lang w:val="en-US" w:eastAsia="zh-CN"/>
        </w:rPr>
        <w:t>张子琦</w:t>
      </w:r>
      <w:r>
        <w:rPr>
          <w:b/>
          <w:sz w:val="32"/>
          <w:u w:val="single"/>
        </w:rPr>
        <w:t xml:space="preserve">        </w:t>
      </w:r>
    </w:p>
    <w:p w14:paraId="087E7EA8">
      <w:pPr>
        <w:spacing w:before="249" w:beforeLines="80" w:after="60"/>
        <w:ind w:firstLine="2197" w:firstLineChars="686"/>
        <w:rPr>
          <w:b/>
          <w:sz w:val="32"/>
          <w:u w:val="single"/>
        </w:rPr>
      </w:pPr>
      <w:r>
        <w:rPr>
          <w:rFonts w:hint="eastAsia"/>
          <w:b/>
          <w:sz w:val="32"/>
        </w:rPr>
        <w:t>学</w:t>
      </w:r>
      <w:r>
        <w:rPr>
          <w:b/>
          <w:sz w:val="32"/>
        </w:rPr>
        <w:t xml:space="preserve">    </w:t>
      </w:r>
      <w:r>
        <w:rPr>
          <w:rFonts w:hint="eastAsia"/>
          <w:b/>
          <w:sz w:val="32"/>
        </w:rPr>
        <w:t>号</w:t>
      </w:r>
      <w:r>
        <w:rPr>
          <w:b/>
          <w:sz w:val="32"/>
        </w:rPr>
        <w:t xml:space="preserve"> </w:t>
      </w:r>
      <w:r>
        <w:rPr>
          <w:b/>
          <w:sz w:val="32"/>
          <w:u w:val="single"/>
        </w:rPr>
        <w:t xml:space="preserve">  </w:t>
      </w:r>
      <w:r>
        <w:rPr>
          <w:rFonts w:hint="eastAsia"/>
          <w:b/>
          <w:sz w:val="32"/>
          <w:u w:val="single"/>
          <w:lang w:val="en-US" w:eastAsia="zh-CN"/>
        </w:rPr>
        <w:t xml:space="preserve">   2023110966 </w:t>
      </w:r>
      <w:r>
        <w:rPr>
          <w:b/>
          <w:sz w:val="32"/>
          <w:u w:val="single"/>
        </w:rPr>
        <w:t xml:space="preserve"> </w:t>
      </w:r>
      <w:r>
        <w:rPr>
          <w:rFonts w:hint="eastAsia"/>
          <w:b/>
          <w:sz w:val="32"/>
          <w:u w:val="single"/>
          <w:lang w:val="en-US" w:eastAsia="zh-CN"/>
        </w:rPr>
        <w:t xml:space="preserve"> </w:t>
      </w:r>
      <w:r>
        <w:rPr>
          <w:b/>
          <w:sz w:val="32"/>
          <w:u w:val="single"/>
        </w:rPr>
        <w:t xml:space="preserve">   </w:t>
      </w:r>
    </w:p>
    <w:p w14:paraId="77CDA7DA">
      <w:pPr>
        <w:spacing w:before="249" w:beforeLines="80" w:after="60"/>
        <w:ind w:firstLine="2197" w:firstLineChars="686"/>
        <w:rPr>
          <w:b/>
          <w:sz w:val="32"/>
          <w:u w:val="single"/>
        </w:rPr>
      </w:pPr>
      <w:r>
        <w:rPr>
          <w:rFonts w:hint="eastAsia"/>
          <w:b/>
          <w:sz w:val="32"/>
        </w:rPr>
        <w:t>指导教师</w:t>
      </w:r>
      <w:r>
        <w:rPr>
          <w:b/>
          <w:sz w:val="32"/>
        </w:rPr>
        <w:t xml:space="preserve"> </w:t>
      </w:r>
      <w:r>
        <w:rPr>
          <w:b/>
          <w:sz w:val="32"/>
          <w:u w:val="single"/>
        </w:rPr>
        <w:t xml:space="preserve">     </w:t>
      </w:r>
      <w:r>
        <w:rPr>
          <w:rFonts w:hint="eastAsia"/>
          <w:b/>
          <w:sz w:val="32"/>
          <w:u w:val="single"/>
          <w:lang w:val="en-US" w:eastAsia="zh-CN"/>
        </w:rPr>
        <w:t xml:space="preserve"> </w:t>
      </w:r>
      <w:r>
        <w:rPr>
          <w:b/>
          <w:sz w:val="32"/>
          <w:u w:val="single"/>
        </w:rPr>
        <w:t xml:space="preserve">  </w:t>
      </w:r>
      <w:r>
        <w:rPr>
          <w:rFonts w:hint="eastAsia"/>
          <w:b/>
          <w:sz w:val="32"/>
          <w:u w:val="single"/>
          <w:lang w:val="en-US" w:eastAsia="zh-CN"/>
        </w:rPr>
        <w:t>徐冰</w:t>
      </w:r>
      <w:r>
        <w:rPr>
          <w:b/>
          <w:sz w:val="32"/>
          <w:u w:val="single"/>
        </w:rPr>
        <w:t xml:space="preserve">         </w:t>
      </w:r>
    </w:p>
    <w:p w14:paraId="27AD5893">
      <w:pPr>
        <w:spacing w:before="249" w:beforeLines="80" w:after="60"/>
        <w:ind w:firstLine="2197" w:firstLineChars="686"/>
        <w:rPr>
          <w:b/>
          <w:sz w:val="32"/>
          <w:u w:val="single"/>
        </w:rPr>
      </w:pPr>
      <w:r>
        <w:rPr>
          <w:rFonts w:hint="eastAsia"/>
          <w:b/>
          <w:sz w:val="32"/>
        </w:rPr>
        <w:t>日</w:t>
      </w:r>
      <w:r>
        <w:rPr>
          <w:b/>
          <w:sz w:val="32"/>
        </w:rPr>
        <w:t xml:space="preserve">    </w:t>
      </w:r>
      <w:r>
        <w:rPr>
          <w:rFonts w:hint="eastAsia"/>
          <w:b/>
          <w:sz w:val="32"/>
        </w:rPr>
        <w:t>期</w:t>
      </w:r>
      <w:r>
        <w:rPr>
          <w:b/>
          <w:sz w:val="32"/>
        </w:rPr>
        <w:t xml:space="preserve"> </w:t>
      </w:r>
      <w:r>
        <w:rPr>
          <w:b/>
          <w:sz w:val="32"/>
          <w:u w:val="single"/>
        </w:rPr>
        <w:t xml:space="preserve">        </w:t>
      </w:r>
      <w:r>
        <w:rPr>
          <w:rFonts w:hint="eastAsia"/>
          <w:b/>
          <w:sz w:val="32"/>
          <w:u w:val="single"/>
          <w:lang w:val="en-US" w:eastAsia="zh-CN"/>
        </w:rPr>
        <w:t>2026/9/25</w:t>
      </w:r>
      <w:r>
        <w:rPr>
          <w:b/>
          <w:sz w:val="32"/>
          <w:u w:val="single"/>
        </w:rPr>
        <w:t xml:space="preserve">     </w:t>
      </w:r>
    </w:p>
    <w:p w14:paraId="72043E55">
      <w:pPr>
        <w:sectPr>
          <w:pgSz w:w="11906" w:h="16838"/>
          <w:pgMar w:top="1440" w:right="1800" w:bottom="1440" w:left="1800" w:header="851" w:footer="992" w:gutter="0"/>
          <w:cols w:space="425" w:num="1"/>
          <w:docGrid w:type="lines" w:linePitch="312" w:charSpace="0"/>
        </w:sectPr>
      </w:pPr>
    </w:p>
    <w:p w14:paraId="68E0725A">
      <w:pPr>
        <w:spacing w:after="160" w:line="240" w:lineRule="auto"/>
        <w:jc w:val="center"/>
      </w:pPr>
      <w:r>
        <w:rPr>
          <w:rFonts w:ascii="Times New Roman" w:hAnsi="Times New Roman" w:eastAsia="Heiti SC"/>
          <w:b/>
          <w:sz w:val="32"/>
        </w:rPr>
        <w:t>目  录</w:t>
      </w:r>
    </w:p>
    <w:p w14:paraId="71A58FCD">
      <w:pPr>
        <w:pStyle w:val="7"/>
        <w:tabs>
          <w:tab w:val="right" w:leader="dot" w:pos="8306"/>
        </w:tabs>
      </w:pPr>
      <w:r>
        <w:fldChar w:fldCharType="begin"/>
      </w:r>
      <w:r>
        <w:instrText xml:space="preserve"> TOC \o "1-2" \h \z \u </w:instrText>
      </w:r>
      <w:r>
        <w:fldChar w:fldCharType="separate"/>
      </w:r>
      <w:r>
        <w:fldChar w:fldCharType="begin"/>
      </w:r>
      <w:r>
        <w:instrText xml:space="preserve"> HYPERLINK \l _Toc88311075 </w:instrText>
      </w:r>
      <w:r>
        <w:fldChar w:fldCharType="separate"/>
      </w:r>
      <w:r>
        <w:rPr>
          <w:rFonts w:ascii="黑体" w:hAnsi="黑体" w:eastAsia="黑体" w:cs="黑体"/>
        </w:rPr>
        <w:t>1．课题来源及研究的目的和意义</w:t>
      </w:r>
      <w:r>
        <w:tab/>
      </w:r>
      <w:r>
        <w:fldChar w:fldCharType="begin"/>
      </w:r>
      <w:r>
        <w:instrText xml:space="preserve"> PAGEREF _Toc88311075 \h </w:instrText>
      </w:r>
      <w:r>
        <w:fldChar w:fldCharType="separate"/>
      </w:r>
      <w:r>
        <w:t>3</w:t>
      </w:r>
      <w:r>
        <w:fldChar w:fldCharType="end"/>
      </w:r>
      <w:r>
        <w:fldChar w:fldCharType="end"/>
      </w:r>
    </w:p>
    <w:p w14:paraId="0BAB3431">
      <w:pPr>
        <w:pStyle w:val="8"/>
        <w:tabs>
          <w:tab w:val="right" w:leader="dot" w:pos="8306"/>
        </w:tabs>
      </w:pPr>
      <w:r>
        <w:fldChar w:fldCharType="begin"/>
      </w:r>
      <w:r>
        <w:instrText xml:space="preserve"> HYPERLINK \l _Toc333037448 </w:instrText>
      </w:r>
      <w:r>
        <w:fldChar w:fldCharType="separate"/>
      </w:r>
      <w:r>
        <w:rPr>
          <w:rFonts w:ascii="黑体" w:hAnsi="黑体" w:eastAsia="黑体" w:cs="黑体"/>
        </w:rPr>
        <w:t>1.1 课题来源</w:t>
      </w:r>
      <w:r>
        <w:tab/>
      </w:r>
      <w:r>
        <w:fldChar w:fldCharType="begin"/>
      </w:r>
      <w:r>
        <w:instrText xml:space="preserve"> PAGEREF _Toc333037448 \h </w:instrText>
      </w:r>
      <w:r>
        <w:fldChar w:fldCharType="separate"/>
      </w:r>
      <w:r>
        <w:t>3</w:t>
      </w:r>
      <w:r>
        <w:fldChar w:fldCharType="end"/>
      </w:r>
      <w:r>
        <w:fldChar w:fldCharType="end"/>
      </w:r>
    </w:p>
    <w:p w14:paraId="432DCDE5">
      <w:pPr>
        <w:pStyle w:val="8"/>
        <w:tabs>
          <w:tab w:val="right" w:leader="dot" w:pos="8306"/>
        </w:tabs>
      </w:pPr>
      <w:r>
        <w:fldChar w:fldCharType="begin"/>
      </w:r>
      <w:r>
        <w:instrText xml:space="preserve"> HYPERLINK \l _Toc1018004454 </w:instrText>
      </w:r>
      <w:r>
        <w:fldChar w:fldCharType="separate"/>
      </w:r>
      <w:r>
        <w:rPr>
          <w:rFonts w:ascii="黑体" w:hAnsi="黑体" w:eastAsia="黑体" w:cs="黑体"/>
        </w:rPr>
        <w:t>1.2 研究背景</w:t>
      </w:r>
      <w:r>
        <w:tab/>
      </w:r>
      <w:r>
        <w:fldChar w:fldCharType="begin"/>
      </w:r>
      <w:r>
        <w:instrText xml:space="preserve"> PAGEREF _Toc1018004454 \h </w:instrText>
      </w:r>
      <w:r>
        <w:fldChar w:fldCharType="separate"/>
      </w:r>
      <w:r>
        <w:t>3</w:t>
      </w:r>
      <w:r>
        <w:fldChar w:fldCharType="end"/>
      </w:r>
      <w:r>
        <w:fldChar w:fldCharType="end"/>
      </w:r>
    </w:p>
    <w:p w14:paraId="1ABEFF35">
      <w:pPr>
        <w:pStyle w:val="8"/>
        <w:tabs>
          <w:tab w:val="right" w:leader="dot" w:pos="8306"/>
        </w:tabs>
      </w:pPr>
      <w:r>
        <w:fldChar w:fldCharType="begin"/>
      </w:r>
      <w:r>
        <w:instrText xml:space="preserve"> HYPERLINK \l _Toc598642729 </w:instrText>
      </w:r>
      <w:r>
        <w:fldChar w:fldCharType="separate"/>
      </w:r>
      <w:r>
        <w:rPr>
          <w:rFonts w:ascii="黑体" w:hAnsi="黑体" w:eastAsia="黑体" w:cs="黑体"/>
        </w:rPr>
        <w:t>1.3 传统后训练方法的局限</w:t>
      </w:r>
      <w:r>
        <w:tab/>
      </w:r>
      <w:r>
        <w:fldChar w:fldCharType="begin"/>
      </w:r>
      <w:r>
        <w:instrText xml:space="preserve"> PAGEREF _Toc598642729 \h </w:instrText>
      </w:r>
      <w:r>
        <w:fldChar w:fldCharType="separate"/>
      </w:r>
      <w:r>
        <w:t>4</w:t>
      </w:r>
      <w:r>
        <w:fldChar w:fldCharType="end"/>
      </w:r>
      <w:r>
        <w:fldChar w:fldCharType="end"/>
      </w:r>
    </w:p>
    <w:p w14:paraId="2894B87E">
      <w:pPr>
        <w:pStyle w:val="8"/>
        <w:tabs>
          <w:tab w:val="right" w:leader="dot" w:pos="8306"/>
        </w:tabs>
      </w:pPr>
      <w:r>
        <w:fldChar w:fldCharType="begin"/>
      </w:r>
      <w:r>
        <w:instrText xml:space="preserve"> HYPERLINK \l _Toc427460108 </w:instrText>
      </w:r>
      <w:r>
        <w:fldChar w:fldCharType="separate"/>
      </w:r>
      <w:r>
        <w:rPr>
          <w:rFonts w:ascii="黑体" w:hAnsi="黑体" w:eastAsia="黑体" w:cs="黑体"/>
        </w:rPr>
        <w:t>1.4 在线策略蒸馏的研究价值</w:t>
      </w:r>
      <w:r>
        <w:tab/>
      </w:r>
      <w:r>
        <w:fldChar w:fldCharType="begin"/>
      </w:r>
      <w:r>
        <w:instrText xml:space="preserve"> PAGEREF _Toc427460108 \h </w:instrText>
      </w:r>
      <w:r>
        <w:fldChar w:fldCharType="separate"/>
      </w:r>
      <w:r>
        <w:t>5</w:t>
      </w:r>
      <w:r>
        <w:fldChar w:fldCharType="end"/>
      </w:r>
      <w:r>
        <w:fldChar w:fldCharType="end"/>
      </w:r>
    </w:p>
    <w:p w14:paraId="01AF5A8A">
      <w:pPr>
        <w:pStyle w:val="8"/>
        <w:tabs>
          <w:tab w:val="right" w:leader="dot" w:pos="8306"/>
        </w:tabs>
      </w:pPr>
      <w:r>
        <w:fldChar w:fldCharType="begin"/>
      </w:r>
      <w:r>
        <w:instrText xml:space="preserve"> HYPERLINK \l _Toc989235941 </w:instrText>
      </w:r>
      <w:r>
        <w:fldChar w:fldCharType="separate"/>
      </w:r>
      <w:r>
        <w:rPr>
          <w:rFonts w:ascii="黑体" w:hAnsi="黑体" w:eastAsia="黑体" w:cs="黑体"/>
        </w:rPr>
        <w:t>1.5 研究目的和意义</w:t>
      </w:r>
      <w:r>
        <w:tab/>
      </w:r>
      <w:r>
        <w:fldChar w:fldCharType="begin"/>
      </w:r>
      <w:r>
        <w:instrText xml:space="preserve"> PAGEREF _Toc989235941 \h </w:instrText>
      </w:r>
      <w:r>
        <w:fldChar w:fldCharType="separate"/>
      </w:r>
      <w:r>
        <w:t>5</w:t>
      </w:r>
      <w:r>
        <w:fldChar w:fldCharType="end"/>
      </w:r>
      <w:r>
        <w:fldChar w:fldCharType="end"/>
      </w:r>
    </w:p>
    <w:p w14:paraId="0F6F7824">
      <w:pPr>
        <w:pStyle w:val="7"/>
        <w:tabs>
          <w:tab w:val="right" w:leader="dot" w:pos="8306"/>
        </w:tabs>
      </w:pPr>
      <w:r>
        <w:fldChar w:fldCharType="begin"/>
      </w:r>
      <w:r>
        <w:instrText xml:space="preserve"> HYPERLINK \l _Toc270065313 </w:instrText>
      </w:r>
      <w:r>
        <w:fldChar w:fldCharType="separate"/>
      </w:r>
      <w:r>
        <w:rPr>
          <w:rFonts w:ascii="黑体" w:hAnsi="黑体" w:eastAsia="黑体" w:cs="黑体"/>
        </w:rPr>
        <w:t>2．国内外在该方向的研究现状及分析</w:t>
      </w:r>
      <w:r>
        <w:tab/>
      </w:r>
      <w:r>
        <w:fldChar w:fldCharType="begin"/>
      </w:r>
      <w:r>
        <w:instrText xml:space="preserve"> PAGEREF _Toc270065313 \h </w:instrText>
      </w:r>
      <w:r>
        <w:fldChar w:fldCharType="separate"/>
      </w:r>
      <w:r>
        <w:t>6</w:t>
      </w:r>
      <w:r>
        <w:fldChar w:fldCharType="end"/>
      </w:r>
      <w:r>
        <w:fldChar w:fldCharType="end"/>
      </w:r>
    </w:p>
    <w:p w14:paraId="69817F63">
      <w:pPr>
        <w:pStyle w:val="8"/>
        <w:tabs>
          <w:tab w:val="right" w:leader="dot" w:pos="8306"/>
        </w:tabs>
      </w:pPr>
      <w:r>
        <w:fldChar w:fldCharType="begin"/>
      </w:r>
      <w:r>
        <w:instrText xml:space="preserve"> HYPERLINK \l _Toc1354769480 </w:instrText>
      </w:r>
      <w:r>
        <w:fldChar w:fldCharType="separate"/>
      </w:r>
      <w:r>
        <w:rPr>
          <w:rFonts w:ascii="黑体" w:hAnsi="黑体" w:eastAsia="黑体" w:cs="黑体"/>
        </w:rPr>
        <w:t>2.1 大语言模型后训练和知识蒸馏</w:t>
      </w:r>
      <w:r>
        <w:tab/>
      </w:r>
      <w:r>
        <w:fldChar w:fldCharType="begin"/>
      </w:r>
      <w:r>
        <w:instrText xml:space="preserve"> PAGEREF _Toc1354769480 \h </w:instrText>
      </w:r>
      <w:r>
        <w:fldChar w:fldCharType="separate"/>
      </w:r>
      <w:r>
        <w:t>6</w:t>
      </w:r>
      <w:r>
        <w:fldChar w:fldCharType="end"/>
      </w:r>
      <w:r>
        <w:fldChar w:fldCharType="end"/>
      </w:r>
    </w:p>
    <w:p w14:paraId="0BF236CF">
      <w:pPr>
        <w:pStyle w:val="8"/>
        <w:tabs>
          <w:tab w:val="right" w:leader="dot" w:pos="8306"/>
        </w:tabs>
      </w:pPr>
      <w:r>
        <w:fldChar w:fldCharType="begin"/>
      </w:r>
      <w:r>
        <w:instrText xml:space="preserve"> HYPERLINK \l _Toc1989024866 </w:instrText>
      </w:r>
      <w:r>
        <w:fldChar w:fldCharType="separate"/>
      </w:r>
      <w:r>
        <w:rPr>
          <w:rFonts w:ascii="黑体" w:hAnsi="黑体" w:eastAsia="黑体" w:cs="黑体"/>
        </w:rPr>
        <w:t>2.2 分布偏移与在线策略蒸馏</w:t>
      </w:r>
      <w:r>
        <w:tab/>
      </w:r>
      <w:r>
        <w:fldChar w:fldCharType="begin"/>
      </w:r>
      <w:r>
        <w:instrText xml:space="preserve"> PAGEREF _Toc1989024866 \h </w:instrText>
      </w:r>
      <w:r>
        <w:fldChar w:fldCharType="separate"/>
      </w:r>
      <w:r>
        <w:t>7</w:t>
      </w:r>
      <w:r>
        <w:fldChar w:fldCharType="end"/>
      </w:r>
      <w:r>
        <w:fldChar w:fldCharType="end"/>
      </w:r>
    </w:p>
    <w:p w14:paraId="51C28282">
      <w:pPr>
        <w:pStyle w:val="8"/>
        <w:tabs>
          <w:tab w:val="right" w:leader="dot" w:pos="8306"/>
        </w:tabs>
      </w:pPr>
      <w:r>
        <w:fldChar w:fldCharType="begin"/>
      </w:r>
      <w:r>
        <w:instrText xml:space="preserve"> HYPERLINK \l _Toc1810473660 </w:instrText>
      </w:r>
      <w:r>
        <w:fldChar w:fldCharType="separate"/>
      </w:r>
      <w:r>
        <w:rPr>
          <w:rFonts w:ascii="黑体" w:hAnsi="黑体" w:eastAsia="黑体" w:cs="黑体"/>
        </w:rPr>
        <w:t>2.3 KL 散度方向与广义散度</w:t>
      </w:r>
      <w:r>
        <w:tab/>
      </w:r>
      <w:r>
        <w:fldChar w:fldCharType="begin"/>
      </w:r>
      <w:r>
        <w:instrText xml:space="preserve"> PAGEREF _Toc1810473660 \h </w:instrText>
      </w:r>
      <w:r>
        <w:fldChar w:fldCharType="separate"/>
      </w:r>
      <w:r>
        <w:t>9</w:t>
      </w:r>
      <w:r>
        <w:fldChar w:fldCharType="end"/>
      </w:r>
      <w:r>
        <w:fldChar w:fldCharType="end"/>
      </w:r>
    </w:p>
    <w:p w14:paraId="7BD7C750">
      <w:pPr>
        <w:pStyle w:val="8"/>
        <w:tabs>
          <w:tab w:val="right" w:leader="dot" w:pos="8306"/>
        </w:tabs>
      </w:pPr>
      <w:r>
        <w:fldChar w:fldCharType="begin"/>
      </w:r>
      <w:r>
        <w:instrText xml:space="preserve"> HYPERLINK \l _Toc935009277 </w:instrText>
      </w:r>
      <w:r>
        <w:fldChar w:fldCharType="separate"/>
      </w:r>
      <w:r>
        <w:rPr>
          <w:rFonts w:ascii="黑体" w:hAnsi="黑体" w:eastAsia="黑体" w:cs="黑体"/>
        </w:rPr>
        <w:t>2.4 监督信息粒度与资源效率</w:t>
      </w:r>
      <w:r>
        <w:tab/>
      </w:r>
      <w:r>
        <w:fldChar w:fldCharType="begin"/>
      </w:r>
      <w:r>
        <w:instrText xml:space="preserve"> PAGEREF _Toc935009277 \h </w:instrText>
      </w:r>
      <w:r>
        <w:fldChar w:fldCharType="separate"/>
      </w:r>
      <w:r>
        <w:t>10</w:t>
      </w:r>
      <w:r>
        <w:fldChar w:fldCharType="end"/>
      </w:r>
      <w:r>
        <w:fldChar w:fldCharType="end"/>
      </w:r>
    </w:p>
    <w:p w14:paraId="7DE0CE8A">
      <w:pPr>
        <w:pStyle w:val="8"/>
        <w:tabs>
          <w:tab w:val="right" w:leader="dot" w:pos="8306"/>
        </w:tabs>
      </w:pPr>
      <w:r>
        <w:fldChar w:fldCharType="begin"/>
      </w:r>
      <w:r>
        <w:instrText xml:space="preserve"> HYPERLINK \l _Toc1563073440 </w:instrText>
      </w:r>
      <w:r>
        <w:fldChar w:fldCharType="separate"/>
      </w:r>
      <w:r>
        <w:rPr>
          <w:rFonts w:ascii="黑体" w:hAnsi="黑体" w:eastAsia="黑体" w:cs="黑体"/>
        </w:rPr>
        <w:t>2.5 Function Calling 数据与评测研究</w:t>
      </w:r>
      <w:r>
        <w:tab/>
      </w:r>
      <w:r>
        <w:fldChar w:fldCharType="begin"/>
      </w:r>
      <w:r>
        <w:instrText xml:space="preserve"> PAGEREF _Toc1563073440 \h </w:instrText>
      </w:r>
      <w:r>
        <w:fldChar w:fldCharType="separate"/>
      </w:r>
      <w:r>
        <w:t>11</w:t>
      </w:r>
      <w:r>
        <w:fldChar w:fldCharType="end"/>
      </w:r>
      <w:r>
        <w:fldChar w:fldCharType="end"/>
      </w:r>
    </w:p>
    <w:p w14:paraId="3ED6D74C">
      <w:pPr>
        <w:pStyle w:val="7"/>
        <w:tabs>
          <w:tab w:val="right" w:leader="dot" w:pos="8306"/>
        </w:tabs>
      </w:pPr>
      <w:r>
        <w:fldChar w:fldCharType="begin"/>
      </w:r>
      <w:r>
        <w:instrText xml:space="preserve"> HYPERLINK \l _Toc407852329 </w:instrText>
      </w:r>
      <w:r>
        <w:fldChar w:fldCharType="separate"/>
      </w:r>
      <w:r>
        <w:rPr>
          <w:rFonts w:ascii="黑体" w:hAnsi="黑体" w:eastAsia="黑体" w:cs="黑体"/>
        </w:rPr>
        <w:t>3．主要研究内容</w:t>
      </w:r>
      <w:r>
        <w:tab/>
      </w:r>
      <w:r>
        <w:fldChar w:fldCharType="begin"/>
      </w:r>
      <w:r>
        <w:instrText xml:space="preserve"> PAGEREF _Toc407852329 \h </w:instrText>
      </w:r>
      <w:r>
        <w:fldChar w:fldCharType="separate"/>
      </w:r>
      <w:r>
        <w:t>13</w:t>
      </w:r>
      <w:r>
        <w:fldChar w:fldCharType="end"/>
      </w:r>
      <w:r>
        <w:fldChar w:fldCharType="end"/>
      </w:r>
    </w:p>
    <w:p w14:paraId="318E3BA2">
      <w:pPr>
        <w:pStyle w:val="8"/>
        <w:tabs>
          <w:tab w:val="right" w:leader="dot" w:pos="8306"/>
        </w:tabs>
      </w:pPr>
      <w:r>
        <w:fldChar w:fldCharType="begin"/>
      </w:r>
      <w:r>
        <w:instrText xml:space="preserve"> HYPERLINK \l _Toc6292279 </w:instrText>
      </w:r>
      <w:r>
        <w:fldChar w:fldCharType="separate"/>
      </w:r>
      <w:r>
        <w:rPr>
          <w:rFonts w:ascii="黑体" w:hAnsi="黑体" w:eastAsia="黑体" w:cs="黑体"/>
        </w:rPr>
        <w:t>3.1 统一的在线策略蒸馏研究流程</w:t>
      </w:r>
      <w:r>
        <w:tab/>
      </w:r>
      <w:r>
        <w:fldChar w:fldCharType="begin"/>
      </w:r>
      <w:r>
        <w:instrText xml:space="preserve"> PAGEREF _Toc6292279 \h </w:instrText>
      </w:r>
      <w:r>
        <w:fldChar w:fldCharType="separate"/>
      </w:r>
      <w:r>
        <w:t>13</w:t>
      </w:r>
      <w:r>
        <w:fldChar w:fldCharType="end"/>
      </w:r>
      <w:r>
        <w:fldChar w:fldCharType="end"/>
      </w:r>
    </w:p>
    <w:p w14:paraId="3DEEF126">
      <w:pPr>
        <w:pStyle w:val="8"/>
        <w:tabs>
          <w:tab w:val="right" w:leader="dot" w:pos="8306"/>
        </w:tabs>
      </w:pPr>
      <w:r>
        <w:fldChar w:fldCharType="begin"/>
      </w:r>
      <w:r>
        <w:instrText xml:space="preserve"> HYPERLINK \l _Toc527634450 </w:instrText>
      </w:r>
      <w:r>
        <w:fldChar w:fldCharType="separate"/>
      </w:r>
      <w:r>
        <w:rPr>
          <w:rFonts w:ascii="黑体" w:hAnsi="黑体" w:eastAsia="黑体" w:cs="黑体"/>
        </w:rPr>
        <w:t>3.2 三类散度目标</w:t>
      </w:r>
      <w:r>
        <w:tab/>
      </w:r>
      <w:r>
        <w:fldChar w:fldCharType="begin"/>
      </w:r>
      <w:r>
        <w:instrText xml:space="preserve"> PAGEREF _Toc527634450 \h </w:instrText>
      </w:r>
      <w:r>
        <w:fldChar w:fldCharType="separate"/>
      </w:r>
      <w:r>
        <w:t>13</w:t>
      </w:r>
      <w:r>
        <w:fldChar w:fldCharType="end"/>
      </w:r>
      <w:r>
        <w:fldChar w:fldCharType="end"/>
      </w:r>
    </w:p>
    <w:p w14:paraId="342A9E35">
      <w:pPr>
        <w:pStyle w:val="8"/>
        <w:tabs>
          <w:tab w:val="right" w:leader="dot" w:pos="8306"/>
        </w:tabs>
      </w:pPr>
      <w:r>
        <w:fldChar w:fldCharType="begin"/>
      </w:r>
      <w:r>
        <w:instrText xml:space="preserve"> HYPERLINK \l _Toc992222687 </w:instrText>
      </w:r>
      <w:r>
        <w:fldChar w:fldCharType="separate"/>
      </w:r>
      <w:r>
        <w:rPr>
          <w:rFonts w:ascii="黑体" w:hAnsi="黑体" w:eastAsia="黑体" w:cs="黑体"/>
        </w:rPr>
        <w:t>3.3 三种监督信息粒度/估计方式</w:t>
      </w:r>
      <w:r>
        <w:tab/>
      </w:r>
      <w:r>
        <w:fldChar w:fldCharType="begin"/>
      </w:r>
      <w:r>
        <w:instrText xml:space="preserve"> PAGEREF _Toc992222687 \h </w:instrText>
      </w:r>
      <w:r>
        <w:fldChar w:fldCharType="separate"/>
      </w:r>
      <w:r>
        <w:t>13</w:t>
      </w:r>
      <w:r>
        <w:fldChar w:fldCharType="end"/>
      </w:r>
      <w:r>
        <w:fldChar w:fldCharType="end"/>
      </w:r>
    </w:p>
    <w:p w14:paraId="3BDFB6E9">
      <w:pPr>
        <w:pStyle w:val="8"/>
        <w:tabs>
          <w:tab w:val="right" w:leader="dot" w:pos="8306"/>
        </w:tabs>
      </w:pPr>
      <w:r>
        <w:fldChar w:fldCharType="begin"/>
      </w:r>
      <w:r>
        <w:instrText xml:space="preserve"> HYPERLINK \l _Toc1076181454 </w:instrText>
      </w:r>
      <w:r>
        <w:fldChar w:fldCharType="separate"/>
      </w:r>
      <w:r>
        <w:rPr>
          <w:rFonts w:ascii="黑体" w:hAnsi="黑体" w:eastAsia="黑体" w:cs="黑体"/>
        </w:rPr>
        <w:t>3.4 LoRA 后训练与教师—学生关系</w:t>
      </w:r>
      <w:r>
        <w:tab/>
      </w:r>
      <w:r>
        <w:fldChar w:fldCharType="begin"/>
      </w:r>
      <w:r>
        <w:instrText xml:space="preserve"> PAGEREF _Toc1076181454 \h </w:instrText>
      </w:r>
      <w:r>
        <w:fldChar w:fldCharType="separate"/>
      </w:r>
      <w:r>
        <w:t>14</w:t>
      </w:r>
      <w:r>
        <w:fldChar w:fldCharType="end"/>
      </w:r>
      <w:r>
        <w:fldChar w:fldCharType="end"/>
      </w:r>
    </w:p>
    <w:p w14:paraId="704BE7F5">
      <w:pPr>
        <w:pStyle w:val="8"/>
        <w:tabs>
          <w:tab w:val="right" w:leader="dot" w:pos="8306"/>
        </w:tabs>
      </w:pPr>
      <w:r>
        <w:fldChar w:fldCharType="begin"/>
      </w:r>
      <w:r>
        <w:instrText xml:space="preserve"> HYPERLINK \l _Toc1274422344 </w:instrText>
      </w:r>
      <w:r>
        <w:fldChar w:fldCharType="separate"/>
      </w:r>
      <w:r>
        <w:rPr>
          <w:rFonts w:ascii="黑体" w:hAnsi="黑体" w:eastAsia="黑体" w:cs="黑体"/>
        </w:rPr>
        <w:t>3.5 Function Calling 评测与推理性能分析</w:t>
      </w:r>
      <w:r>
        <w:tab/>
      </w:r>
      <w:r>
        <w:fldChar w:fldCharType="begin"/>
      </w:r>
      <w:r>
        <w:instrText xml:space="preserve"> PAGEREF _Toc1274422344 \h </w:instrText>
      </w:r>
      <w:r>
        <w:fldChar w:fldCharType="separate"/>
      </w:r>
      <w:r>
        <w:t>14</w:t>
      </w:r>
      <w:r>
        <w:fldChar w:fldCharType="end"/>
      </w:r>
      <w:r>
        <w:fldChar w:fldCharType="end"/>
      </w:r>
    </w:p>
    <w:p w14:paraId="31DB8D33">
      <w:pPr>
        <w:pStyle w:val="8"/>
        <w:tabs>
          <w:tab w:val="right" w:leader="dot" w:pos="8306"/>
        </w:tabs>
      </w:pPr>
      <w:r>
        <w:fldChar w:fldCharType="begin"/>
      </w:r>
      <w:r>
        <w:instrText xml:space="preserve"> HYPERLINK \l _Toc214440430 </w:instrText>
      </w:r>
      <w:r>
        <w:fldChar w:fldCharType="separate"/>
      </w:r>
      <w:r>
        <w:rPr>
          <w:rFonts w:ascii="黑体" w:hAnsi="黑体" w:eastAsia="黑体" w:cs="黑体"/>
        </w:rPr>
        <w:t>3.6 研究问题</w:t>
      </w:r>
      <w:r>
        <w:tab/>
      </w:r>
      <w:r>
        <w:fldChar w:fldCharType="begin"/>
      </w:r>
      <w:r>
        <w:instrText xml:space="preserve"> PAGEREF _Toc214440430 \h </w:instrText>
      </w:r>
      <w:r>
        <w:fldChar w:fldCharType="separate"/>
      </w:r>
      <w:r>
        <w:t>14</w:t>
      </w:r>
      <w:r>
        <w:fldChar w:fldCharType="end"/>
      </w:r>
      <w:r>
        <w:fldChar w:fldCharType="end"/>
      </w:r>
    </w:p>
    <w:p w14:paraId="0FE4142B">
      <w:pPr>
        <w:pStyle w:val="8"/>
        <w:tabs>
          <w:tab w:val="right" w:leader="dot" w:pos="8306"/>
        </w:tabs>
      </w:pPr>
      <w:r>
        <w:fldChar w:fldCharType="begin"/>
      </w:r>
      <w:r>
        <w:instrText xml:space="preserve"> HYPERLINK \l _Toc622747344 </w:instrText>
      </w:r>
      <w:r>
        <w:fldChar w:fldCharType="separate"/>
      </w:r>
      <w:r>
        <w:rPr>
          <w:rFonts w:ascii="黑体" w:hAnsi="黑体" w:eastAsia="黑体" w:cs="黑体"/>
        </w:rPr>
        <w:t>3.7 各研究内容之间的关系</w:t>
      </w:r>
      <w:r>
        <w:tab/>
      </w:r>
      <w:r>
        <w:fldChar w:fldCharType="begin"/>
      </w:r>
      <w:r>
        <w:instrText xml:space="preserve"> PAGEREF _Toc622747344 \h </w:instrText>
      </w:r>
      <w:r>
        <w:fldChar w:fldCharType="separate"/>
      </w:r>
      <w:r>
        <w:t>15</w:t>
      </w:r>
      <w:r>
        <w:fldChar w:fldCharType="end"/>
      </w:r>
      <w:r>
        <w:fldChar w:fldCharType="end"/>
      </w:r>
    </w:p>
    <w:p w14:paraId="0094D178">
      <w:pPr>
        <w:pStyle w:val="7"/>
        <w:tabs>
          <w:tab w:val="right" w:leader="dot" w:pos="8306"/>
        </w:tabs>
      </w:pPr>
      <w:r>
        <w:fldChar w:fldCharType="begin"/>
      </w:r>
      <w:r>
        <w:instrText xml:space="preserve"> HYPERLINK \l _Toc1826798777 </w:instrText>
      </w:r>
      <w:r>
        <w:fldChar w:fldCharType="separate"/>
      </w:r>
      <w:r>
        <w:rPr>
          <w:rFonts w:ascii="黑体" w:hAnsi="黑体" w:eastAsia="黑体" w:cs="黑体"/>
        </w:rPr>
        <w:t>4．研究方案</w:t>
      </w:r>
      <w:r>
        <w:tab/>
      </w:r>
      <w:r>
        <w:fldChar w:fldCharType="begin"/>
      </w:r>
      <w:r>
        <w:instrText xml:space="preserve"> PAGEREF _Toc1826798777 \h </w:instrText>
      </w:r>
      <w:r>
        <w:fldChar w:fldCharType="separate"/>
      </w:r>
      <w:r>
        <w:t>15</w:t>
      </w:r>
      <w:r>
        <w:fldChar w:fldCharType="end"/>
      </w:r>
      <w:r>
        <w:fldChar w:fldCharType="end"/>
      </w:r>
    </w:p>
    <w:p w14:paraId="341E7DC2">
      <w:pPr>
        <w:pStyle w:val="8"/>
        <w:tabs>
          <w:tab w:val="right" w:leader="dot" w:pos="8306"/>
        </w:tabs>
      </w:pPr>
      <w:r>
        <w:fldChar w:fldCharType="begin"/>
      </w:r>
      <w:r>
        <w:instrText xml:space="preserve"> HYPERLINK \l _Toc433343880 </w:instrText>
      </w:r>
      <w:r>
        <w:fldChar w:fldCharType="separate"/>
      </w:r>
      <w:r>
        <w:rPr>
          <w:rFonts w:ascii="黑体" w:hAnsi="黑体" w:eastAsia="黑体" w:cs="黑体"/>
        </w:rPr>
        <w:t>4.1 总体技术路线</w:t>
      </w:r>
      <w:r>
        <w:tab/>
      </w:r>
      <w:r>
        <w:fldChar w:fldCharType="begin"/>
      </w:r>
      <w:r>
        <w:instrText xml:space="preserve"> PAGEREF _Toc433343880 \h </w:instrText>
      </w:r>
      <w:r>
        <w:fldChar w:fldCharType="separate"/>
      </w:r>
      <w:r>
        <w:t>15</w:t>
      </w:r>
      <w:r>
        <w:fldChar w:fldCharType="end"/>
      </w:r>
      <w:r>
        <w:fldChar w:fldCharType="end"/>
      </w:r>
    </w:p>
    <w:p w14:paraId="56A7503E">
      <w:pPr>
        <w:pStyle w:val="8"/>
        <w:tabs>
          <w:tab w:val="right" w:leader="dot" w:pos="8306"/>
        </w:tabs>
      </w:pPr>
      <w:r>
        <w:fldChar w:fldCharType="begin"/>
      </w:r>
      <w:r>
        <w:instrText xml:space="preserve"> HYPERLINK \l _Toc1093544183 </w:instrText>
      </w:r>
      <w:r>
        <w:fldChar w:fldCharType="separate"/>
      </w:r>
      <w:r>
        <w:rPr>
          <w:rFonts w:ascii="黑体" w:hAnsi="黑体" w:eastAsia="黑体" w:cs="黑体"/>
        </w:rPr>
        <w:t>4.2 模型和数据准备</w:t>
      </w:r>
      <w:r>
        <w:tab/>
      </w:r>
      <w:r>
        <w:fldChar w:fldCharType="begin"/>
      </w:r>
      <w:r>
        <w:instrText xml:space="preserve"> PAGEREF _Toc1093544183 \h </w:instrText>
      </w:r>
      <w:r>
        <w:fldChar w:fldCharType="separate"/>
      </w:r>
      <w:r>
        <w:t>16</w:t>
      </w:r>
      <w:r>
        <w:fldChar w:fldCharType="end"/>
      </w:r>
      <w:r>
        <w:fldChar w:fldCharType="end"/>
      </w:r>
    </w:p>
    <w:p w14:paraId="3A85EAA0">
      <w:pPr>
        <w:pStyle w:val="8"/>
        <w:tabs>
          <w:tab w:val="right" w:leader="dot" w:pos="8306"/>
        </w:tabs>
      </w:pPr>
      <w:r>
        <w:fldChar w:fldCharType="begin"/>
      </w:r>
      <w:r>
        <w:instrText xml:space="preserve"> HYPERLINK \l _Toc1032032655 </w:instrText>
      </w:r>
      <w:r>
        <w:fldChar w:fldCharType="separate"/>
      </w:r>
      <w:r>
        <w:rPr>
          <w:rFonts w:ascii="黑体" w:hAnsi="黑体" w:eastAsia="黑体" w:cs="黑体"/>
        </w:rPr>
        <w:t>4.3 学生 rollout 和教师反馈</w:t>
      </w:r>
      <w:r>
        <w:tab/>
      </w:r>
      <w:r>
        <w:fldChar w:fldCharType="begin"/>
      </w:r>
      <w:r>
        <w:instrText xml:space="preserve"> PAGEREF _Toc1032032655 \h </w:instrText>
      </w:r>
      <w:r>
        <w:fldChar w:fldCharType="separate"/>
      </w:r>
      <w:r>
        <w:t>16</w:t>
      </w:r>
      <w:r>
        <w:fldChar w:fldCharType="end"/>
      </w:r>
      <w:r>
        <w:fldChar w:fldCharType="end"/>
      </w:r>
    </w:p>
    <w:p w14:paraId="13CBE342">
      <w:pPr>
        <w:pStyle w:val="8"/>
        <w:tabs>
          <w:tab w:val="right" w:leader="dot" w:pos="8306"/>
        </w:tabs>
      </w:pPr>
      <w:r>
        <w:fldChar w:fldCharType="begin"/>
      </w:r>
      <w:r>
        <w:instrText xml:space="preserve"> HYPERLINK \l _Toc147415766 </w:instrText>
      </w:r>
      <w:r>
        <w:fldChar w:fldCharType="separate"/>
      </w:r>
      <w:r>
        <w:rPr>
          <w:rFonts w:ascii="黑体" w:hAnsi="黑体" w:eastAsia="黑体" w:cs="黑体"/>
        </w:rPr>
        <w:t>4.4 损失与监督信息粒度/估计方式的定义原则</w:t>
      </w:r>
      <w:r>
        <w:tab/>
      </w:r>
      <w:r>
        <w:fldChar w:fldCharType="begin"/>
      </w:r>
      <w:r>
        <w:instrText xml:space="preserve"> PAGEREF _Toc147415766 \h </w:instrText>
      </w:r>
      <w:r>
        <w:fldChar w:fldCharType="separate"/>
      </w:r>
      <w:r>
        <w:t>17</w:t>
      </w:r>
      <w:r>
        <w:fldChar w:fldCharType="end"/>
      </w:r>
      <w:r>
        <w:fldChar w:fldCharType="end"/>
      </w:r>
    </w:p>
    <w:p w14:paraId="6B92C33A">
      <w:pPr>
        <w:pStyle w:val="8"/>
        <w:tabs>
          <w:tab w:val="right" w:leader="dot" w:pos="8306"/>
        </w:tabs>
      </w:pPr>
      <w:r>
        <w:fldChar w:fldCharType="begin"/>
      </w:r>
      <w:r>
        <w:instrText xml:space="preserve"> HYPERLINK \l _Toc1568134171 </w:instrText>
      </w:r>
      <w:r>
        <w:fldChar w:fldCharType="separate"/>
      </w:r>
      <w:r>
        <w:rPr>
          <w:rFonts w:ascii="黑体" w:hAnsi="黑体" w:eastAsia="黑体" w:cs="黑体"/>
        </w:rPr>
        <w:t>4.5 评价指标和公平性</w:t>
      </w:r>
      <w:r>
        <w:tab/>
      </w:r>
      <w:r>
        <w:fldChar w:fldCharType="begin"/>
      </w:r>
      <w:r>
        <w:instrText xml:space="preserve"> PAGEREF _Toc1568134171 \h </w:instrText>
      </w:r>
      <w:r>
        <w:fldChar w:fldCharType="separate"/>
      </w:r>
      <w:r>
        <w:t>18</w:t>
      </w:r>
      <w:r>
        <w:fldChar w:fldCharType="end"/>
      </w:r>
      <w:r>
        <w:fldChar w:fldCharType="end"/>
      </w:r>
    </w:p>
    <w:p w14:paraId="278F8EE8">
      <w:pPr>
        <w:pStyle w:val="8"/>
        <w:tabs>
          <w:tab w:val="right" w:leader="dot" w:pos="8306"/>
        </w:tabs>
      </w:pPr>
      <w:r>
        <w:fldChar w:fldCharType="begin"/>
      </w:r>
      <w:r>
        <w:instrText xml:space="preserve"> HYPERLINK \l _Toc1711696013 </w:instrText>
      </w:r>
      <w:r>
        <w:fldChar w:fldCharType="separate"/>
      </w:r>
      <w:r>
        <w:rPr>
          <w:rFonts w:ascii="黑体" w:hAnsi="黑体" w:eastAsia="黑体" w:cs="黑体"/>
        </w:rPr>
        <w:t>4.6 可行性分析</w:t>
      </w:r>
      <w:r>
        <w:tab/>
      </w:r>
      <w:r>
        <w:fldChar w:fldCharType="begin"/>
      </w:r>
      <w:r>
        <w:instrText xml:space="preserve"> PAGEREF _Toc1711696013 \h </w:instrText>
      </w:r>
      <w:r>
        <w:fldChar w:fldCharType="separate"/>
      </w:r>
      <w:r>
        <w:t>20</w:t>
      </w:r>
      <w:r>
        <w:fldChar w:fldCharType="end"/>
      </w:r>
      <w:r>
        <w:fldChar w:fldCharType="end"/>
      </w:r>
    </w:p>
    <w:p w14:paraId="75D09AA4">
      <w:pPr>
        <w:pStyle w:val="7"/>
        <w:tabs>
          <w:tab w:val="right" w:leader="dot" w:pos="8306"/>
        </w:tabs>
      </w:pPr>
      <w:r>
        <w:fldChar w:fldCharType="begin"/>
      </w:r>
      <w:r>
        <w:instrText xml:space="preserve"> HYPERLINK \l _Toc783955279 </w:instrText>
      </w:r>
      <w:r>
        <w:fldChar w:fldCharType="separate"/>
      </w:r>
      <w:r>
        <w:rPr>
          <w:rFonts w:ascii="黑体" w:hAnsi="黑体" w:eastAsia="黑体" w:cs="黑体"/>
        </w:rPr>
        <w:t>5．进度安排，预期达到的目标</w:t>
      </w:r>
      <w:r>
        <w:tab/>
      </w:r>
      <w:r>
        <w:fldChar w:fldCharType="begin"/>
      </w:r>
      <w:r>
        <w:instrText xml:space="preserve"> PAGEREF _Toc783955279 \h </w:instrText>
      </w:r>
      <w:r>
        <w:fldChar w:fldCharType="separate"/>
      </w:r>
      <w:r>
        <w:t>20</w:t>
      </w:r>
      <w:r>
        <w:fldChar w:fldCharType="end"/>
      </w:r>
      <w:r>
        <w:fldChar w:fldCharType="end"/>
      </w:r>
    </w:p>
    <w:p w14:paraId="5F025851">
      <w:pPr>
        <w:pStyle w:val="8"/>
        <w:tabs>
          <w:tab w:val="right" w:leader="dot" w:pos="8306"/>
        </w:tabs>
      </w:pPr>
      <w:r>
        <w:fldChar w:fldCharType="begin"/>
      </w:r>
      <w:r>
        <w:instrText xml:space="preserve"> HYPERLINK \l _Toc1124199808 </w:instrText>
      </w:r>
      <w:r>
        <w:fldChar w:fldCharType="separate"/>
      </w:r>
      <w:r>
        <w:rPr>
          <w:rFonts w:ascii="黑体" w:hAnsi="黑体" w:eastAsia="黑体" w:cs="黑体"/>
        </w:rPr>
        <w:t>5.1 进度安排</w:t>
      </w:r>
      <w:r>
        <w:tab/>
      </w:r>
      <w:r>
        <w:fldChar w:fldCharType="begin"/>
      </w:r>
      <w:r>
        <w:instrText xml:space="preserve"> PAGEREF _Toc1124199808 \h </w:instrText>
      </w:r>
      <w:r>
        <w:fldChar w:fldCharType="separate"/>
      </w:r>
      <w:r>
        <w:t>20</w:t>
      </w:r>
      <w:r>
        <w:fldChar w:fldCharType="end"/>
      </w:r>
      <w:r>
        <w:fldChar w:fldCharType="end"/>
      </w:r>
    </w:p>
    <w:p w14:paraId="0EB07FFF">
      <w:pPr>
        <w:pStyle w:val="8"/>
        <w:tabs>
          <w:tab w:val="right" w:leader="dot" w:pos="8306"/>
        </w:tabs>
      </w:pPr>
      <w:r>
        <w:fldChar w:fldCharType="begin"/>
      </w:r>
      <w:r>
        <w:instrText xml:space="preserve"> HYPERLINK \l _Toc865046750 </w:instrText>
      </w:r>
      <w:r>
        <w:fldChar w:fldCharType="separate"/>
      </w:r>
      <w:r>
        <w:rPr>
          <w:rFonts w:ascii="黑体" w:hAnsi="黑体" w:eastAsia="黑体" w:cs="黑体"/>
        </w:rPr>
        <w:t>5.2 预期达到的目标</w:t>
      </w:r>
      <w:r>
        <w:tab/>
      </w:r>
      <w:r>
        <w:fldChar w:fldCharType="begin"/>
      </w:r>
      <w:r>
        <w:instrText xml:space="preserve"> PAGEREF _Toc865046750 \h </w:instrText>
      </w:r>
      <w:r>
        <w:fldChar w:fldCharType="separate"/>
      </w:r>
      <w:r>
        <w:t>21</w:t>
      </w:r>
      <w:r>
        <w:fldChar w:fldCharType="end"/>
      </w:r>
      <w:r>
        <w:fldChar w:fldCharType="end"/>
      </w:r>
    </w:p>
    <w:p w14:paraId="687EAF59">
      <w:pPr>
        <w:pStyle w:val="7"/>
        <w:tabs>
          <w:tab w:val="right" w:leader="dot" w:pos="8306"/>
        </w:tabs>
      </w:pPr>
      <w:r>
        <w:fldChar w:fldCharType="begin"/>
      </w:r>
      <w:r>
        <w:instrText xml:space="preserve"> HYPERLINK \l _Toc376437060 </w:instrText>
      </w:r>
      <w:r>
        <w:fldChar w:fldCharType="separate"/>
      </w:r>
      <w:r>
        <w:rPr>
          <w:rFonts w:ascii="黑体" w:hAnsi="黑体" w:eastAsia="黑体" w:cs="黑体"/>
        </w:rPr>
        <w:t>6．课题已具备和所需的条件、经费</w:t>
      </w:r>
      <w:r>
        <w:tab/>
      </w:r>
      <w:r>
        <w:fldChar w:fldCharType="begin"/>
      </w:r>
      <w:r>
        <w:instrText xml:space="preserve"> PAGEREF _Toc376437060 \h </w:instrText>
      </w:r>
      <w:r>
        <w:fldChar w:fldCharType="separate"/>
      </w:r>
      <w:r>
        <w:t>22</w:t>
      </w:r>
      <w:r>
        <w:fldChar w:fldCharType="end"/>
      </w:r>
      <w:r>
        <w:fldChar w:fldCharType="end"/>
      </w:r>
    </w:p>
    <w:p w14:paraId="4677B6B7">
      <w:pPr>
        <w:pStyle w:val="8"/>
        <w:tabs>
          <w:tab w:val="right" w:leader="dot" w:pos="8306"/>
        </w:tabs>
      </w:pPr>
      <w:r>
        <w:fldChar w:fldCharType="begin"/>
      </w:r>
      <w:r>
        <w:instrText xml:space="preserve"> HYPERLINK \l _Toc290843358 </w:instrText>
      </w:r>
      <w:r>
        <w:fldChar w:fldCharType="separate"/>
      </w:r>
      <w:r>
        <w:rPr>
          <w:rFonts w:ascii="黑体" w:hAnsi="黑体" w:eastAsia="黑体" w:cs="黑体"/>
        </w:rPr>
        <w:t>6.1 已具备条件</w:t>
      </w:r>
      <w:r>
        <w:tab/>
      </w:r>
      <w:r>
        <w:fldChar w:fldCharType="begin"/>
      </w:r>
      <w:r>
        <w:instrText xml:space="preserve"> PAGEREF _Toc290843358 \h </w:instrText>
      </w:r>
      <w:r>
        <w:fldChar w:fldCharType="separate"/>
      </w:r>
      <w:r>
        <w:t>22</w:t>
      </w:r>
      <w:r>
        <w:fldChar w:fldCharType="end"/>
      </w:r>
      <w:r>
        <w:fldChar w:fldCharType="end"/>
      </w:r>
    </w:p>
    <w:p w14:paraId="628AB64D">
      <w:pPr>
        <w:pStyle w:val="8"/>
        <w:tabs>
          <w:tab w:val="right" w:leader="dot" w:pos="8306"/>
        </w:tabs>
      </w:pPr>
      <w:r>
        <w:fldChar w:fldCharType="begin"/>
      </w:r>
      <w:r>
        <w:instrText xml:space="preserve"> HYPERLINK \l _Toc531537334 </w:instrText>
      </w:r>
      <w:r>
        <w:fldChar w:fldCharType="separate"/>
      </w:r>
      <w:r>
        <w:rPr>
          <w:rFonts w:ascii="黑体" w:hAnsi="黑体" w:eastAsia="黑体" w:cs="黑体"/>
        </w:rPr>
        <w:t>6.2 所需条件</w:t>
      </w:r>
      <w:r>
        <w:tab/>
      </w:r>
      <w:r>
        <w:fldChar w:fldCharType="begin"/>
      </w:r>
      <w:r>
        <w:instrText xml:space="preserve"> PAGEREF _Toc531537334 \h </w:instrText>
      </w:r>
      <w:r>
        <w:fldChar w:fldCharType="separate"/>
      </w:r>
      <w:r>
        <w:t>22</w:t>
      </w:r>
      <w:r>
        <w:fldChar w:fldCharType="end"/>
      </w:r>
      <w:r>
        <w:fldChar w:fldCharType="end"/>
      </w:r>
    </w:p>
    <w:p w14:paraId="14CBD5B1">
      <w:pPr>
        <w:pStyle w:val="8"/>
        <w:tabs>
          <w:tab w:val="right" w:leader="dot" w:pos="8306"/>
        </w:tabs>
      </w:pPr>
      <w:r>
        <w:fldChar w:fldCharType="begin"/>
      </w:r>
      <w:r>
        <w:instrText xml:space="preserve"> HYPERLINK \l _Toc16001018 </w:instrText>
      </w:r>
      <w:r>
        <w:fldChar w:fldCharType="separate"/>
      </w:r>
      <w:r>
        <w:rPr>
          <w:rFonts w:ascii="黑体" w:hAnsi="黑体" w:eastAsia="黑体" w:cs="黑体"/>
        </w:rPr>
        <w:t>6.3 经费</w:t>
      </w:r>
      <w:r>
        <w:tab/>
      </w:r>
      <w:r>
        <w:fldChar w:fldCharType="begin"/>
      </w:r>
      <w:r>
        <w:instrText xml:space="preserve"> PAGEREF _Toc16001018 \h </w:instrText>
      </w:r>
      <w:r>
        <w:fldChar w:fldCharType="separate"/>
      </w:r>
      <w:r>
        <w:t>22</w:t>
      </w:r>
      <w:r>
        <w:fldChar w:fldCharType="end"/>
      </w:r>
      <w:r>
        <w:fldChar w:fldCharType="end"/>
      </w:r>
    </w:p>
    <w:p w14:paraId="28E59F96">
      <w:pPr>
        <w:pStyle w:val="7"/>
        <w:tabs>
          <w:tab w:val="right" w:leader="dot" w:pos="8306"/>
        </w:tabs>
      </w:pPr>
      <w:r>
        <w:fldChar w:fldCharType="begin"/>
      </w:r>
      <w:r>
        <w:instrText xml:space="preserve"> HYPERLINK \l _Toc493653651 </w:instrText>
      </w:r>
      <w:r>
        <w:fldChar w:fldCharType="separate"/>
      </w:r>
      <w:r>
        <w:rPr>
          <w:rFonts w:ascii="黑体" w:hAnsi="黑体" w:eastAsia="黑体" w:cs="黑体"/>
        </w:rPr>
        <w:t>7．研究过程中可能遇到的困难和问题，解决的措施</w:t>
      </w:r>
      <w:r>
        <w:tab/>
      </w:r>
      <w:r>
        <w:fldChar w:fldCharType="begin"/>
      </w:r>
      <w:r>
        <w:instrText xml:space="preserve"> PAGEREF _Toc493653651 \h </w:instrText>
      </w:r>
      <w:r>
        <w:fldChar w:fldCharType="separate"/>
      </w:r>
      <w:r>
        <w:t>24</w:t>
      </w:r>
      <w:r>
        <w:fldChar w:fldCharType="end"/>
      </w:r>
      <w:r>
        <w:fldChar w:fldCharType="end"/>
      </w:r>
    </w:p>
    <w:p w14:paraId="3DFB965B">
      <w:pPr>
        <w:pStyle w:val="7"/>
        <w:tabs>
          <w:tab w:val="right" w:leader="dot" w:pos="8306"/>
        </w:tabs>
      </w:pPr>
      <w:r>
        <w:fldChar w:fldCharType="begin"/>
      </w:r>
      <w:r>
        <w:instrText xml:space="preserve"> HYPERLINK \l _Toc1107583996 </w:instrText>
      </w:r>
      <w:r>
        <w:fldChar w:fldCharType="separate"/>
      </w:r>
      <w:r>
        <w:rPr>
          <w:rFonts w:ascii="黑体" w:hAnsi="黑体" w:eastAsia="黑体" w:cs="黑体"/>
        </w:rPr>
        <w:t>8．主要参考文献</w:t>
      </w:r>
      <w:r>
        <w:tab/>
      </w:r>
      <w:r>
        <w:fldChar w:fldCharType="begin"/>
      </w:r>
      <w:r>
        <w:instrText xml:space="preserve"> PAGEREF _Toc1107583996 \h </w:instrText>
      </w:r>
      <w:r>
        <w:fldChar w:fldCharType="separate"/>
      </w:r>
      <w:r>
        <w:t>25</w:t>
      </w:r>
      <w:r>
        <w:fldChar w:fldCharType="end"/>
      </w:r>
      <w:r>
        <w:fldChar w:fldCharType="end"/>
      </w:r>
    </w:p>
    <w:p w14:paraId="623AE19C">
      <w:pPr>
        <w:tabs>
          <w:tab w:val="right" w:leader="dot" w:pos="8731"/>
        </w:tabs>
        <w:spacing w:before="0" w:after="0" w:line="240" w:lineRule="auto"/>
        <w:ind w:left="0"/>
      </w:pPr>
      <w:r>
        <w:fldChar w:fldCharType="end"/>
      </w:r>
    </w:p>
    <w:p w14:paraId="449E6D0B">
      <w:r>
        <w:br w:type="page"/>
      </w:r>
    </w:p>
    <w:p w14:paraId="444931B1">
      <w:pPr>
        <w:pStyle w:val="2"/>
      </w:pPr>
      <w:bookmarkStart w:id="0" w:name="_Toc88311075"/>
      <w:r>
        <w:rPr>
          <w:rFonts w:ascii="黑体" w:hAnsi="黑体" w:eastAsia="黑体" w:cs="黑体"/>
          <w:b/>
          <w:color w:val="000000"/>
          <w:sz w:val="28"/>
        </w:rPr>
        <w:t>1．课题来源及研究的目的和意义</w:t>
      </w:r>
      <w:bookmarkEnd w:id="0"/>
    </w:p>
    <w:p w14:paraId="5244ADAC">
      <w:pPr>
        <w:pStyle w:val="3"/>
      </w:pPr>
      <w:bookmarkStart w:id="1" w:name="_Toc333037448"/>
      <w:r>
        <w:rPr>
          <w:rFonts w:ascii="黑体" w:hAnsi="黑体" w:eastAsia="黑体" w:cs="黑体"/>
          <w:b/>
          <w:color w:val="000000"/>
          <w:sz w:val="24"/>
        </w:rPr>
        <w:t>1.1 课题来源</w:t>
      </w:r>
      <w:bookmarkEnd w:id="1"/>
    </w:p>
    <w:p w14:paraId="0068B391">
      <w:pPr>
        <w:ind w:firstLine="420"/>
        <w:jc w:val="both"/>
      </w:pPr>
      <w:r>
        <w:t>本课题面向大语言模型后训练与工具增强应用中的实际需求，研究在线策略蒸馏（On-Policy Distillation，OPD）方法。研究将在学生模型自主生成的状态上引入教师模型的密集反馈，比较不同 KL 散度方向和监督信息粒度对训练效果、稳定性及资源开销的影响，并通过可交互的测试系统检验模型的实际能力。</w:t>
      </w:r>
    </w:p>
    <w:p w14:paraId="4589AFE8">
      <w:pPr>
        <w:ind w:firstLine="420"/>
        <w:jc w:val="both"/>
      </w:pPr>
      <w:r>
        <w:t>研究选用 Qwen3-0.6B 作为学生模型，以 LoRA 方式进行后训练，并使用冻结的 Qwen3-4B 作为教师模型。训练数据从公开 Function Calling 数据集中筛选，重点比较 Forward KL、Reverse KL、广义散度，以及全词表、Top-K、K1 sampled-token 三种监督方案；最终通过 vLLM 或自建测试程序验证推理性能。数据准备阶段将统一记录数据集名称、版本、许可证、划分方式和模型版本。</w:t>
      </w:r>
    </w:p>
    <w:p w14:paraId="38DF9D6D">
      <w:pPr>
        <w:pStyle w:val="3"/>
      </w:pPr>
      <w:bookmarkStart w:id="2" w:name="_Toc1018004454"/>
      <w:r>
        <w:rPr>
          <w:rFonts w:ascii="黑体" w:hAnsi="黑体" w:eastAsia="黑体" w:cs="黑体"/>
          <w:b/>
          <w:color w:val="000000"/>
          <w:sz w:val="24"/>
        </w:rPr>
        <w:t>1.2 研究背景</w:t>
      </w:r>
      <w:bookmarkEnd w:id="2"/>
    </w:p>
    <w:p w14:paraId="1E7E09AB">
      <w:pPr>
        <w:ind w:firstLine="420"/>
        <w:jc w:val="both"/>
      </w:pPr>
      <w:r>
        <w:t>大语言模型通过大规模预训练获得语言规律和知识表示，再借助后训练形成指令遵循、结构化输出、推理与工具使用能力。知识蒸馏利用教师模型的软分布，为学生提供比硬标签更丰富的训练信号。Hinton 等人阐述了温度缩放与软目标的基本思想[1]，序列级知识蒸馏则进一步使用教师生成的序列训练学生[2]。不过，蒸馏收益取决于具体任务、师生模型和训练协议；当训练数据或教师轨迹与学生推理时实际访问的状态不一致时，监督效果也会受到限制。</w:t>
      </w:r>
    </w:p>
    <w:p w14:paraId="4CD1AD20">
      <w:pPr>
        <w:ind w:firstLine="420"/>
        <w:jc w:val="both"/>
      </w:pPr>
      <w:r>
        <w:t>Function Calling 要求大语言模型按照给定接口生成结构化的函数调用。Gorilla/APIBench 关注 API 文档理解、函数选择和参数正确性[22]，API-Bank 则将工具检索、调用规划与执行结果纳入统一基准[23]。这些研究将 Function Calling 能力细分为函数选择、结构化参数生成、调用顺序和结果利用等环节，也为分析不同后训练方法提供了清晰的任务载体。</w:t>
      </w:r>
    </w:p>
    <w:p w14:paraId="17F46F4A">
      <w:pPr>
        <w:ind w:firstLine="420"/>
        <w:jc w:val="both"/>
      </w:pPr>
      <w:r>
        <w:t>Function Calling 还具备较明确的自动评测条件。给定用户请求、候选函数和调用 schema，可以分别检查函数名称、输出结构、参数键值、类型约束与执行结果。BFCL 将评测扩展到串行调用、并行调用和拒答等场景，并通过结构匹配等方式判断调用是否正确[27]。因此，本课题能够把 token 级分布匹配与端到端任务表现联系起来。</w:t>
      </w:r>
    </w:p>
    <w:p w14:paraId="02610039">
      <w:pPr>
        <w:ind w:firstLine="420"/>
        <w:jc w:val="both"/>
      </w:pPr>
      <w:r>
        <w:t>为便于评测，本文将 Function Calling 拆分为意图与工具选择、结构化参数生成、schema 约束、工具执行和多轮任务完成等环节。同一条样本可能在不同层面出错：模型可以理解用户意图却选错函数，也可能选对函数但遗漏参数，或生成结构正确但取值不符合约束的参数；单次调用正确，也不意味着多轮任务一定完成。这样的拆分与现有工具调用基准的评测维度基本一致[23][27]。</w:t>
      </w:r>
    </w:p>
    <w:p w14:paraId="7AD88161">
      <w:pPr>
        <w:ind w:firstLine="420"/>
        <w:jc w:val="both"/>
      </w:pPr>
      <w:r>
        <w:t>数据准备阶段将依据公开数据的实际字段，统计单轮调用、多工具候选、并行调用、多轮工具结果和无适用工具等任务类型。训练集、验证集与测试集按工具 schema、问题模板和数据来源进行隔离，尽量减少相似样本造成的信息泄漏。</w:t>
      </w:r>
    </w:p>
    <w:p w14:paraId="7D373851">
      <w:pPr>
        <w:pStyle w:val="3"/>
      </w:pPr>
      <w:bookmarkStart w:id="3" w:name="_Toc598642729"/>
      <w:r>
        <w:rPr>
          <w:rFonts w:ascii="黑体" w:hAnsi="黑体" w:eastAsia="黑体" w:cs="黑体"/>
          <w:b/>
          <w:color w:val="000000"/>
          <w:sz w:val="24"/>
        </w:rPr>
        <w:t>1.3 传统后训练方法的局限</w:t>
      </w:r>
      <w:bookmarkEnd w:id="3"/>
    </w:p>
    <w:p w14:paraId="671E03D8">
      <w:pPr>
        <w:ind w:firstLine="420"/>
        <w:jc w:val="both"/>
      </w:pPr>
      <w:r>
        <w:t>监督微调根据给定的输入—输出样本直接提高参考答案的概率，训练稳定且实现成熟。然而，学生推理时可能生成与示范不同的前缀，随后进入训练数据未覆盖的状态。Huszár 对自回归目标和 scheduled sampling 的分析表明，训练分布与生成分布的差异会影响学习目标的一致性[5]。DAgger 通过在学生策略到访的状态上查询专家动作来缓解模仿学习中的分布偏移[3]，ImitKD 又将这一思路用于自回归蒸馏[4]。这些工作共同构成 OPD 的理论基础。</w:t>
      </w:r>
    </w:p>
    <w:p w14:paraId="29AB85EA">
      <w:pPr>
        <w:ind w:firstLine="420"/>
        <w:jc w:val="both"/>
      </w:pPr>
      <w:r>
        <w:t>强化学习依赖环境奖励，偏好优化利用回答之间的偏好关系，两者的监督形式都不同于本课题采用的 token 分布。因此，本文仅将强化学习和偏好优化作为相关背景，不纳入主要对照实验。</w:t>
      </w:r>
    </w:p>
    <w:p w14:paraId="2F69CA9E">
      <w:pPr>
        <w:ind w:firstLine="420"/>
        <w:jc w:val="both"/>
      </w:pPr>
      <w:r>
        <w:t>传统离线蒸馏可以使用教师分布或教师生成的答案训练学生，但如果训练轨迹始终来自教师，学生在自身错误前缀上的恢复能力便难以得到充分训练。OPD 先由学生生成轨迹，再让教师在学生实际访问的前缀上提供反馈，使训练状态更接近部署时的状态[7][10]。本文将围绕师生能力差距、模板兼容性、散度方向和监督信息粒度，分析这一机制在 Function Calling 任务中的表现。</w:t>
      </w:r>
    </w:p>
    <w:p w14:paraId="0A73208C">
      <w:pPr>
        <w:pStyle w:val="3"/>
      </w:pPr>
      <w:bookmarkStart w:id="4" w:name="_Toc427460108"/>
      <w:r>
        <w:rPr>
          <w:rFonts w:ascii="黑体" w:hAnsi="黑体" w:eastAsia="黑体" w:cs="黑体"/>
          <w:b/>
          <w:color w:val="000000"/>
          <w:sz w:val="24"/>
        </w:rPr>
        <w:t>1.4 在线策略蒸馏的研究价值</w:t>
      </w:r>
      <w:bookmarkEnd w:id="4"/>
    </w:p>
    <w:p w14:paraId="40480C2B">
      <w:pPr>
        <w:ind w:firstLine="420"/>
        <w:jc w:val="both"/>
      </w:pPr>
      <w:r>
        <w:t>设学生策略为 πθ、教师策略为 πφ。对于输入 x，学生按照自身策略生成序列 y₁:T，教师在前缀 (x,y&lt;t) 上给出下一 token 的概率分布或局部评分，学生再依据分布差异更新参数。与仅使用教师示范的离线蒸馏相比，OPD 把监督放在学生真实访问的状态上；与只依赖任务奖励的强化学习相比，教师分布又能提供更密集的 token 级信号。</w:t>
      </w:r>
    </w:p>
    <w:p w14:paraId="7C4751C1">
      <w:pPr>
        <w:ind w:firstLine="420"/>
        <w:jc w:val="both"/>
      </w:pPr>
      <w:r>
        <w:t>GKD 研究了如何从学生自生成的错误中进行在线蒸馏[7]；MiniLLM 将 Reverse KL 与序列级优化结合[8]；DistiLLM 则讨论了 skew KL 和学生样本复用[9]。后续研究继续从状态覆盖、师生兼容性、Top-K 支持集和失败模式等方面分析 OPD[11][12][13]，并提出混合策略与效率改进方案[14]。相关综述将这些方法归纳为不同优化对象、监督来源和稳定化手段的组合[15]。</w:t>
      </w:r>
    </w:p>
    <w:p w14:paraId="20DA6477">
      <w:pPr>
        <w:ind w:firstLine="420"/>
        <w:jc w:val="both"/>
      </w:pPr>
      <w:r>
        <w:t>本文在统一条件下考察上述变量：学生模型固定为 Qwen3-0.6B，教师模型固定为 Qwen3-4B，学生采用 LoRA 更新，任务统一为 Function Calling，实验主要改变散度方向和监督信息粒度。各组保持模型规模、任务类型、训练预算与评测规则一致，以便把观察到的差异尽可能归因于蒸馏方法本身。</w:t>
      </w:r>
    </w:p>
    <w:p w14:paraId="48D0F5F1">
      <w:pPr>
        <w:ind w:firstLine="420"/>
        <w:jc w:val="both"/>
      </w:pPr>
      <w:r>
        <w:t>Function Calling 能够从多个层次观察 OPD 的训练效果。函数名和参数具有明确的结构约束，既可分析教师知识在 token 分布层面的传递，也可统计函数与参数的正确率，并通过实际执行结果判断任务是否完成。这些指标相互补充，有助于解释不同蒸馏方案在效果与效率上的差别。</w:t>
      </w:r>
    </w:p>
    <w:p w14:paraId="59356753">
      <w:pPr>
        <w:pStyle w:val="3"/>
      </w:pPr>
      <w:bookmarkStart w:id="5" w:name="_Toc989235941"/>
      <w:r>
        <w:rPr>
          <w:rFonts w:ascii="黑体" w:hAnsi="黑体" w:eastAsia="黑体" w:cs="黑体"/>
          <w:b/>
          <w:color w:val="000000"/>
          <w:sz w:val="24"/>
        </w:rPr>
        <w:t>1.5 研究目的和意义</w:t>
      </w:r>
      <w:bookmarkEnd w:id="5"/>
    </w:p>
    <w:p w14:paraId="58E876DD">
      <w:pPr>
        <w:ind w:firstLine="420"/>
        <w:jc w:val="both"/>
      </w:pPr>
      <w:r>
        <w:t>本课题拟实现以下研究目标：</w:t>
      </w:r>
    </w:p>
    <w:p w14:paraId="6FA8B508">
      <w:pPr>
        <w:pStyle w:val="17"/>
        <w:ind w:firstLine="420"/>
        <w:jc w:val="left"/>
      </w:pPr>
      <w:r>
        <w:t>1. 梳理离线蒸馏、在线策略蒸馏、KL 散度和工具增强模型的发展脉络，明确 OPD 在 Function Calling 场景中的研究问题。</w:t>
      </w:r>
    </w:p>
    <w:p w14:paraId="6CEC8EBA">
      <w:pPr>
        <w:pStyle w:val="17"/>
        <w:ind w:firstLine="420"/>
        <w:jc w:val="left"/>
      </w:pPr>
      <w:r>
        <w:t>2. 在统一的 OPD 后训练流程中比较主要散度方向和监督信息粒度（或估计方式），具体实验矩阵见第 3、4 节。</w:t>
      </w:r>
    </w:p>
    <w:p w14:paraId="1582C878">
      <w:pPr>
        <w:pStyle w:val="17"/>
        <w:ind w:firstLine="420"/>
        <w:jc w:val="left"/>
      </w:pPr>
      <w:r>
        <w:t>3. 从任务正确率、训练稳定性、分布变化和资源开销等方面分析方法差异，并通过 vLLM 或自建测试程序测量推理吞吐、延迟与端到端调用成功率。</w:t>
      </w:r>
    </w:p>
    <w:p w14:paraId="1280B22F">
      <w:pPr>
        <w:ind w:firstLine="420"/>
        <w:jc w:val="both"/>
      </w:pPr>
      <w:r>
        <w:t>在理论层面，本文把学生状态分布、散度方向和教师监督支持集作为三个独立因素，补充 Function Calling 场景下的 OPD 研究；在应用层面，考察小模型经 LoRA 后训练获得工具调用能力的可行性，并分析稀疏监督在模型效果与教师反馈开销之间的权衡，为低延迟、低成本和本地部署提供参考。</w:t>
      </w:r>
    </w:p>
    <w:p w14:paraId="486FC300">
      <w:pPr>
        <w:pStyle w:val="2"/>
      </w:pPr>
      <w:bookmarkStart w:id="6" w:name="_Toc270065313"/>
      <w:r>
        <w:rPr>
          <w:rFonts w:ascii="黑体" w:hAnsi="黑体" w:eastAsia="黑体" w:cs="黑体"/>
          <w:b/>
          <w:color w:val="000000"/>
          <w:sz w:val="28"/>
        </w:rPr>
        <w:t>2．国内外在该方向的研究现状及分析</w:t>
      </w:r>
      <w:bookmarkEnd w:id="6"/>
    </w:p>
    <w:p w14:paraId="4756E8EE">
      <w:pPr>
        <w:pStyle w:val="3"/>
      </w:pPr>
      <w:bookmarkStart w:id="7" w:name="_Toc1354769480"/>
      <w:r>
        <w:rPr>
          <w:rFonts w:ascii="黑体" w:hAnsi="黑体" w:eastAsia="黑体" w:cs="黑体"/>
          <w:b/>
          <w:color w:val="000000"/>
          <w:sz w:val="24"/>
        </w:rPr>
        <w:t>2.1 大语言模型后训练和知识蒸馏</w:t>
      </w:r>
      <w:bookmarkEnd w:id="7"/>
    </w:p>
    <w:p w14:paraId="63C19B99">
      <w:pPr>
        <w:ind w:firstLine="420"/>
        <w:jc w:val="both"/>
      </w:pPr>
      <w:r>
        <w:t>为便于比较，本文按训练信号将相关后训练方法划分为监督微调、知识蒸馏、偏好优化和强化学习。监督微调依赖人工或教师构造的目标序列，知识蒸馏利用教师软分布，偏好优化使用回答之间的偏好关系，强化学习则依据环境或任务奖励更新策略。SFT 和序列级蒸馏容易构造结构化数据，但学生推理状态与训练前缀之间仍可能出现偏移[1][2][5]。下文据此分别讨论各类方法的监督来源与优化对象。</w:t>
      </w:r>
    </w:p>
    <w:p w14:paraId="79D4A854">
      <w:pPr>
        <w:ind w:firstLine="420"/>
        <w:jc w:val="both"/>
      </w:pPr>
      <w:r>
        <w:t>知识蒸馏的核心是利用教师输出中的软信息。设教师在某一位置给出分布 p，学生给出分布 q，蒸馏目标可由两者之间的距离定义。与 one-hot 标签相比，软目标保留了教师对多个候选 token 的相对偏好；但在自回归任务中，分布匹配还会受到前缀状态、采样方式和序列长度的影响。f-divergence 视角把多种分布距离纳入统一框架，可用于解释序列级蒸馏目标[6]。</w:t>
      </w:r>
    </w:p>
    <w:p w14:paraId="582869BE">
      <w:pPr>
        <w:ind w:firstLine="420"/>
        <w:jc w:val="both"/>
      </w:pPr>
      <w:r>
        <w:t>按照训练状态和反馈来源，相关方法可作如下区分：</w:t>
      </w:r>
    </w:p>
    <w:p w14:paraId="5A36676E">
      <w:pPr>
        <w:ind w:firstLine="420"/>
        <w:jc w:val="both"/>
      </w:pPr>
    </w:p>
    <w:p w14:paraId="48CDB1C7">
      <w:pPr>
        <w:keepNext/>
        <w:spacing w:before="80" w:after="80" w:line="240" w:lineRule="auto"/>
        <w:ind w:left="0" w:right="0" w:firstLine="0"/>
        <w:jc w:val="center"/>
      </w:pPr>
      <w:r>
        <w:rPr>
          <w:rFonts w:ascii="Times New Roman" w:hAnsi="Times New Roman" w:eastAsia="Songti SC"/>
          <w:sz w:val="21"/>
        </w:rPr>
        <w:t xml:space="preserve">表 </w:t>
      </w:r>
      <w:bookmarkStart w:id="8" w:name="_RefTable2_1"/>
      <w:r>
        <w:rPr>
          <w:rFonts w:ascii="Times New Roman" w:hAnsi="Times New Roman" w:eastAsia="Songti SC"/>
          <w:sz w:val="21"/>
        </w:rPr>
        <w:t>2-</w:t>
      </w:r>
      <w:r>
        <w:rPr>
          <w:rFonts w:ascii="Times New Roman" w:hAnsi="Times New Roman" w:eastAsia="Songti SC"/>
          <w:sz w:val="21"/>
        </w:rPr>
        <w:fldChar w:fldCharType="begin"/>
      </w:r>
      <w:r>
        <w:rPr>
          <w:rFonts w:ascii="Times New Roman" w:hAnsi="Times New Roman" w:eastAsia="Songti SC"/>
          <w:sz w:val="21"/>
        </w:rPr>
        <w:instrText xml:space="preserve"> SEQ TableCh2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8"/>
      <w:r>
        <w:rPr>
          <w:rFonts w:ascii="Times New Roman" w:hAnsi="Times New Roman" w:eastAsia="Songti SC"/>
          <w:sz w:val="21"/>
        </w:rPr>
        <w:t xml:space="preserve">  后训练方法的状态与监督来源对比</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5"/>
        <w:gridCol w:w="1973"/>
        <w:gridCol w:w="2319"/>
        <w:gridCol w:w="2115"/>
      </w:tblGrid>
      <w:tr w14:paraId="25621ACA">
        <w:trPr>
          <w:tblHeader/>
        </w:trPr>
        <w:tc>
          <w:tcPr>
            <w:tcW w:w="4148" w:type="dxa"/>
          </w:tcPr>
          <w:p w14:paraId="4AC86784">
            <w:pPr>
              <w:ind w:firstLine="0"/>
              <w:jc w:val="left"/>
            </w:pPr>
            <w:r>
              <w:rPr>
                <w:b/>
              </w:rPr>
              <w:t>方法类别</w:t>
            </w:r>
          </w:p>
        </w:tc>
        <w:tc>
          <w:tcPr>
            <w:tcW w:w="4148" w:type="dxa"/>
          </w:tcPr>
          <w:p w14:paraId="30076F5E">
            <w:pPr>
              <w:ind w:firstLine="0"/>
              <w:jc w:val="left"/>
            </w:pPr>
            <w:r>
              <w:rPr>
                <w:b/>
              </w:rPr>
              <w:t>学生训练时的主要状态</w:t>
            </w:r>
          </w:p>
        </w:tc>
        <w:tc>
          <w:tcPr>
            <w:tcW w:w="4148" w:type="dxa"/>
          </w:tcPr>
          <w:p w14:paraId="3D0E28BB">
            <w:pPr>
              <w:ind w:firstLine="0"/>
              <w:jc w:val="left"/>
            </w:pPr>
            <w:r>
              <w:rPr>
                <w:b/>
              </w:rPr>
              <w:t>监督或奖励来源</w:t>
            </w:r>
          </w:p>
        </w:tc>
        <w:tc>
          <w:tcPr>
            <w:tcW w:w="4148" w:type="dxa"/>
          </w:tcPr>
          <w:p w14:paraId="167F5C97">
            <w:pPr>
              <w:ind w:firstLine="0"/>
              <w:jc w:val="left"/>
            </w:pPr>
            <w:r>
              <w:rPr>
                <w:b/>
              </w:rPr>
              <w:t>对本课题的启发</w:t>
            </w:r>
          </w:p>
        </w:tc>
      </w:tr>
      <w:tr w14:paraId="02C0E921">
        <w:tc>
          <w:tcPr>
            <w:tcW w:w="4148" w:type="dxa"/>
          </w:tcPr>
          <w:p w14:paraId="2AED74AE">
            <w:pPr>
              <w:ind w:firstLine="0"/>
              <w:jc w:val="left"/>
            </w:pPr>
            <w:r>
              <w:t>SFT/离线蒸馏</w:t>
            </w:r>
          </w:p>
        </w:tc>
        <w:tc>
          <w:tcPr>
            <w:tcW w:w="4148" w:type="dxa"/>
          </w:tcPr>
          <w:p w14:paraId="1D0C6309">
            <w:pPr>
              <w:ind w:firstLine="0"/>
              <w:jc w:val="left"/>
            </w:pPr>
            <w:r>
              <w:t>数据或教师示范前缀</w:t>
            </w:r>
          </w:p>
        </w:tc>
        <w:tc>
          <w:tcPr>
            <w:tcW w:w="4148" w:type="dxa"/>
          </w:tcPr>
          <w:p w14:paraId="66CED08E">
            <w:pPr>
              <w:ind w:firstLine="0"/>
              <w:jc w:val="left"/>
            </w:pPr>
            <w:r>
              <w:t>硬标签、教师序列或软分布</w:t>
            </w:r>
          </w:p>
        </w:tc>
        <w:tc>
          <w:tcPr>
            <w:tcW w:w="4148" w:type="dxa"/>
          </w:tcPr>
          <w:p w14:paraId="12C21A15">
            <w:pPr>
              <w:ind w:firstLine="0"/>
              <w:jc w:val="left"/>
            </w:pPr>
            <w:r>
              <w:t>作为分析 OPD 分布偏移问题的对照</w:t>
            </w:r>
          </w:p>
        </w:tc>
      </w:tr>
      <w:tr w14:paraId="72F129EE">
        <w:tc>
          <w:tcPr>
            <w:tcW w:w="4148" w:type="dxa"/>
          </w:tcPr>
          <w:p w14:paraId="1394DE27">
            <w:pPr>
              <w:ind w:firstLine="0"/>
              <w:jc w:val="left"/>
            </w:pPr>
            <w:r>
              <w:t>模仿学习式蒸馏</w:t>
            </w:r>
          </w:p>
        </w:tc>
        <w:tc>
          <w:tcPr>
            <w:tcW w:w="4148" w:type="dxa"/>
          </w:tcPr>
          <w:p w14:paraId="12DC5B34">
            <w:pPr>
              <w:ind w:firstLine="0"/>
              <w:jc w:val="left"/>
            </w:pPr>
            <w:r>
              <w:t>学生访问的部分状态</w:t>
            </w:r>
          </w:p>
        </w:tc>
        <w:tc>
          <w:tcPr>
            <w:tcW w:w="4148" w:type="dxa"/>
          </w:tcPr>
          <w:p w14:paraId="4256DCDE">
            <w:pPr>
              <w:ind w:firstLine="0"/>
              <w:jc w:val="left"/>
            </w:pPr>
            <w:r>
              <w:t>专家动作或教师反馈</w:t>
            </w:r>
          </w:p>
        </w:tc>
        <w:tc>
          <w:tcPr>
            <w:tcW w:w="4148" w:type="dxa"/>
          </w:tcPr>
          <w:p w14:paraId="7B6D34ED">
            <w:pPr>
              <w:ind w:firstLine="0"/>
              <w:jc w:val="left"/>
            </w:pPr>
            <w:r>
              <w:t>说明教师为何需要在学生前缀上提供反馈</w:t>
            </w:r>
          </w:p>
        </w:tc>
      </w:tr>
      <w:tr w14:paraId="0AEBC808">
        <w:tc>
          <w:tcPr>
            <w:tcW w:w="4148" w:type="dxa"/>
          </w:tcPr>
          <w:p w14:paraId="5626CA6B">
            <w:pPr>
              <w:ind w:firstLine="0"/>
              <w:jc w:val="left"/>
            </w:pPr>
            <w:r>
              <w:t>OPD</w:t>
            </w:r>
          </w:p>
        </w:tc>
        <w:tc>
          <w:tcPr>
            <w:tcW w:w="4148" w:type="dxa"/>
          </w:tcPr>
          <w:p w14:paraId="4A297CA7">
            <w:pPr>
              <w:ind w:firstLine="0"/>
              <w:jc w:val="left"/>
            </w:pPr>
            <w:r>
              <w:t>学生自身生成轨迹</w:t>
            </w:r>
          </w:p>
        </w:tc>
        <w:tc>
          <w:tcPr>
            <w:tcW w:w="4148" w:type="dxa"/>
          </w:tcPr>
          <w:p w14:paraId="26ADA3E2">
            <w:pPr>
              <w:ind w:firstLine="0"/>
              <w:jc w:val="left"/>
            </w:pPr>
            <w:r>
              <w:t>教师 token 分布或 log-prob</w:t>
            </w:r>
          </w:p>
        </w:tc>
        <w:tc>
          <w:tcPr>
            <w:tcW w:w="4148" w:type="dxa"/>
          </w:tcPr>
          <w:p w14:paraId="11E7E14B">
            <w:pPr>
              <w:ind w:firstLine="0"/>
              <w:jc w:val="left"/>
            </w:pPr>
            <w:r>
              <w:t>本课题的主要研究对象</w:t>
            </w:r>
          </w:p>
        </w:tc>
      </w:tr>
      <w:tr w14:paraId="6867B21F">
        <w:tc>
          <w:tcPr>
            <w:tcW w:w="4148" w:type="dxa"/>
          </w:tcPr>
          <w:p w14:paraId="1C6E59DC">
            <w:pPr>
              <w:ind w:firstLine="0"/>
              <w:jc w:val="left"/>
            </w:pPr>
            <w:r>
              <w:t>偏好优化/RL</w:t>
            </w:r>
          </w:p>
        </w:tc>
        <w:tc>
          <w:tcPr>
            <w:tcW w:w="4148" w:type="dxa"/>
          </w:tcPr>
          <w:p w14:paraId="5BFE3E11">
            <w:pPr>
              <w:ind w:firstLine="0"/>
              <w:jc w:val="left"/>
            </w:pPr>
            <w:r>
              <w:t>学生采样或离线偏好状态</w:t>
            </w:r>
          </w:p>
        </w:tc>
        <w:tc>
          <w:tcPr>
            <w:tcW w:w="4148" w:type="dxa"/>
          </w:tcPr>
          <w:p w14:paraId="4B2F00AC">
            <w:pPr>
              <w:ind w:firstLine="0"/>
              <w:jc w:val="left"/>
            </w:pPr>
            <w:r>
              <w:t>偏好关系、环境奖励</w:t>
            </w:r>
          </w:p>
        </w:tc>
        <w:tc>
          <w:tcPr>
            <w:tcW w:w="4148" w:type="dxa"/>
          </w:tcPr>
          <w:p w14:paraId="75606103">
            <w:pPr>
              <w:ind w:firstLine="0"/>
              <w:jc w:val="left"/>
            </w:pPr>
            <w:r>
              <w:t>用于区分密集教师反馈与稀疏奖励</w:t>
            </w:r>
          </w:p>
        </w:tc>
      </w:tr>
    </w:tbl>
    <w:p w14:paraId="43527EF3">
      <w:pPr>
        <w:ind w:firstLine="420" w:firstLineChars="0"/>
        <w:jc w:val="both"/>
      </w:pPr>
      <w:r>
        <w:t>实际系统既可以先进行 SFT、再实施 OPD，也可以同时引入教师反馈与任务奖励。本文聚焦 LoRA-OPD 路线，主要研究学生策略采样、教师分布反馈、散度方向和监督信息粒度；RLHF、DPO 等方法仅用于说明相关背景。</w:t>
      </w:r>
    </w:p>
    <w:p w14:paraId="0CA6A73A">
      <w:pPr>
        <w:spacing w:before="0" w:after="0" w:line="360" w:lineRule="auto"/>
        <w:ind w:firstLine="420"/>
        <w:jc w:val="both"/>
      </w:pPr>
      <w:r>
        <w:rPr>
          <w:rFonts w:ascii="Times New Roman" w:hAnsi="Times New Roman" w:eastAsia="宋体"/>
          <w:sz w:val="24"/>
        </w:rPr>
        <w:t>经典知识蒸馏通过温度缩放揭示教师分布中类别之间的相对关系[1]。Kim 和 Rush 随后把蒸馏扩展到序列级目标，用教师生成的序列替代或补充原始标签[2]。这些工作奠定了生成模型蒸馏的基本范式，但其训练样本通常来自固定语料或教师轨迹，学生在实际推理中产生的前缀仍未充分进入训练分布。</w:t>
      </w:r>
    </w:p>
    <w:p w14:paraId="4D703704">
      <w:pPr>
        <w:spacing w:before="0" w:after="0" w:line="360" w:lineRule="auto"/>
        <w:ind w:firstLine="420"/>
        <w:jc w:val="both"/>
      </w:pPr>
      <w:r>
        <w:rPr>
          <w:rFonts w:ascii="Times New Roman" w:hAnsi="Times New Roman" w:eastAsia="宋体"/>
          <w:sz w:val="24"/>
        </w:rPr>
        <w:t>DAgger 揭示了模仿学习中与语言生成高度相关的误差累积问题：学习器在部署时依据自身预测不断推进状态，早期错误会改变后续输入分布，使离线监督逐步失效[3]。ImitKD 将这一思想引入神经机器翻译，在学生生成的状态上查询教师并开展交互式蒸馏[4]。因此，在线策略蒸馏的关键并非单纯使用更强的教师，而是让教师在学生真正会访问的序列状态上提供监督。</w:t>
      </w:r>
    </w:p>
    <w:p w14:paraId="24D76E42">
      <w:pPr>
        <w:pStyle w:val="3"/>
      </w:pPr>
      <w:bookmarkStart w:id="9" w:name="_Toc1989024866"/>
      <w:r>
        <w:rPr>
          <w:rFonts w:ascii="黑体" w:hAnsi="黑体" w:eastAsia="黑体" w:cs="黑体"/>
          <w:b/>
          <w:color w:val="000000"/>
          <w:sz w:val="24"/>
        </w:rPr>
        <w:t>2.2 分布偏移与在线策略蒸馏</w:t>
      </w:r>
      <w:bookmarkEnd w:id="9"/>
    </w:p>
    <w:p w14:paraId="7027805E">
      <w:pPr>
        <w:ind w:firstLine="420"/>
        <w:jc w:val="both"/>
      </w:pPr>
      <w:r>
        <w:t>自回归模型训练时通常读取参考序列前缀，推理时却只能依赖自身生成的前缀。DAgger 在学生到访状态上查询专家标签[3]，ImitKD 将这一思路用于自回归知识蒸馏[4]。OPD 延续了相同的基本动机，并把专家反馈从离散动作扩展为教师模型的 token 分布或对数概率。</w:t>
      </w:r>
    </w:p>
    <w:p w14:paraId="6D834263">
      <w:pPr>
        <w:ind w:firstLine="420"/>
        <w:jc w:val="both"/>
      </w:pPr>
      <w:r>
        <w:t>GKD 在学生自生成的错误上进行蒸馏，并比较不同生成方式和散度设置[7]；MiniLLM 从序列级目标出发讨论 Reverse KL 的模式选择特性[8]；DistiLLM 通过 skew KL 与样本复用探索效果和成本之间的平衡[9]。Thinking Machines Lab 的技术文章总结了学生 rollout、教师逐 token 反馈和 Reverse KL 的工程流程，可作为系统实现的参考[10]。</w:t>
      </w:r>
    </w:p>
    <w:p w14:paraId="6F1DB8D0">
      <w:pPr>
        <w:ind w:firstLine="420"/>
        <w:jc w:val="both"/>
      </w:pPr>
      <w:r>
        <w:t>近期研究进一步指出，OPD 的效果还取决于师生推理模式是否兼容、教师能否提供学生尚未掌握的能力、提示能覆盖哪些状态，以及轨迹长度如何设置[11][12]。采样 token 的信号失衡、学生前缀漂移、特殊 token 和 tokenizer 差异，也会削弱训练稳定性[13]。Hybrid Policy Distillation 探讨了 Forward KL 与 Reverse KL 的混合方式[14]，相关综述则按优化对象、监督来源和稳定化策略对现有工作进行了归纳[15]。这些结论为本文选择实验变量和分析维度提供了依据。</w:t>
      </w:r>
    </w:p>
    <w:p w14:paraId="29B55A45">
      <w:pPr>
        <w:ind w:firstLine="420"/>
        <w:jc w:val="both"/>
      </w:pPr>
      <w:r>
        <w:t>为形成可比较的实验框架，本文从三个层面描述 OPD：训练状态是否由学生生成，教师是否在学生前缀上评分，以及蒸馏目标如何把采样结果转化为训练信号。GKD 的 token 级比较、MiniLLM 的序列级目标和 DistiLLM 的样本复用机制在这些层面上各有侧重，因此实验记录将分别说明散度定义及其估计方式。</w:t>
      </w:r>
    </w:p>
    <w:p w14:paraId="4737EE54">
      <w:pPr>
        <w:ind w:firstLine="420"/>
        <w:jc w:val="both"/>
      </w:pPr>
      <w:r>
        <w:t>教师能力能否有效传递，还取决于师生模型的兼容程度。推理模式、输出格式或工具调用习惯的差异会改变教师在学生状态上提供的信号，学生容量也会限制其吸收完整教师分布的能力。Rethinking OPD 系列工作对兼容性、状态覆盖和提示多样性的讨论[12][13]，为本文分析师生分布重叠与格式错误提供了依据。</w:t>
      </w:r>
    </w:p>
    <w:p w14:paraId="5333E2F1">
      <w:pPr>
        <w:spacing w:before="0" w:after="0" w:line="360" w:lineRule="auto"/>
        <w:ind w:firstLine="420"/>
        <w:jc w:val="both"/>
      </w:pPr>
      <w:r>
        <w:rPr>
          <w:rFonts w:ascii="Times New Roman" w:hAnsi="Times New Roman" w:eastAsia="宋体"/>
          <w:sz w:val="24"/>
        </w:rPr>
        <w:t>在线策略蒸馏改变的不只是教师 logits 所对应的数据批次，更重要的是训练状态的来源。GKD 允许学生在训练过程中生成序列，并在这些到访状态上接受教师分布监督，同时把传统 Forward KL 扩展为可配置的散度族[7]。MiniLLM 采用 Reverse KL 的序列级目标，使学生更集中地拟合与自身轨迹相容的教师高概率区域[8]。DistiLLM 进一步利用 skew KL 和自适应采样缓和纯 Reverse KL 的模式选择倾向，并讨论教师反馈的复用效率[9]。这些工作表明，状态分布、散度方向和教师信息获取方式是彼此关联但不可互相替代的设计变量。</w:t>
      </w:r>
    </w:p>
    <w:p w14:paraId="2D5A62DC">
      <w:pPr>
        <w:spacing w:before="0" w:after="0" w:line="360" w:lineRule="auto"/>
        <w:ind w:firstLine="420"/>
        <w:jc w:val="both"/>
      </w:pPr>
      <w:r>
        <w:rPr>
          <w:rFonts w:ascii="Times New Roman" w:hAnsi="Times New Roman" w:eastAsia="宋体"/>
          <w:sz w:val="24"/>
        </w:rPr>
        <w:t>研究重点也逐渐从“是否使用学生生成数据”转向“学生实际访问了哪些状态”。即使教师和损失函数相同，rollout 策略、数据混合比例和学生初始能力仍会改变教师监督覆盖的区域[11][12]。另有研究重新考察数据来源、采样预算和训练稳定性，强调性能增益应与额外的教师推理成本同时报告[13]。HPD 从师生偏好异构的角度说明，单一 KL 方向未必适用于所有样本和训练阶段[14]。因此，本文把 OPD 视为一个受控实验框架，在相同数据、模型、预算和评测协议下分离考察各项设计因素。</w:t>
      </w:r>
    </w:p>
    <w:p w14:paraId="6975A843">
      <w:pPr>
        <w:pStyle w:val="3"/>
      </w:pPr>
      <w:bookmarkStart w:id="10" w:name="_Toc1810473660"/>
      <w:r>
        <w:rPr>
          <w:rFonts w:ascii="黑体" w:hAnsi="黑体" w:eastAsia="黑体" w:cs="黑体"/>
          <w:b/>
          <w:color w:val="000000"/>
          <w:sz w:val="24"/>
        </w:rPr>
        <w:t>2.3 KL 散度方向与广义散度</w:t>
      </w:r>
      <w:bookmarkEnd w:id="10"/>
    </w:p>
    <w:p w14:paraId="696D2E03">
      <w:pPr>
        <w:ind w:firstLine="420"/>
        <w:jc w:val="both"/>
      </w:pPr>
      <w:r>
        <w:t>KL 散度由 Kullback 和 Leibler 在信息论研究中提出[17]。令 p_T 与 p_S 分别表示教师分布和学生分布，Forward KL 与 Reverse KL 定义为：</w:t>
      </w:r>
    </w:p>
    <w:p w14:paraId="2BB4B432">
      <w:pPr>
        <w:ind w:firstLine="0"/>
        <w:jc w:val="center"/>
      </w:pPr>
      <m:oMathPara>
        <m:oMath>
          <m:sSub>
            <m:sSubPr/>
            <m:e>
              <m:r>
                <m:rPr/>
                <m:t>D</m:t>
              </m:r>
            </m:e>
            <m:sub>
              <m:r>
                <m:rPr>
                  <m:sty m:val="p"/>
                </m:rPr>
                <m:t>FKL</m:t>
              </m:r>
            </m:sub>
          </m:sSub>
          <m:d>
            <m:dPr>
              <m:sepChr m:val=","/>
            </m:dPr>
            <m:e>
              <m:sSub>
                <m:sSubPr/>
                <m:e>
                  <m:r>
                    <m:rPr/>
                    <m:t>p</m:t>
                  </m:r>
                </m:e>
                <m:sub>
                  <m:r>
                    <m:rPr/>
                    <m:t>T</m:t>
                  </m:r>
                </m:sub>
              </m:sSub>
              <m:r>
                <m:rPr/>
                <m:t>∥</m:t>
              </m:r>
              <m:sSub>
                <m:sSubPr/>
                <m:e>
                  <m:r>
                    <m:rPr/>
                    <m:t>p</m:t>
                  </m:r>
                </m:e>
                <m:sub>
                  <m:r>
                    <m:rPr/>
                    <m:t>S</m:t>
                  </m:r>
                </m:sub>
              </m:sSub>
            </m:e>
          </m:d>
          <m:r>
            <m:rPr/>
            <m:t>=</m:t>
          </m:r>
          <m:nary>
            <m:naryPr>
              <m:chr m:val="∑"/>
              <m:grow m:val="1"/>
              <m:limLoc m:val="subSup"/>
              <m:supHide m:val="1"/>
            </m:naryPr>
            <m:sub>
              <m:r>
                <m:rPr/>
                <m:t>v∈</m:t>
              </m:r>
              <m:r>
                <m:rPr>
                  <m:scr m:val="script"/>
                </m:rPr>
                <m:t>V</m:t>
              </m:r>
            </m:sub>
            <m:sup/>
            <m:e>
              <m:sSub>
                <m:sSubPr/>
                <m:e>
                  <m:r>
                    <m:rPr/>
                    <m:t>p</m:t>
                  </m:r>
                </m:e>
                <m:sub>
                  <m:r>
                    <m:rPr/>
                    <m:t>T</m:t>
                  </m:r>
                </m:sub>
              </m:sSub>
              <m:d>
                <m:dPr>
                  <m:sepChr m:val=","/>
                </m:dPr>
                <m:e>
                  <m:r>
                    <m:rPr/>
                    <m:t>v</m:t>
                  </m:r>
                </m:e>
              </m:d>
            </m:e>
          </m:nary>
          <m:r>
            <m:rPr>
              <m:sty m:val="p"/>
            </m:rPr>
            <m:t>log</m:t>
          </m:r>
          <m:d>
            <m:dPr>
              <m:sepChr m:val=","/>
            </m:dPr>
            <m:e>
              <m:f>
                <m:fPr/>
                <m:num>
                  <m:sSub>
                    <m:sSubPr/>
                    <m:e>
                      <m:r>
                        <m:rPr/>
                        <m:t>p</m:t>
                      </m:r>
                    </m:e>
                    <m:sub>
                      <m:r>
                        <m:rPr/>
                        <m:t>T</m:t>
                      </m:r>
                    </m:sub>
                  </m:sSub>
                  <m:d>
                    <m:dPr>
                      <m:sepChr m:val=","/>
                    </m:dPr>
                    <m:e>
                      <m:r>
                        <m:rPr/>
                        <m:t>v</m:t>
                      </m:r>
                    </m:e>
                  </m:d>
                </m:num>
                <m:den>
                  <m:sSub>
                    <m:sSubPr/>
                    <m:e>
                      <m:r>
                        <m:rPr/>
                        <m:t>p</m:t>
                      </m:r>
                    </m:e>
                    <m:sub>
                      <m:r>
                        <m:rPr/>
                        <m:t>S</m:t>
                      </m:r>
                    </m:sub>
                  </m:sSub>
                  <m:d>
                    <m:dPr>
                      <m:sepChr m:val=","/>
                    </m:dPr>
                    <m:e>
                      <m:r>
                        <m:rPr/>
                        <m:t>v</m:t>
                      </m:r>
                    </m:e>
                  </m:d>
                </m:den>
              </m:f>
            </m:e>
          </m:d>
        </m:oMath>
      </m:oMathPara>
    </w:p>
    <w:p w14:paraId="7FC2B2E2">
      <w:pPr>
        <w:jc w:val="center"/>
      </w:pPr>
      <m:oMathPara>
        <m:oMath>
          <m:sSub>
            <m:sSubPr/>
            <m:e>
              <m:r>
                <m:rPr/>
                <m:t>D</m:t>
              </m:r>
            </m:e>
            <m:sub>
              <m:r>
                <m:rPr>
                  <m:sty m:val="p"/>
                </m:rPr>
                <m:t>RKL</m:t>
              </m:r>
            </m:sub>
          </m:sSub>
          <m:d>
            <m:dPr>
              <m:sepChr m:val=","/>
            </m:dPr>
            <m:e>
              <m:sSub>
                <m:sSubPr/>
                <m:e>
                  <m:r>
                    <m:rPr/>
                    <m:t>p</m:t>
                  </m:r>
                </m:e>
                <m:sub>
                  <m:r>
                    <m:rPr/>
                    <m:t>S</m:t>
                  </m:r>
                </m:sub>
              </m:sSub>
              <m:r>
                <m:rPr/>
                <m:t>∥</m:t>
              </m:r>
              <m:sSub>
                <m:sSubPr/>
                <m:e>
                  <m:r>
                    <m:rPr/>
                    <m:t>p</m:t>
                  </m:r>
                </m:e>
                <m:sub>
                  <m:r>
                    <m:rPr/>
                    <m:t>T</m:t>
                  </m:r>
                </m:sub>
              </m:sSub>
            </m:e>
          </m:d>
          <m:r>
            <m:rPr/>
            <m:t>=</m:t>
          </m:r>
          <m:nary>
            <m:naryPr>
              <m:chr m:val="∑"/>
              <m:grow m:val="1"/>
              <m:limLoc m:val="subSup"/>
              <m:supHide m:val="1"/>
            </m:naryPr>
            <m:sub>
              <m:r>
                <m:rPr/>
                <m:t>v∈</m:t>
              </m:r>
              <m:r>
                <m:rPr>
                  <m:scr m:val="script"/>
                </m:rPr>
                <m:t>V</m:t>
              </m:r>
            </m:sub>
            <m:sup/>
            <m:e>
              <m:sSub>
                <m:sSubPr/>
                <m:e>
                  <m:r>
                    <m:rPr/>
                    <m:t>p</m:t>
                  </m:r>
                </m:e>
                <m:sub>
                  <m:r>
                    <m:rPr/>
                    <m:t>S</m:t>
                  </m:r>
                </m:sub>
              </m:sSub>
              <m:d>
                <m:dPr>
                  <m:sepChr m:val=","/>
                </m:dPr>
                <m:e>
                  <m:r>
                    <m:rPr/>
                    <m:t>v</m:t>
                  </m:r>
                </m:e>
              </m:d>
            </m:e>
          </m:nary>
          <m:r>
            <m:rPr>
              <m:sty m:val="p"/>
            </m:rPr>
            <m:t>log</m:t>
          </m:r>
          <m:d>
            <m:dPr>
              <m:sepChr m:val=","/>
            </m:dPr>
            <m:e>
              <m:f>
                <m:fPr/>
                <m:num>
                  <m:sSub>
                    <m:sSubPr/>
                    <m:e>
                      <m:r>
                        <m:rPr/>
                        <m:t>p</m:t>
                      </m:r>
                    </m:e>
                    <m:sub>
                      <m:r>
                        <m:rPr/>
                        <m:t>S</m:t>
                      </m:r>
                    </m:sub>
                  </m:sSub>
                  <m:d>
                    <m:dPr>
                      <m:sepChr m:val=","/>
                    </m:dPr>
                    <m:e>
                      <m:r>
                        <m:rPr/>
                        <m:t>v</m:t>
                      </m:r>
                    </m:e>
                  </m:d>
                </m:num>
                <m:den>
                  <m:sSub>
                    <m:sSubPr/>
                    <m:e>
                      <m:r>
                        <m:rPr/>
                        <m:t>p</m:t>
                      </m:r>
                    </m:e>
                    <m:sub>
                      <m:r>
                        <m:rPr/>
                        <m:t>T</m:t>
                      </m:r>
                    </m:sub>
                  </m:sSub>
                  <m:d>
                    <m:dPr>
                      <m:sepChr m:val=","/>
                    </m:dPr>
                    <m:e>
                      <m:r>
                        <m:rPr/>
                        <m:t>v</m:t>
                      </m:r>
                    </m:e>
                  </m:d>
                </m:den>
              </m:f>
            </m:e>
          </m:d>
        </m:oMath>
      </m:oMathPara>
    </w:p>
    <w:p w14:paraId="491E25B6">
      <w:pPr>
        <w:ind w:firstLine="420"/>
        <w:jc w:val="both"/>
      </w:pPr>
      <w:r>
        <w:t>Forward KL 以教师概率加权，倾向于要求学生覆盖教师分布中的多个高质量区域；Reverse KL 以学生概率加权，更关注学生自身可能生成的区域。文献常用 mode-covering 和 mode-seeking 概括两者的倾向，但这只是解释生成行为的启发式描述，实际训练结果还取决于模型容量、温度、采样策略和支持集[7][8]。</w:t>
      </w:r>
    </w:p>
    <w:p w14:paraId="5283D502">
      <w:pPr>
        <w:ind w:firstLine="420"/>
        <w:jc w:val="both"/>
      </w:pPr>
      <w:r>
        <w:t>广义散度可在不同的分布匹配偏好之间进行调节。Jensen-Shannon 散度由教师分布、学生分布及其混合分布定义，形式如下[18]：</w:t>
      </w:r>
    </w:p>
    <w:p w14:paraId="588A8F94">
      <w:pPr>
        <w:ind w:firstLine="0"/>
        <w:jc w:val="center"/>
      </w:pPr>
      <m:oMathPara>
        <m:oMath>
          <m:r>
            <m:rPr/>
            <m:t>m=</m:t>
          </m:r>
          <m:f>
            <m:fPr/>
            <m:num>
              <m:sSub>
                <m:sSubPr/>
                <m:e>
                  <m:r>
                    <m:rPr/>
                    <m:t>p</m:t>
                  </m:r>
                </m:e>
                <m:sub>
                  <m:r>
                    <m:rPr/>
                    <m:t>T</m:t>
                  </m:r>
                </m:sub>
              </m:sSub>
              <m:r>
                <m:rPr/>
                <m:t>+</m:t>
              </m:r>
              <m:sSub>
                <m:sSubPr/>
                <m:e>
                  <m:r>
                    <m:rPr/>
                    <m:t>p</m:t>
                  </m:r>
                </m:e>
                <m:sub>
                  <m:r>
                    <m:rPr/>
                    <m:t>S</m:t>
                  </m:r>
                </m:sub>
              </m:sSub>
            </m:num>
            <m:den>
              <m:r>
                <m:rPr/>
                <m:t>2</m:t>
              </m:r>
            </m:den>
          </m:f>
          <m:r>
            <m:rPr/>
            <m:t>,</m:t>
          </m:r>
          <m:sSub>
            <m:sSubPr/>
            <m:e>
              <m:r>
                <m:rPr/>
                <m:t>D</m:t>
              </m:r>
            </m:e>
            <m:sub>
              <m:r>
                <m:rPr>
                  <m:sty m:val="p"/>
                </m:rPr>
                <m:t>JS</m:t>
              </m:r>
            </m:sub>
          </m:sSub>
          <m:d>
            <m:dPr>
              <m:sepChr m:val=","/>
            </m:dPr>
            <m:e>
              <m:sSub>
                <m:sSubPr/>
                <m:e>
                  <m:r>
                    <m:rPr/>
                    <m:t>p</m:t>
                  </m:r>
                </m:e>
                <m:sub>
                  <m:r>
                    <m:rPr/>
                    <m:t>T</m:t>
                  </m:r>
                </m:sub>
              </m:sSub>
              <m:r>
                <m:rPr/>
                <m:t>,</m:t>
              </m:r>
              <m:sSub>
                <m:sSubPr/>
                <m:e>
                  <m:r>
                    <m:rPr/>
                    <m:t>p</m:t>
                  </m:r>
                </m:e>
                <m:sub>
                  <m:r>
                    <m:rPr/>
                    <m:t>S</m:t>
                  </m:r>
                </m:sub>
              </m:sSub>
            </m:e>
          </m:d>
          <m:r>
            <m:rPr/>
            <m:t>=</m:t>
          </m:r>
          <m:f>
            <m:fPr/>
            <m:num>
              <m:r>
                <m:rPr/>
                <m:t>1</m:t>
              </m:r>
            </m:num>
            <m:den>
              <m:r>
                <m:rPr/>
                <m:t>2</m:t>
              </m:r>
            </m:den>
          </m:f>
          <m:sSub>
            <m:sSubPr/>
            <m:e>
              <m:r>
                <m:rPr/>
                <m:t>D</m:t>
              </m:r>
            </m:e>
            <m:sub>
              <m:r>
                <m:rPr>
                  <m:sty m:val="p"/>
                </m:rPr>
                <m:t>KL</m:t>
              </m:r>
            </m:sub>
          </m:sSub>
          <m:d>
            <m:dPr>
              <m:sepChr m:val=","/>
            </m:dPr>
            <m:e>
              <m:sSub>
                <m:sSubPr/>
                <m:e>
                  <m:r>
                    <m:rPr/>
                    <m:t>p</m:t>
                  </m:r>
                </m:e>
                <m:sub>
                  <m:r>
                    <m:rPr/>
                    <m:t>T</m:t>
                  </m:r>
                </m:sub>
              </m:sSub>
              <m:r>
                <m:rPr/>
                <m:t>∥m</m:t>
              </m:r>
            </m:e>
          </m:d>
          <m:r>
            <m:rPr/>
            <m:t>+</m:t>
          </m:r>
          <m:f>
            <m:fPr/>
            <m:num>
              <m:r>
                <m:rPr/>
                <m:t>1</m:t>
              </m:r>
            </m:num>
            <m:den>
              <m:r>
                <m:rPr/>
                <m:t>2</m:t>
              </m:r>
            </m:den>
          </m:f>
          <m:sSub>
            <m:sSubPr/>
            <m:e>
              <m:r>
                <m:rPr/>
                <m:t>D</m:t>
              </m:r>
            </m:e>
            <m:sub>
              <m:r>
                <m:rPr>
                  <m:sty m:val="p"/>
                </m:rPr>
                <m:t>KL</m:t>
              </m:r>
            </m:sub>
          </m:sSub>
          <m:d>
            <m:dPr>
              <m:sepChr m:val=","/>
            </m:dPr>
            <m:e>
              <m:sSub>
                <m:sSubPr/>
                <m:e>
                  <m:r>
                    <m:rPr/>
                    <m:t>p</m:t>
                  </m:r>
                </m:e>
                <m:sub>
                  <m:r>
                    <m:rPr/>
                    <m:t>S</m:t>
                  </m:r>
                </m:sub>
              </m:sSub>
              <m:r>
                <m:rPr/>
                <m:t>∥m</m:t>
              </m:r>
            </m:e>
          </m:d>
        </m:oMath>
      </m:oMathPara>
    </w:p>
    <w:p w14:paraId="38927FB6">
      <w:pPr>
        <w:ind w:firstLine="420"/>
        <w:jc w:val="both"/>
      </w:pPr>
      <w:r>
        <w:t>本文选取 JSD、skew KL 等代表性目标，比较它们在教师分布覆盖、学生高概率区域和训练稳定性方面的差异。实验配置将完整记录目标函数、混合参数、支持集以及 K1 估计方式。</w:t>
      </w:r>
    </w:p>
    <w:p w14:paraId="13AF46E7">
      <w:pPr>
        <w:ind w:firstLine="420"/>
        <w:jc w:val="both"/>
      </w:pPr>
      <w:r>
        <w:t>散度方向在 Function Calling 中可能对应不同的生成行为。面对同一用户请求，教师可能为多个函数或不同参数表达赋予合理概率；Forward KL 更强调覆盖这些候选区域，Reverse KL 更关注学生已经形成的高概率选择，广义散度则在二者之间调节。实验将从工具选择、参数生成、格式正确性和拒答行为四个方面分析这种差异。</w:t>
      </w:r>
    </w:p>
    <w:p w14:paraId="59F60855">
      <w:pPr>
        <w:ind w:firstLine="420"/>
        <w:jc w:val="both"/>
      </w:pPr>
      <w:r>
        <w:t>教师信息的保留范围和估计方式会改变实际优化的对象。全词表方案保留有效位置上的完整教师分布；Top-K 方案仅保留指定支持集中的高概率信息，并明确截断后的重归一化与支持集外概率处理；K1 sampled-token 则用单个采样 token 估计相应期望。比较时将同时记录信息覆盖范围、教师前向次数、学生生成量、训练资源与任务指标。</w:t>
      </w:r>
    </w:p>
    <w:p w14:paraId="58810188">
      <w:pPr>
        <w:spacing w:before="0" w:after="0" w:line="360" w:lineRule="auto"/>
        <w:ind w:firstLine="420"/>
        <w:jc w:val="both"/>
      </w:pPr>
      <w:r>
        <w:rPr>
          <w:rFonts w:ascii="Times New Roman" w:hAnsi="Times New Roman" w:eastAsia="宋体"/>
          <w:sz w:val="24"/>
        </w:rPr>
        <w:t>从分布几何看，只要教师对某个 token 赋予不可忽略的概率，Forward KL 就会对学生过低的概率施加较大惩罚，因此具有覆盖倾向；Reverse KL 更强调学生当前支持集中的概率质量，更新容易集中到少数高概率模式。前者有利于保留教师分布中次优但合理的候选，后者在学生容量有限时可能更符合“优先学会最可能答案”的资源分配方式[8][10]。不过，温度、序列长度、有效 token mask 和支持集截断方式都会影响这种差异，不能只根据损失名称推断最终表现。</w:t>
      </w:r>
    </w:p>
    <w:p w14:paraId="63D91097">
      <w:pPr>
        <w:spacing w:before="0" w:after="0" w:line="360" w:lineRule="auto"/>
        <w:ind w:firstLine="420"/>
        <w:jc w:val="both"/>
      </w:pPr>
      <w:r>
        <w:rPr>
          <w:rFonts w:ascii="Times New Roman" w:hAnsi="Times New Roman" w:eastAsia="宋体"/>
          <w:sz w:val="24"/>
        </w:rPr>
        <w:t>广义散度为两种倾向提供了连续的折中空间。GKD 用可调散度族统一若干常见目标[7]，DistiLLM 通过 skew KL 调节分布覆盖与模式选择[9]，HPD 则从师生异构性出发讨论样本级或阶段级适配[14]。对小模型而言，散度选择还与数值实现紧密相关：Top-K 截断后的重归一化、教师概率下界、混合精度下的 log-sum-exp 和序列 mask 都会改变梯度尺度。本文将散度定义、支持集协议和稳定化实现一并记录，使实验结论能够追溯到具体计算过程。</w:t>
      </w:r>
    </w:p>
    <w:p w14:paraId="423F288F">
      <w:pPr>
        <w:pStyle w:val="3"/>
      </w:pPr>
      <w:bookmarkStart w:id="11" w:name="_Toc935009277"/>
      <w:r>
        <w:rPr>
          <w:rFonts w:ascii="黑体" w:hAnsi="黑体" w:eastAsia="黑体" w:cs="黑体"/>
          <w:b/>
          <w:color w:val="000000"/>
          <w:sz w:val="24"/>
        </w:rPr>
        <w:t>2.4 监督信息粒度与资源效率</w:t>
      </w:r>
      <w:bookmarkEnd w:id="11"/>
    </w:p>
    <w:p w14:paraId="4D88B3D8">
      <w:pPr>
        <w:ind w:firstLine="420"/>
        <w:jc w:val="both"/>
      </w:pPr>
      <w:r>
        <w:t>全词表监督在每个位置保留完整的教师分布，信息最充分，但词表维度也带来较高的计算、显存和传输开销。Top-K 只保留指定支持集中的高概率 token，需要明确 K 值、支持集来源、截断后的归一化方式和支持集外概率处理。K1 sampled-token 则对分布目标进行单样本估计。相关 OPD 研究为分析信息覆盖与训练稳定性提供了参考[11][13]，本文将在统一任务中比较三种方案的效果和成本。</w:t>
      </w:r>
    </w:p>
    <w:p w14:paraId="4D26498B">
      <w:pPr>
        <w:ind w:firstLine="420"/>
        <w:jc w:val="both"/>
      </w:pPr>
      <w:r>
        <w:t>Qwen3 技术报告提供了所用模型家族的背景信息[16]。LoRA 通过低秩增量减少需要更新的参数量[19]，为小模型后训练提供了参数高效的实现路径。量化适配会额外引入量化精度和反量化开销等变量，因此不纳入主要比较。</w:t>
      </w:r>
    </w:p>
    <w:p w14:paraId="7BE9DE7C">
      <w:pPr>
        <w:spacing w:before="0" w:after="0" w:line="360" w:lineRule="auto"/>
        <w:ind w:firstLine="420"/>
        <w:jc w:val="both"/>
      </w:pPr>
      <w:r>
        <w:rPr>
          <w:rFonts w:ascii="Times New Roman" w:hAnsi="Times New Roman" w:eastAsia="宋体"/>
          <w:sz w:val="24"/>
        </w:rPr>
        <w:t>监督信息粒度同时决定教师知识的表达能力和计算成本。全词表分布能够保留长尾 token 之间的相对关系，但需要传输或即时计算大量 logits；Top-K 显著降低存储与通信压力，却引入支持集选择和尾部概率质量处理问题；K1 sampled-token 把监督进一步压缩为单样本估计，开销最低，但梯度方差、proposal 分布和随机种子会直接影响稳定性。现有研究表明，教师信息量与最终性能并非简单的线性关系；学生到访状态是否有效，以及有限预算是否用于高价值 token，同样会影响结果[11][13]。</w:t>
      </w:r>
    </w:p>
    <w:p w14:paraId="3028239A">
      <w:pPr>
        <w:spacing w:before="0" w:after="0" w:line="360" w:lineRule="auto"/>
        <w:ind w:firstLine="420"/>
        <w:jc w:val="both"/>
      </w:pPr>
      <w:r>
        <w:rPr>
          <w:rFonts w:ascii="Times New Roman" w:hAnsi="Times New Roman" w:eastAsia="宋体"/>
          <w:sz w:val="24"/>
        </w:rPr>
        <w:t>参数高效微调使本科阶段开展受控实验成为可能。LoRA 通过低秩增量限制可训练参数规模[19]，在本文中用于统一学生侧的更新接口，并不替代蒸馏方法本身。教师前向、学生 rollout、损失计算和 LoRA 反向传播仍是主要成本，因此除任务指标外，还需记录单步耗时、峰值显存、有效 token 吞吐和教师调用量，以判断稀疏监督节省的资源是否抵得上可能的性能损失。</w:t>
      </w:r>
    </w:p>
    <w:p w14:paraId="2ED621A1">
      <w:pPr>
        <w:pStyle w:val="3"/>
      </w:pPr>
      <w:bookmarkStart w:id="12" w:name="_Toc1563073440"/>
      <w:r>
        <w:rPr>
          <w:rFonts w:ascii="黑体" w:hAnsi="黑体" w:eastAsia="黑体" w:cs="黑体"/>
          <w:b/>
          <w:color w:val="000000"/>
          <w:sz w:val="24"/>
        </w:rPr>
        <w:t>2.5 Function Calling 数据与评测研究</w:t>
      </w:r>
      <w:bookmarkEnd w:id="12"/>
    </w:p>
    <w:p w14:paraId="2320FC66">
      <w:pPr>
        <w:ind w:firstLine="420"/>
        <w:jc w:val="both"/>
      </w:pPr>
      <w:r>
        <w:t>ReAct 将语言模型的推理过程与外部行动交替组织，为工具增强模型提供了通用范式[21]。围绕 Function Calling，现有研究又形成了从 API 文档理解、函数检索和调用规划到执行评测的多条路线：Gorilla/APIBench 关注 API 文档与调用正确性[22]；API-Bank 覆盖工具规划、API 检索和调用[23]；ToolLLM/ToolBench 构造了大量与真实 API 相关的任务，并讨论多工具与多步调用[24]；APIGen 强调可执行 API、格式检查和语义验证[25]；ToolACE 则利用 API 池和多层检查生成多样化的函数调用数据[26]。</w:t>
      </w:r>
    </w:p>
    <w:p w14:paraId="41ED9722">
      <w:pPr>
        <w:ind w:firstLine="420"/>
        <w:jc w:val="both"/>
      </w:pPr>
      <w:r>
        <w:t>本文将从公开 Function Calling 数据中筛选训练样本。APIGen、ToolACE、API-Bank 和 ToolBench 可为数据来源选择、任务分类和评测设计提供参考。数据准备阶段将记录数据快照、许可证、字段映射、过滤规则、重复样本处理方式，以及与独立测试集的重叠检查结果。</w:t>
      </w:r>
    </w:p>
    <w:p w14:paraId="651AE3DD">
      <w:pPr>
        <w:ind w:firstLine="420"/>
        <w:jc w:val="both"/>
      </w:pPr>
      <w:r>
        <w:t>公开数据进入训练流程前，需要通过结构、语义和执行三类检查。结构检查关注工具 schema、函数名、参数类型和目标调用能否统一解析；语义检查判断用户问题与目标工具、目标参数是否一致；执行检查验证调用能否在本地模拟环境中运行，并产生可供后续对话使用的结果。APIGen 和 ToolACE 的多层检查方法为这一审计流程提供了参考[25][26]。</w:t>
      </w:r>
    </w:p>
    <w:p w14:paraId="034FA389">
      <w:pPr>
        <w:ind w:firstLine="420"/>
        <w:jc w:val="both"/>
      </w:pPr>
      <w:r>
        <w:t>训练集与测试集还应避免工具 schema、用户问题模板和目标调用的重复。如果训练数据与 BFCL 或其他独立测试集共享相同的 API 定义，模型表现可能来自记忆而非泛化；即使工具名称不同，只要参数结构高度相似，也应在分析中说明潜在泄漏。最终的数据审计报告将保存字段统计、异常类别、去重规则和版本指纹。</w:t>
      </w:r>
    </w:p>
    <w:p w14:paraId="6145C566">
      <w:pPr>
        <w:ind w:firstLine="420"/>
        <w:jc w:val="both"/>
      </w:pPr>
      <w:r>
        <w:t>BFCL 覆盖结构化调用、并行调用、串行调用和拒答等场景[27]。本文将结合公开 Function Calling 测试规范与自建模拟函数，分别评估格式合法率、函数选择准确率、参数准确率、调用执行成功率和端到端任务成功率。</w:t>
      </w:r>
    </w:p>
    <w:p w14:paraId="0C0F1F38">
      <w:pPr>
        <w:spacing w:before="0" w:after="0" w:line="360" w:lineRule="auto"/>
        <w:ind w:firstLine="420"/>
        <w:jc w:val="both"/>
      </w:pPr>
      <w:r>
        <w:rPr>
          <w:rFonts w:ascii="Times New Roman" w:hAnsi="Times New Roman" w:eastAsia="宋体"/>
          <w:sz w:val="24"/>
        </w:rPr>
        <w:t>Function Calling 数据经历了从少量人工接口描述到大规模合成、执行校验和难例生成的发展。Gorilla 关注 API 检索与调用生成[22]；API-Bank 与 ToolLLM/ToolBench 将多工具、多轮交互和工具学习过程纳入数据构造[23][24]；APIGen 强调可验证的数据生成流程[25]；ToolACE 进一步扩展了工具类型和调用模式[26]。这些数据集在 schema 形式、参数约束、对话模板和可执行性上并不完全一致，直接拼接容易把模板差异误判为模型能力差异。因此，字段映射、去重、可解析性检查和 schema 一致性审计是方法比较的必要前提。</w:t>
      </w:r>
    </w:p>
    <w:p w14:paraId="44C1FF56">
      <w:pPr>
        <w:spacing w:before="0" w:after="0" w:line="360" w:lineRule="auto"/>
        <w:ind w:firstLine="420"/>
        <w:jc w:val="both"/>
      </w:pPr>
      <w:r>
        <w:rPr>
          <w:rFonts w:ascii="Times New Roman" w:hAnsi="Times New Roman" w:eastAsia="宋体"/>
          <w:sz w:val="24"/>
        </w:rPr>
        <w:t>在评测方面，Berkeley Function Calling Leaderboard 通过真实与合成场景检验函数选择、参数生成及多轮调用能力，为统一测试提供了较成熟的任务划分[27]。但总体准确率会掩盖具体错误来源：模型可能选错函数、遗漏必需参数、生成无法解析的 JSON，或在无需调用时过度调用。本文将在统一解码协议下分层统计结构合法率、函数选择正确率、参数级正确性和端到端成功率，并把训练效率、推理吞吐与显存占用纳入分析。这样既能对应公开评测，也能解释不同蒸馏目标和监督粒度产生差异的原因。</w:t>
      </w:r>
    </w:p>
    <w:p w14:paraId="58E976CF">
      <w:pPr>
        <w:spacing w:before="0" w:after="0" w:line="360" w:lineRule="auto"/>
        <w:ind w:firstLine="420"/>
        <w:jc w:val="both"/>
      </w:pPr>
      <w:r>
        <w:rPr>
          <w:rFonts w:ascii="Times New Roman" w:hAnsi="Times New Roman" w:eastAsia="宋体"/>
          <w:sz w:val="24"/>
        </w:rPr>
        <w:t>总体来看，现有研究已经形成从学生状态采样、教师分布监督到参数高效更新的完整技术链条，但不同工作常同时改变模型规模、数据来源、散度目标和教师信息预算，结果难以直接横向比较。本文将固定 Qwen3-4B 教师、Qwen3-0.6B 学生和公开 Function Calling 数据，围绕 Forward KL、Reverse KL、广义散度，以及全词表、Top-K、K1 三类监督方式开展受控比较。研究目标是系统复现并分离这些方法变量，而不预设尚未得到实验支持的结论。</w:t>
      </w:r>
    </w:p>
    <w:p w14:paraId="779437DC">
      <w:pPr>
        <w:pStyle w:val="2"/>
      </w:pPr>
      <w:bookmarkStart w:id="13" w:name="_Toc407852329"/>
      <w:r>
        <w:rPr>
          <w:rFonts w:ascii="黑体" w:hAnsi="黑体" w:eastAsia="黑体" w:cs="黑体"/>
          <w:b/>
          <w:color w:val="000000"/>
          <w:sz w:val="28"/>
        </w:rPr>
        <w:t>3．主要研究内容</w:t>
      </w:r>
      <w:bookmarkEnd w:id="13"/>
    </w:p>
    <w:p w14:paraId="7167A508">
      <w:pPr>
        <w:pStyle w:val="3"/>
      </w:pPr>
      <w:bookmarkStart w:id="14" w:name="_Toc6292279"/>
      <w:r>
        <w:rPr>
          <w:rFonts w:ascii="黑体" w:hAnsi="黑体" w:eastAsia="黑体" w:cs="黑体"/>
          <w:b/>
          <w:color w:val="000000"/>
          <w:sz w:val="24"/>
        </w:rPr>
        <w:t>3.1 统一的在线策略蒸馏研究流程</w:t>
      </w:r>
      <w:bookmarkEnd w:id="14"/>
    </w:p>
    <w:p w14:paraId="12EADE85">
      <w:pPr>
        <w:ind w:firstLine="420"/>
        <w:jc w:val="both"/>
      </w:pPr>
      <w:r>
        <w:t>研究流程以学生自主生成的 Function Calling 轨迹为中心：学生模型在当前 LoRA 参数下生成函数调用或自然语言响应，冻结的教师模型在学生访问的前缀上提供 token 级分布反馈，学生再依据指定散度和监督信息粒度更新 LoRA。各方案共用数据、模型模板、训练预算和评测规则，并记录学生轨迹、教师反馈、损失状态与资源占用。该流程参考 GKD、MiniLLM 对学生状态和教师反馈的讨论，以及 Thinking Machines Lab 技术文章给出的工程实现[7][8][10]。</w:t>
      </w:r>
    </w:p>
    <w:p w14:paraId="3EBAB668">
      <w:pPr>
        <w:pStyle w:val="3"/>
      </w:pPr>
      <w:bookmarkStart w:id="15" w:name="_Toc527634450"/>
      <w:r>
        <w:rPr>
          <w:rFonts w:ascii="黑体" w:hAnsi="黑体" w:eastAsia="黑体" w:cs="黑体"/>
          <w:b/>
          <w:color w:val="000000"/>
          <w:sz w:val="24"/>
        </w:rPr>
        <w:t>3.2 三类散度目标</w:t>
      </w:r>
      <w:bookmarkEnd w:id="15"/>
    </w:p>
    <w:p w14:paraId="673FAEE9">
      <w:pPr>
        <w:ind w:firstLine="420"/>
        <w:jc w:val="both"/>
      </w:pPr>
      <w:r>
        <w:t>第一项研究内容是比较 Forward KL、Reverse KL 和代表性广义散度。Forward KL 用于考察教师分布的覆盖，Reverse KL 用于考察学生生成区域与教师分布的匹配，广义散度则用于调节两种偏好。所有目标共用输入、mask、支持集定义和数值精度设置。</w:t>
      </w:r>
    </w:p>
    <w:p w14:paraId="60FC92F0">
      <w:pPr>
        <w:pStyle w:val="3"/>
      </w:pPr>
      <w:bookmarkStart w:id="16" w:name="_Toc992222687"/>
      <w:r>
        <w:rPr>
          <w:rFonts w:ascii="黑体" w:hAnsi="黑体" w:eastAsia="黑体" w:cs="黑体"/>
          <w:b/>
          <w:color w:val="000000"/>
          <w:sz w:val="24"/>
        </w:rPr>
        <w:t>3.3 三种监督信息粒度/估计方式</w:t>
      </w:r>
      <w:bookmarkEnd w:id="16"/>
    </w:p>
    <w:p w14:paraId="4F2557E3">
      <w:pPr>
        <w:ind w:firstLine="420"/>
        <w:jc w:val="both"/>
      </w:pPr>
      <w:r>
        <w:t>第二项研究内容是统一比较三种监督信息粒度或估计方式：</w:t>
      </w:r>
    </w:p>
    <w:p w14:paraId="640A89EA">
      <w:pPr>
        <w:pStyle w:val="17"/>
        <w:ind w:firstLine="420"/>
        <w:jc w:val="left"/>
      </w:pPr>
      <w:r>
        <w:rPr>
          <w:b/>
        </w:rPr>
        <w:t>• 全词表：使用教师的完整词表分布，作为信息保留最充分的参照。</w:t>
      </w:r>
    </w:p>
    <w:p w14:paraId="4EFC209D">
      <w:pPr>
        <w:pStyle w:val="17"/>
        <w:ind w:firstLine="420"/>
        <w:jc w:val="left"/>
      </w:pPr>
      <w:r>
        <w:rPr>
          <w:b/>
        </w:rPr>
        <w:t>• Top-K：只保留指定支持集内的教师高概率 token，考察压缩反馈后的效果与资源变化。</w:t>
      </w:r>
    </w:p>
    <w:p w14:paraId="1B3DFD7F">
      <w:pPr>
        <w:pStyle w:val="17"/>
        <w:ind w:firstLine="420"/>
        <w:jc w:val="left"/>
      </w:pPr>
      <w:r>
        <w:t>• K1 sampled-token：从教师分布中采样一个 token，以单样本方式估计相应期望，并分析估计方差；该方法与 Top-1 argmax 硬标签监督分别记录。</w:t>
      </w:r>
    </w:p>
    <w:p w14:paraId="3A0B4D9F">
      <w:pPr>
        <w:ind w:firstLine="420"/>
        <w:jc w:val="both"/>
      </w:pPr>
      <w:r>
        <w:t>Top-K 实验统一规定支持集构造、归一化和支持集外概率处理；K1 实验统一规定 proposal、梯度估计和随机种子管理。比较内容包括 Function Calling 的格式、函数选择、参数与执行结果，以及训练稳定性和资源开销。</w:t>
      </w:r>
    </w:p>
    <w:p w14:paraId="205E7875">
      <w:pPr>
        <w:pStyle w:val="3"/>
      </w:pPr>
      <w:bookmarkStart w:id="17" w:name="_Toc1076181454"/>
      <w:r>
        <w:rPr>
          <w:rFonts w:ascii="黑体" w:hAnsi="黑体" w:eastAsia="黑体" w:cs="黑体"/>
          <w:b/>
          <w:color w:val="000000"/>
          <w:sz w:val="24"/>
        </w:rPr>
        <w:t>3.4 LoRA 后训练与教师—学生关系</w:t>
      </w:r>
      <w:bookmarkEnd w:id="17"/>
    </w:p>
    <w:p w14:paraId="29B0CF71">
      <w:pPr>
        <w:ind w:firstLine="420"/>
        <w:jc w:val="both"/>
      </w:pPr>
      <w:r>
        <w:t>LoRA 将基座权重的更新表示为低秩增量[19]：</w:t>
      </w:r>
    </w:p>
    <w:p w14:paraId="339B91BA">
      <w:pPr>
        <w:ind w:firstLine="0"/>
        <w:jc w:val="center"/>
      </w:pPr>
      <m:oMathPara>
        <m:oMath>
          <m:r>
            <m:rPr/>
            <m:t>W=</m:t>
          </m:r>
          <m:sSub>
            <m:sSubPr/>
            <m:e>
              <m:r>
                <m:rPr/>
                <m:t>W</m:t>
              </m:r>
            </m:e>
            <m:sub>
              <m:r>
                <m:rPr/>
                <m:t>0</m:t>
              </m:r>
            </m:sub>
          </m:sSub>
          <m:r>
            <m:rPr/>
            <m:t>+</m:t>
          </m:r>
          <m:r>
            <m:rPr>
              <m:sty m:val="p"/>
            </m:rPr>
            <m:t>ΔW</m:t>
          </m:r>
          <m:r>
            <m:rPr/>
            <m:t>=</m:t>
          </m:r>
          <m:sSub>
            <m:sSubPr/>
            <m:e>
              <m:r>
                <m:rPr/>
                <m:t>W</m:t>
              </m:r>
            </m:e>
            <m:sub>
              <m:r>
                <m:rPr/>
                <m:t>0</m:t>
              </m:r>
            </m:sub>
          </m:sSub>
          <m:r>
            <m:rPr/>
            <m:t>+</m:t>
          </m:r>
          <m:f>
            <m:fPr/>
            <m:num>
              <m:r>
                <m:rPr/>
                <m:t>α</m:t>
              </m:r>
            </m:num>
            <m:den>
              <m:r>
                <m:rPr/>
                <m:t>r</m:t>
              </m:r>
            </m:den>
          </m:f>
          <m:r>
            <m:rPr>
              <m:sty m:val="p"/>
            </m:rPr>
            <m:t>BA</m:t>
          </m:r>
        </m:oMath>
      </m:oMathPara>
    </w:p>
    <w:p w14:paraId="15620CF4">
      <w:pPr>
        <w:ind w:firstLine="420"/>
        <w:jc w:val="both"/>
      </w:pPr>
      <w:r>
        <w:t>学生模型采用 LoRA 进行后训练。各对照组统一设置插入位置、秩、缩放系数、学习率、序列长度和可训练参数范围。训练前检查 Qwen3-0.6B 与 Qwen3-4B 的 tokenizer、特殊 token 和 Function Calling 模板，建立一致的编码、对齐与输出解析流程。</w:t>
      </w:r>
    </w:p>
    <w:p w14:paraId="4B847B83">
      <w:pPr>
        <w:ind w:firstLine="420"/>
        <w:jc w:val="both"/>
      </w:pPr>
      <w:r>
        <w:t>LoRA 用于控制可训练参数规模，使各蒸馏方案从同一学生基座出发。实验将分别记录 adapter 的保存、加载和合并方式，以及部署后端的加载配置，以区分训练参数变化与服务加载方式带来的影响。</w:t>
      </w:r>
    </w:p>
    <w:p w14:paraId="5A4303B3">
      <w:pPr>
        <w:pStyle w:val="3"/>
      </w:pPr>
      <w:bookmarkStart w:id="18" w:name="_Toc1274422344"/>
      <w:r>
        <w:rPr>
          <w:rFonts w:ascii="黑体" w:hAnsi="黑体" w:eastAsia="黑体" w:cs="黑体"/>
          <w:b/>
          <w:color w:val="000000"/>
          <w:sz w:val="24"/>
        </w:rPr>
        <w:t>3.5 Function Calling 评测与推理性能分析</w:t>
      </w:r>
      <w:bookmarkEnd w:id="18"/>
    </w:p>
    <w:p w14:paraId="4EAA3AD5">
      <w:pPr>
        <w:ind w:firstLine="420"/>
        <w:jc w:val="both"/>
      </w:pPr>
      <w:r>
        <w:t>离线评测按层次记录格式解析、函数名、参数键值、schema 合法性、单步调用执行和端到端任务完成情况，并对语义等价的参数表达进行规范化。代表性 checkpoint 将通过 vLLM 或自建测试程序加载，在统一输入、函数 schema、采样设置和评测规则下测量任务指标、推理吞吐、首 token 延迟、完整响应延迟与显存占用。vLLM 的 PagedAttention 为推理性能分析提供了技术基础[20]。</w:t>
      </w:r>
    </w:p>
    <w:p w14:paraId="1FCC2348">
      <w:pPr>
        <w:pStyle w:val="3"/>
      </w:pPr>
      <w:bookmarkStart w:id="19" w:name="_Toc214440430"/>
      <w:r>
        <w:rPr>
          <w:rFonts w:ascii="黑体" w:hAnsi="黑体" w:eastAsia="黑体" w:cs="黑体"/>
          <w:b/>
          <w:color w:val="000000"/>
          <w:sz w:val="24"/>
        </w:rPr>
        <w:t>3.6 研究问题</w:t>
      </w:r>
      <w:bookmarkEnd w:id="19"/>
    </w:p>
    <w:p w14:paraId="22062AA4">
      <w:pPr>
        <w:ind w:firstLine="420"/>
        <w:jc w:val="both"/>
      </w:pPr>
      <w:r>
        <w:t>研究将围绕以下问题展开：</w:t>
      </w:r>
    </w:p>
    <w:p w14:paraId="4CBECB2D">
      <w:pPr>
        <w:pStyle w:val="17"/>
        <w:ind w:firstLine="420"/>
        <w:jc w:val="left"/>
      </w:pPr>
      <w:r>
        <w:t>1. 在 Qwen3 Function Calling 任务中，三类散度是否会产生可解释的工具选择、参数生成或格式差异？</w:t>
      </w:r>
    </w:p>
    <w:p w14:paraId="1B0E1F7E">
      <w:pPr>
        <w:pStyle w:val="17"/>
        <w:ind w:firstLine="420"/>
        <w:jc w:val="left"/>
      </w:pPr>
      <w:r>
        <w:t>2. 全词表、Top-K 和 K1 如何在效果、稳定性与教师反馈开销之间取舍？</w:t>
      </w:r>
    </w:p>
    <w:p w14:paraId="0D13CECE">
      <w:pPr>
        <w:pStyle w:val="17"/>
        <w:ind w:firstLine="420"/>
        <w:jc w:val="left"/>
      </w:pPr>
      <w:r>
        <w:t>3. 支持集外 token、前缀偏移、熵变化和格式错误能否解释 Top-K/K1 的主要失败模式？</w:t>
      </w:r>
    </w:p>
    <w:p w14:paraId="7665B72E">
      <w:pPr>
        <w:pStyle w:val="17"/>
        <w:ind w:firstLine="420"/>
        <w:jc w:val="left"/>
      </w:pPr>
      <w:r>
        <w:t>4. 不同蒸馏目标在任务正确率、训练效率和推理性能上的变化趋势是否一致？</w:t>
      </w:r>
    </w:p>
    <w:p w14:paraId="68D892AB">
      <w:pPr>
        <w:ind w:firstLine="420"/>
        <w:jc w:val="both"/>
      </w:pPr>
      <w:r>
        <w:t>这些问题将贯穿实验设计、结果分析和论文讨论。</w:t>
      </w:r>
    </w:p>
    <w:p w14:paraId="45BFC255">
      <w:pPr>
        <w:pStyle w:val="3"/>
      </w:pPr>
      <w:bookmarkStart w:id="20" w:name="_Toc622747344"/>
      <w:r>
        <w:rPr>
          <w:rFonts w:ascii="黑体" w:hAnsi="黑体" w:eastAsia="黑体" w:cs="黑体"/>
          <w:b/>
          <w:color w:val="000000"/>
          <w:sz w:val="24"/>
        </w:rPr>
        <w:t>3.7 各研究内容之间的关系</w:t>
      </w:r>
      <w:bookmarkEnd w:id="20"/>
    </w:p>
    <w:p w14:paraId="7D3140CD">
      <w:pPr>
        <w:ind w:firstLine="420"/>
        <w:jc w:val="both"/>
      </w:pPr>
      <w:r>
        <w:t>各项研究内容依次衔接：数据与模板首先确定学生生成轨迹的任务接口；学生轨迹和教师前缀反馈共同决定 OPD 的状态分布；散度方向和监督信息粒度进一步决定教师信息如何转化为学生更新；最后，任务指标、训练资源与推理性能用于评价不同方法。结果分析将结合中间分布、训练稳定性、资源消耗和最终调用成功率解释实验现象。</w:t>
      </w:r>
    </w:p>
    <w:p w14:paraId="2017B723">
      <w:pPr>
        <w:ind w:firstLine="420"/>
        <w:jc w:val="both"/>
      </w:pPr>
      <w:r>
        <w:t>性能分析分为训练与推理两个阶段。训练阶段记录学生 rollout、教师前向和 LoRA 更新的耗时、吞吐、显存占用及数值稳定性；推理阶段在 vLLM 或自建测试程序中固定输入、函数 schema、采样参数和数值精度，测量任务正确率、吞吐和延迟。</w:t>
      </w:r>
    </w:p>
    <w:p w14:paraId="575D3309">
      <w:pPr>
        <w:pStyle w:val="2"/>
      </w:pPr>
      <w:bookmarkStart w:id="21" w:name="_Toc1826798777"/>
      <w:r>
        <w:rPr>
          <w:rFonts w:ascii="黑体" w:hAnsi="黑体" w:eastAsia="黑体" w:cs="黑体"/>
          <w:b/>
          <w:color w:val="000000"/>
          <w:sz w:val="28"/>
        </w:rPr>
        <w:t>4．研究方案</w:t>
      </w:r>
      <w:bookmarkEnd w:id="21"/>
    </w:p>
    <w:p w14:paraId="1076D32B">
      <w:pPr>
        <w:pStyle w:val="3"/>
      </w:pPr>
      <w:bookmarkStart w:id="22" w:name="_Toc433343880"/>
      <w:r>
        <w:rPr>
          <w:rFonts w:ascii="黑体" w:hAnsi="黑体" w:eastAsia="黑体" w:cs="黑体"/>
          <w:b/>
          <w:color w:val="000000"/>
          <w:sz w:val="24"/>
        </w:rPr>
        <w:t>4.1 总体技术路线</w:t>
      </w:r>
      <w:bookmarkEnd w:id="22"/>
    </w:p>
    <w:p w14:paraId="7703D721">
      <w:pPr>
        <w:spacing w:before="0" w:after="0" w:line="360" w:lineRule="auto"/>
        <w:ind w:firstLine="420"/>
        <w:jc w:val="both"/>
      </w:pPr>
      <w:r>
        <w:rPr>
          <w:rFonts w:ascii="Times New Roman" w:hAnsi="Times New Roman" w:eastAsia="宋体"/>
          <w:sz w:val="24"/>
        </w:rPr>
        <w:t xml:space="preserve">研究总体技术路线如图 </w:t>
      </w:r>
      <w:r>
        <w:rPr>
          <w:rFonts w:ascii="Times New Roman" w:hAnsi="Times New Roman" w:eastAsia="宋体"/>
          <w:sz w:val="24"/>
        </w:rPr>
        <w:fldChar w:fldCharType="begin"/>
      </w:r>
      <w:r>
        <w:rPr>
          <w:rFonts w:ascii="Times New Roman" w:hAnsi="Times New Roman" w:eastAsia="宋体"/>
          <w:sz w:val="24"/>
        </w:rPr>
        <w:instrText xml:space="preserve"> REF _RefFigure1 \h </w:instrText>
      </w:r>
      <w:r>
        <w:rPr>
          <w:rFonts w:ascii="Times New Roman" w:hAnsi="Times New Roman" w:eastAsia="宋体"/>
          <w:sz w:val="24"/>
        </w:rPr>
        <w:fldChar w:fldCharType="separate"/>
      </w:r>
      <w:r>
        <w:rPr>
          <w:rFonts w:ascii="Times New Roman" w:hAnsi="Times New Roman" w:eastAsia="宋体"/>
          <w:sz w:val="24"/>
        </w:rPr>
        <w:t>1</w:t>
      </w:r>
      <w:r>
        <w:rPr>
          <w:rFonts w:ascii="Times New Roman" w:hAnsi="Times New Roman" w:eastAsia="宋体"/>
          <w:sz w:val="24"/>
        </w:rPr>
        <w:fldChar w:fldCharType="end"/>
      </w:r>
      <w:r>
        <w:rPr>
          <w:rFonts w:ascii="Times New Roman" w:hAnsi="Times New Roman" w:eastAsia="宋体"/>
          <w:sz w:val="24"/>
        </w:rPr>
        <w:t xml:space="preserve"> 所示。</w:t>
      </w:r>
    </w:p>
    <w:p w14:paraId="01318956">
      <w:pPr>
        <w:ind w:firstLine="420"/>
        <w:jc w:val="both"/>
      </w:pPr>
      <w:r>
        <w:t>总体技术路线包括模型与数据准备、SFT 基线、在线策略蒸馏、统一评测和结果分析。每项实验均记录模型与数据版本、损失定义、支持集协议、训练参数和评测脚本。</w:t>
      </w:r>
    </w:p>
    <w:p w14:paraId="7804E4EE">
      <w:pPr>
        <w:ind w:firstLine="420"/>
        <w:jc w:val="both"/>
      </w:pPr>
      <w:r>
        <w:t>每项实验关联四类信息：研究定义，包括散度、监督粒度、支持集和 mask；数据定义，包括来源、版本、划分和过滤规则；模型定义，包括学生、教师、LoRA 与模板；运行定义，包括随机种子、计算资源、依赖和执行命令。这些信息共同构成复现实验和解释结果的依据。</w:t>
      </w:r>
    </w:p>
    <w:p w14:paraId="1914937F">
      <w:pPr>
        <w:ind w:firstLine="0"/>
        <w:jc w:val="center"/>
      </w:pPr>
      <w:r>
        <w:drawing>
          <wp:inline distT="0" distB="0" distL="114300" distR="114300">
            <wp:extent cx="5806440" cy="2177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806440" cy="2177415"/>
                    </a:xfrm>
                    <a:prstGeom prst="rect">
                      <a:avLst/>
                    </a:prstGeom>
                  </pic:spPr>
                </pic:pic>
              </a:graphicData>
            </a:graphic>
          </wp:inline>
        </w:drawing>
      </w:r>
    </w:p>
    <w:p w14:paraId="6E3282B4">
      <w:pPr>
        <w:spacing w:before="0" w:after="120" w:line="240" w:lineRule="auto"/>
        <w:ind w:firstLine="0"/>
        <w:jc w:val="center"/>
      </w:pPr>
      <w:r>
        <w:rPr>
          <w:rFonts w:ascii="Times New Roman" w:hAnsi="Times New Roman" w:eastAsia="宋体"/>
          <w:sz w:val="21"/>
        </w:rPr>
        <w:t xml:space="preserve">图 </w:t>
      </w:r>
      <w:bookmarkStart w:id="23" w:name="_RefFigure1"/>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1</w:t>
      </w:r>
      <w:r>
        <w:rPr>
          <w:rFonts w:ascii="Times New Roman" w:hAnsi="Times New Roman" w:eastAsia="宋体"/>
          <w:sz w:val="21"/>
        </w:rPr>
        <w:fldChar w:fldCharType="end"/>
      </w:r>
      <w:bookmarkEnd w:id="23"/>
      <w:r>
        <w:rPr>
          <w:rFonts w:ascii="Times New Roman" w:hAnsi="Times New Roman" w:eastAsia="宋体"/>
          <w:sz w:val="21"/>
        </w:rPr>
        <w:t xml:space="preserve">  研究总体技术路线</w:t>
      </w:r>
    </w:p>
    <w:p w14:paraId="51D0960D">
      <w:pPr>
        <w:pStyle w:val="3"/>
      </w:pPr>
      <w:bookmarkStart w:id="24" w:name="_Toc1093544183"/>
      <w:r>
        <w:rPr>
          <w:rFonts w:ascii="黑体" w:hAnsi="黑体" w:eastAsia="黑体" w:cs="黑体"/>
          <w:b/>
          <w:color w:val="000000"/>
          <w:sz w:val="24"/>
        </w:rPr>
        <w:t>4.2 模型和数据准备</w:t>
      </w:r>
      <w:bookmarkEnd w:id="24"/>
    </w:p>
    <w:p w14:paraId="51F515C2">
      <w:pPr>
        <w:ind w:firstLine="420"/>
        <w:jc w:val="both"/>
      </w:pPr>
      <w:r>
        <w:t>模型方面，选用 Qwen3-0.6B 作为学生、Qwen3-4B 作为教师。教师参数保持冻结，学生仅更新 LoRA 参数。训练前检查师生 tokenizer 的词表、特殊 token、消息模板和函数调用格式，并通过回环测试验证编码、解码与 token 对齐。模型家族信息以 Qwen3 技术报告为依据[16]。</w:t>
      </w:r>
    </w:p>
    <w:p w14:paraId="33260523">
      <w:pPr>
        <w:ind w:firstLine="420"/>
        <w:jc w:val="both"/>
      </w:pPr>
      <w:r>
        <w:t>数据方面，核验公开 Function Calling 数据的来源、许可证、字段含义和版本，再把实际字段转换为统一的用户消息、工具 schema、调用响应与工具结果表示。训练集、验证集和测试集按照来源与模板隔离，并记录划分比例、子集范围和去重规则。API-Bank、ToolLLM/ToolBench、APIGen 和 ToolACE 为数据选择与构造提供参考[23][24][25][26]。</w:t>
      </w:r>
    </w:p>
    <w:p w14:paraId="1EA2CC71">
      <w:pPr>
        <w:ind w:firstLine="420"/>
        <w:jc w:val="both"/>
      </w:pPr>
      <w:r>
        <w:t>数据审计重点处理三类异常：schema 语法错误、参数标签与用户意图不一致，以及工具返回缺失或格式不统一。评测器保留原始样本、规范化样本和失败原因，并对自动检查结果进行抽样复核。</w:t>
      </w:r>
    </w:p>
    <w:p w14:paraId="681BB8C6">
      <w:pPr>
        <w:pStyle w:val="3"/>
      </w:pPr>
      <w:bookmarkStart w:id="25" w:name="_Toc1032032655"/>
      <w:r>
        <w:rPr>
          <w:rFonts w:ascii="黑体" w:hAnsi="黑体" w:eastAsia="黑体" w:cs="黑体"/>
          <w:b/>
          <w:color w:val="000000"/>
          <w:sz w:val="24"/>
        </w:rPr>
        <w:t>4.3 学生 rollout 和教师反馈</w:t>
      </w:r>
      <w:bookmarkEnd w:id="25"/>
    </w:p>
    <w:p w14:paraId="343B3713">
      <w:pPr>
        <w:spacing w:before="0" w:after="0" w:line="360" w:lineRule="auto"/>
        <w:ind w:firstLine="420"/>
        <w:jc w:val="both"/>
      </w:pPr>
      <w:r>
        <w:rPr>
          <w:rFonts w:ascii="Times New Roman" w:hAnsi="Times New Roman" w:eastAsia="宋体"/>
          <w:sz w:val="24"/>
        </w:rPr>
        <w:t xml:space="preserve">在线策略蒸馏的训练、反馈与评测关系如图 </w:t>
      </w:r>
      <w:r>
        <w:rPr>
          <w:rFonts w:ascii="Times New Roman" w:hAnsi="Times New Roman" w:eastAsia="宋体"/>
          <w:sz w:val="24"/>
        </w:rPr>
        <w:fldChar w:fldCharType="begin"/>
      </w:r>
      <w:r>
        <w:rPr>
          <w:rFonts w:ascii="Times New Roman" w:hAnsi="Times New Roman" w:eastAsia="宋体"/>
          <w:sz w:val="24"/>
        </w:rPr>
        <w:instrText xml:space="preserve"> REF _RefFigure2 \h </w:instrText>
      </w:r>
      <w:r>
        <w:rPr>
          <w:rFonts w:ascii="Times New Roman" w:hAnsi="Times New Roman" w:eastAsia="宋体"/>
          <w:sz w:val="24"/>
        </w:rPr>
        <w:fldChar w:fldCharType="separate"/>
      </w:r>
      <w:r>
        <w:rPr>
          <w:rFonts w:ascii="Times New Roman" w:hAnsi="Times New Roman" w:eastAsia="宋体"/>
          <w:sz w:val="24"/>
        </w:rPr>
        <w:t>2</w:t>
      </w:r>
      <w:r>
        <w:rPr>
          <w:rFonts w:ascii="Times New Roman" w:hAnsi="Times New Roman" w:eastAsia="宋体"/>
          <w:sz w:val="24"/>
        </w:rPr>
        <w:fldChar w:fldCharType="end"/>
      </w:r>
      <w:r>
        <w:rPr>
          <w:rFonts w:ascii="Times New Roman" w:hAnsi="Times New Roman" w:eastAsia="宋体"/>
          <w:sz w:val="24"/>
        </w:rPr>
        <w:t xml:space="preserve"> 所示。</w:t>
      </w:r>
    </w:p>
    <w:p w14:paraId="03869395">
      <w:pPr>
        <w:ind w:firstLine="420"/>
        <w:jc w:val="both"/>
      </w:pPr>
      <w:r>
        <w:t>学生 rollout 的温度、停止条件、最大生成长度、非法格式处理和重试规则均作为控制变量写入配置；所有比较组使用相同的采样与后处理协议。</w:t>
      </w:r>
    </w:p>
    <w:p w14:paraId="38107A53">
      <w:pPr>
        <w:ind w:firstLine="420"/>
        <w:jc w:val="both"/>
      </w:pPr>
      <w:r>
        <w:t>教师模型在学生访问的前缀上提供完整分布或局部 token 信息，学生模型依据相同前缀计算蒸馏目标，教师参数始终冻结。全词表、Top-K 和 K1 只改变教师信息的保留或估计方式，数据划分、rollout 条件和总训练预算保持不变。</w:t>
      </w:r>
    </w:p>
    <w:p w14:paraId="34612BD4">
      <w:pPr>
        <w:keepNext/>
        <w:spacing w:before="80" w:after="80" w:line="240" w:lineRule="auto"/>
        <w:ind w:left="0" w:right="0" w:firstLine="0"/>
        <w:jc w:val="center"/>
      </w:pPr>
      <w:r>
        <w:rPr>
          <w:rFonts w:ascii="Times New Roman" w:hAnsi="Times New Roman" w:eastAsia="Songti SC"/>
          <w:sz w:val="21"/>
        </w:rPr>
        <w:t xml:space="preserve">表 </w:t>
      </w:r>
      <w:bookmarkStart w:id="26" w:name="_RefTable4_1"/>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26"/>
      <w:r>
        <w:rPr>
          <w:rFonts w:ascii="Times New Roman" w:hAnsi="Times New Roman" w:eastAsia="Songti SC"/>
          <w:sz w:val="21"/>
        </w:rPr>
        <w:t xml:space="preserve">  在线策略蒸馏各环节的统一与记录要求</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16"/>
        <w:gridCol w:w="2996"/>
        <w:gridCol w:w="2810"/>
      </w:tblGrid>
      <w:tr w14:paraId="50064079">
        <w:trPr>
          <w:tblHeader/>
        </w:trPr>
        <w:tc>
          <w:tcPr>
            <w:tcW w:w="4148" w:type="dxa"/>
          </w:tcPr>
          <w:p w14:paraId="0C49D226">
            <w:pPr>
              <w:ind w:firstLine="0"/>
              <w:jc w:val="left"/>
            </w:pPr>
            <w:r>
              <w:rPr>
                <w:b/>
              </w:rPr>
              <w:t>环节</w:t>
            </w:r>
          </w:p>
        </w:tc>
        <w:tc>
          <w:tcPr>
            <w:tcW w:w="4148" w:type="dxa"/>
          </w:tcPr>
          <w:p w14:paraId="336AD755">
            <w:pPr>
              <w:ind w:firstLine="0"/>
              <w:jc w:val="left"/>
            </w:pPr>
            <w:r>
              <w:rPr>
                <w:b/>
              </w:rPr>
              <w:t>需要统一的对象</w:t>
            </w:r>
          </w:p>
        </w:tc>
        <w:tc>
          <w:tcPr>
            <w:tcW w:w="4148" w:type="dxa"/>
          </w:tcPr>
          <w:p w14:paraId="31867045">
            <w:pPr>
              <w:ind w:firstLine="0"/>
              <w:jc w:val="left"/>
            </w:pPr>
            <w:r>
              <w:rPr>
                <w:b/>
              </w:rPr>
              <w:t>需要单独记录的内容</w:t>
            </w:r>
          </w:p>
        </w:tc>
      </w:tr>
      <w:tr w14:paraId="01332DD2">
        <w:tc>
          <w:tcPr>
            <w:tcW w:w="4148" w:type="dxa"/>
          </w:tcPr>
          <w:p w14:paraId="09B52528">
            <w:pPr>
              <w:ind w:firstLine="0"/>
              <w:jc w:val="left"/>
            </w:pPr>
            <w:r>
              <w:t>学生生成</w:t>
            </w:r>
          </w:p>
        </w:tc>
        <w:tc>
          <w:tcPr>
            <w:tcW w:w="4148" w:type="dxa"/>
          </w:tcPr>
          <w:p w14:paraId="3826A6F6">
            <w:pPr>
              <w:ind w:firstLine="0"/>
              <w:jc w:val="left"/>
            </w:pPr>
            <w:r>
              <w:t>输入消息、工具 schema、停止条件和采样规则</w:t>
            </w:r>
          </w:p>
        </w:tc>
        <w:tc>
          <w:tcPr>
            <w:tcW w:w="4148" w:type="dxa"/>
          </w:tcPr>
          <w:p w14:paraId="354CD563">
            <w:pPr>
              <w:ind w:firstLine="0"/>
              <w:jc w:val="left"/>
            </w:pPr>
            <w:r>
              <w:t>生成长度、结束原因、格式解析状态</w:t>
            </w:r>
          </w:p>
        </w:tc>
      </w:tr>
      <w:tr w14:paraId="66AC128B">
        <w:tc>
          <w:tcPr>
            <w:tcW w:w="4148" w:type="dxa"/>
          </w:tcPr>
          <w:p w14:paraId="3B8D2172">
            <w:pPr>
              <w:ind w:firstLine="0"/>
              <w:jc w:val="left"/>
            </w:pPr>
            <w:r>
              <w:t>教师反馈</w:t>
            </w:r>
          </w:p>
        </w:tc>
        <w:tc>
          <w:tcPr>
            <w:tcW w:w="4148" w:type="dxa"/>
          </w:tcPr>
          <w:p w14:paraId="446F33C3">
            <w:pPr>
              <w:ind w:firstLine="0"/>
              <w:jc w:val="left"/>
            </w:pPr>
            <w:r>
              <w:t>学生前缀、教师模型与 token 对齐关系</w:t>
            </w:r>
          </w:p>
        </w:tc>
        <w:tc>
          <w:tcPr>
            <w:tcW w:w="4148" w:type="dxa"/>
          </w:tcPr>
          <w:p w14:paraId="35BEDF60">
            <w:pPr>
              <w:ind w:firstLine="0"/>
              <w:jc w:val="left"/>
            </w:pPr>
            <w:r>
              <w:t>反馈粒度、支持集和教师计算量</w:t>
            </w:r>
          </w:p>
        </w:tc>
      </w:tr>
      <w:tr w14:paraId="2B2B9D61">
        <w:tc>
          <w:tcPr>
            <w:tcW w:w="4148" w:type="dxa"/>
          </w:tcPr>
          <w:p w14:paraId="39CF59A9">
            <w:pPr>
              <w:ind w:firstLine="0"/>
              <w:jc w:val="left"/>
            </w:pPr>
            <w:r>
              <w:t>学生更新</w:t>
            </w:r>
          </w:p>
        </w:tc>
        <w:tc>
          <w:tcPr>
            <w:tcW w:w="4148" w:type="dxa"/>
          </w:tcPr>
          <w:p w14:paraId="254427D2">
            <w:pPr>
              <w:ind w:firstLine="0"/>
              <w:jc w:val="left"/>
            </w:pPr>
            <w:r>
              <w:t>学生 logits、LoRA 参数和 mask</w:t>
            </w:r>
          </w:p>
        </w:tc>
        <w:tc>
          <w:tcPr>
            <w:tcW w:w="4148" w:type="dxa"/>
          </w:tcPr>
          <w:p w14:paraId="5442D8FD">
            <w:pPr>
              <w:ind w:firstLine="0"/>
              <w:jc w:val="left"/>
            </w:pPr>
            <w:r>
              <w:t>散度设置、梯度处理和异常损失</w:t>
            </w:r>
          </w:p>
        </w:tc>
      </w:tr>
      <w:tr w14:paraId="736CFA89">
        <w:tc>
          <w:tcPr>
            <w:tcW w:w="4148" w:type="dxa"/>
          </w:tcPr>
          <w:p w14:paraId="44613D10">
            <w:pPr>
              <w:ind w:firstLine="0"/>
              <w:jc w:val="left"/>
            </w:pPr>
            <w:r>
              <w:t>最终评测</w:t>
            </w:r>
          </w:p>
        </w:tc>
        <w:tc>
          <w:tcPr>
            <w:tcW w:w="4148" w:type="dxa"/>
          </w:tcPr>
          <w:p w14:paraId="14EEC403">
            <w:pPr>
              <w:ind w:firstLine="0"/>
              <w:jc w:val="left"/>
            </w:pPr>
            <w:r>
              <w:t>输入、工具和解析规则</w:t>
            </w:r>
          </w:p>
        </w:tc>
        <w:tc>
          <w:tcPr>
            <w:tcW w:w="4148" w:type="dxa"/>
          </w:tcPr>
          <w:p w14:paraId="1D018489">
            <w:pPr>
              <w:ind w:firstLine="0"/>
              <w:jc w:val="left"/>
            </w:pPr>
            <w:r>
              <w:t>函数、参数、执行及端到端调用结果</w:t>
            </w:r>
          </w:p>
        </w:tc>
      </w:tr>
    </w:tbl>
    <w:p w14:paraId="1A4B1F6D">
      <w:pPr>
        <w:ind w:firstLine="420"/>
        <w:jc w:val="both"/>
      </w:pPr>
      <w:r>
        <w:t>所有方法共用数据读取、学生 rollout、教师评分和指标记录接口，使不同对照组仅在目标函数或监督信息粒度上有所区别。</w:t>
      </w:r>
    </w:p>
    <w:p w14:paraId="06023151">
      <w:pPr>
        <w:ind w:firstLine="0"/>
        <w:jc w:val="center"/>
      </w:pPr>
      <w:r>
        <w:drawing>
          <wp:inline distT="0" distB="0" distL="114300" distR="114300">
            <wp:extent cx="5669280" cy="2881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669280" cy="2881884"/>
                    </a:xfrm>
                    <a:prstGeom prst="rect">
                      <a:avLst/>
                    </a:prstGeom>
                  </pic:spPr>
                </pic:pic>
              </a:graphicData>
            </a:graphic>
          </wp:inline>
        </w:drawing>
      </w:r>
    </w:p>
    <w:p w14:paraId="35FC3DD0">
      <w:pPr>
        <w:spacing w:before="0" w:after="120" w:line="240" w:lineRule="auto"/>
        <w:ind w:firstLine="0"/>
        <w:jc w:val="center"/>
      </w:pPr>
      <w:r>
        <w:rPr>
          <w:rFonts w:ascii="Times New Roman" w:hAnsi="Times New Roman" w:eastAsia="宋体"/>
          <w:sz w:val="21"/>
        </w:rPr>
        <w:t xml:space="preserve">图 </w:t>
      </w:r>
      <w:bookmarkStart w:id="27" w:name="_RefFigure2"/>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2</w:t>
      </w:r>
      <w:r>
        <w:rPr>
          <w:rFonts w:ascii="Times New Roman" w:hAnsi="Times New Roman" w:eastAsia="宋体"/>
          <w:sz w:val="21"/>
        </w:rPr>
        <w:fldChar w:fldCharType="end"/>
      </w:r>
      <w:bookmarkEnd w:id="27"/>
      <w:r>
        <w:rPr>
          <w:rFonts w:ascii="Times New Roman" w:hAnsi="Times New Roman" w:eastAsia="宋体"/>
          <w:sz w:val="21"/>
        </w:rPr>
        <w:t xml:space="preserve">  在线策略蒸馏训练与性能评测流程</w:t>
      </w:r>
    </w:p>
    <w:p w14:paraId="5E2DE293">
      <w:pPr>
        <w:pStyle w:val="3"/>
      </w:pPr>
      <w:bookmarkStart w:id="28" w:name="_Toc147415766"/>
      <w:r>
        <w:rPr>
          <w:rFonts w:ascii="黑体" w:hAnsi="黑体" w:eastAsia="黑体" w:cs="黑体"/>
          <w:b/>
          <w:color w:val="000000"/>
          <w:sz w:val="24"/>
        </w:rPr>
        <w:t>4.4 损失与监督信息粒度/估计方式的定义原则</w:t>
      </w:r>
      <w:bookmarkEnd w:id="28"/>
    </w:p>
    <w:p w14:paraId="01830904">
      <w:pPr>
        <w:ind w:firstLine="420"/>
        <w:jc w:val="both"/>
      </w:pPr>
      <w:r>
        <w:t>在全词表和 Top-K 方案中，令 p_T 与 p_S 分别表示教师和学生在有效位置上的概率分布，通用的 token 级目标可写为：</w:t>
      </w:r>
    </w:p>
    <w:p w14:paraId="33555737">
      <w:pPr>
        <w:ind w:firstLine="0"/>
        <w:jc w:val="center"/>
      </w:pPr>
      <m:oMathPara>
        <m:oMath>
          <m:sSub>
            <m:sSubPr/>
            <m:e>
              <m:r>
                <m:rPr/>
                <m:t>ℒ</m:t>
              </m:r>
            </m:e>
            <m:sub>
              <m:r>
                <m:rPr>
                  <m:sty m:val="p"/>
                </m:rPr>
                <m:t>distill</m:t>
              </m:r>
            </m:sub>
          </m:sSub>
          <m:r>
            <m:rPr/>
            <m:t>=</m:t>
          </m:r>
          <m:f>
            <m:fPr/>
            <m:num>
              <m:nary>
                <m:naryPr>
                  <m:chr m:val="∑"/>
                  <m:grow m:val="1"/>
                  <m:limLoc m:val="subSup"/>
                  <m:supHide m:val="1"/>
                </m:naryPr>
                <m:sub>
                  <m:r>
                    <m:rPr/>
                    <m:t>b,t</m:t>
                  </m:r>
                </m:sub>
                <m:sup/>
                <m:e>
                  <m:sSub>
                    <m:sSubPr/>
                    <m:e>
                      <m:r>
                        <m:rPr/>
                        <m:t>m</m:t>
                      </m:r>
                    </m:e>
                    <m:sub>
                      <m:r>
                        <m:rPr/>
                        <m:t>b,t</m:t>
                      </m:r>
                    </m:sub>
                  </m:sSub>
                  <m:r>
                    <m:rPr/>
                    <m:t>D</m:t>
                  </m:r>
                  <m:d>
                    <m:dPr>
                      <m:sepChr m:val=","/>
                    </m:dPr>
                    <m:e>
                      <m:sSub>
                        <m:sSubPr/>
                        <m:e>
                          <m:r>
                            <m:rPr/>
                            <m:t>p</m:t>
                          </m:r>
                        </m:e>
                        <m:sub>
                          <m:r>
                            <m:rPr/>
                            <m:t>T</m:t>
                          </m:r>
                        </m:sub>
                      </m:sSub>
                      <m:d>
                        <m:dPr>
                          <m:sepChr m:val=","/>
                        </m:dPr>
                        <m:e>
                          <m:r>
                            <m:rPr/>
                            <m:t>·∣</m:t>
                          </m:r>
                          <m:sSub>
                            <m:sSubPr/>
                            <m:e>
                              <m:r>
                                <m:rPr/>
                                <m:t>x</m:t>
                              </m:r>
                            </m:e>
                            <m:sub>
                              <m:r>
                                <m:rPr/>
                                <m:t>b</m:t>
                              </m:r>
                            </m:sub>
                          </m:sSub>
                          <m:r>
                            <m:rPr/>
                            <m:t>,</m:t>
                          </m:r>
                          <m:sSub>
                            <m:sSubPr/>
                            <m:e>
                              <m:r>
                                <m:rPr/>
                                <m:t>y</m:t>
                              </m:r>
                            </m:e>
                            <m:sub>
                              <m:r>
                                <m:rPr/>
                                <m:t>b,&lt;t</m:t>
                              </m:r>
                            </m:sub>
                          </m:sSub>
                        </m:e>
                      </m:d>
                      <m:r>
                        <m:rPr/>
                        <m:t>∥</m:t>
                      </m:r>
                      <m:sSub>
                        <m:sSubPr/>
                        <m:e>
                          <m:r>
                            <m:rPr/>
                            <m:t>p</m:t>
                          </m:r>
                        </m:e>
                        <m:sub>
                          <m:r>
                            <m:rPr/>
                            <m:t>S</m:t>
                          </m:r>
                        </m:sub>
                      </m:sSub>
                      <m:d>
                        <m:dPr>
                          <m:sepChr m:val=","/>
                        </m:dPr>
                        <m:e>
                          <m:r>
                            <m:rPr/>
                            <m:t>·∣</m:t>
                          </m:r>
                          <m:sSub>
                            <m:sSubPr/>
                            <m:e>
                              <m:r>
                                <m:rPr/>
                                <m:t>x</m:t>
                              </m:r>
                            </m:e>
                            <m:sub>
                              <m:r>
                                <m:rPr/>
                                <m:t>b</m:t>
                              </m:r>
                            </m:sub>
                          </m:sSub>
                          <m:r>
                            <m:rPr/>
                            <m:t>,</m:t>
                          </m:r>
                          <m:sSub>
                            <m:sSubPr/>
                            <m:e>
                              <m:r>
                                <m:rPr/>
                                <m:t>y</m:t>
                              </m:r>
                            </m:e>
                            <m:sub>
                              <m:r>
                                <m:rPr/>
                                <m:t>b,&lt;t</m:t>
                              </m:r>
                            </m:sub>
                          </m:sSub>
                        </m:e>
                      </m:d>
                    </m:e>
                  </m:d>
                </m:e>
              </m:nary>
            </m:num>
            <m:den>
              <m:nary>
                <m:naryPr>
                  <m:chr m:val="∑"/>
                  <m:grow m:val="1"/>
                  <m:limLoc m:val="subSup"/>
                  <m:supHide m:val="1"/>
                </m:naryPr>
                <m:sub>
                  <m:r>
                    <m:rPr/>
                    <m:t>b,t</m:t>
                  </m:r>
                </m:sub>
                <m:sup/>
                <m:e>
                  <m:sSub>
                    <m:sSubPr/>
                    <m:e>
                      <m:r>
                        <m:rPr/>
                        <m:t>m</m:t>
                      </m:r>
                    </m:e>
                    <m:sub>
                      <m:r>
                        <m:rPr/>
                        <m:t>b,t</m:t>
                      </m:r>
                    </m:sub>
                  </m:sSub>
                  <m:r>
                    <m:rPr/>
                    <m:t>+ε</m:t>
                  </m:r>
                </m:e>
              </m:nary>
            </m:den>
          </m:f>
        </m:oMath>
      </m:oMathPara>
    </w:p>
    <w:p w14:paraId="6E53B4B0">
      <w:pPr>
        <w:ind w:firstLine="420"/>
        <w:jc w:val="both"/>
      </w:pPr>
      <w:r>
        <w:t>其中，m 表示由消息边界、工具边界和响应位置共同确定的有效 token mask。概率计算采用 log-sum-exp、概率下界和混合精度控制，避免出现数值溢出。K1 sampled-token 使用单独定义的采样估计器，并记录随机种子和估计方差。</w:t>
      </w:r>
    </w:p>
    <w:p w14:paraId="32BF1A8F">
      <w:pPr>
        <w:ind w:firstLine="420"/>
        <w:jc w:val="both"/>
      </w:pPr>
      <w:r>
        <w:t>监督信息粒度与散度目标的实验矩阵如下：</w:t>
      </w:r>
    </w:p>
    <w:p w14:paraId="706F3CCD">
      <w:pPr>
        <w:keepNext/>
        <w:spacing w:before="80" w:after="80" w:line="240" w:lineRule="auto"/>
        <w:ind w:left="0" w:right="0" w:firstLine="0"/>
        <w:jc w:val="center"/>
      </w:pPr>
      <w:r>
        <w:rPr>
          <w:rFonts w:ascii="Times New Roman" w:hAnsi="Times New Roman" w:eastAsia="Songti SC"/>
          <w:sz w:val="21"/>
        </w:rPr>
        <w:t xml:space="preserve">表 </w:t>
      </w:r>
      <w:bookmarkStart w:id="29" w:name="_RefTable4_2"/>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2</w:t>
      </w:r>
      <w:r>
        <w:rPr>
          <w:rFonts w:ascii="Times New Roman" w:hAnsi="Times New Roman" w:eastAsia="Songti SC"/>
          <w:sz w:val="21"/>
        </w:rPr>
        <w:fldChar w:fldCharType="end"/>
      </w:r>
      <w:bookmarkEnd w:id="29"/>
      <w:r>
        <w:rPr>
          <w:rFonts w:ascii="Times New Roman" w:hAnsi="Times New Roman" w:eastAsia="Songti SC"/>
          <w:sz w:val="21"/>
        </w:rPr>
        <w:t xml:space="preserve">  散度目标与监督信息粒度比较矩阵</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8"/>
        <w:gridCol w:w="1761"/>
        <w:gridCol w:w="1730"/>
        <w:gridCol w:w="1604"/>
        <w:gridCol w:w="1369"/>
      </w:tblGrid>
      <w:tr w14:paraId="15E61120">
        <w:trPr>
          <w:tblHeader/>
          <w:jc w:val="center"/>
        </w:trPr>
        <w:tc>
          <w:tcPr>
            <w:tcW w:w="4148" w:type="dxa"/>
            <w:vAlign w:val="center"/>
          </w:tcPr>
          <w:p w14:paraId="0C984810">
            <w:pPr>
              <w:spacing w:before="0" w:after="0" w:line="240" w:lineRule="auto"/>
              <w:ind w:firstLine="0"/>
              <w:jc w:val="center"/>
            </w:pPr>
            <w:r>
              <w:rPr>
                <w:rFonts w:ascii="Times New Roman" w:hAnsi="Times New Roman" w:eastAsia="宋体"/>
                <w:b/>
                <w:sz w:val="19"/>
              </w:rPr>
              <w:t>监督信息粒度/估计方式</w:t>
            </w:r>
          </w:p>
        </w:tc>
        <w:tc>
          <w:tcPr>
            <w:tcW w:w="4148" w:type="dxa"/>
            <w:vAlign w:val="center"/>
          </w:tcPr>
          <w:p w14:paraId="6B2C1018">
            <w:pPr>
              <w:spacing w:before="0" w:after="0" w:line="240" w:lineRule="auto"/>
              <w:ind w:firstLine="0"/>
              <w:jc w:val="center"/>
            </w:pPr>
            <w:r>
              <w:rPr>
                <w:rFonts w:ascii="Times New Roman" w:hAnsi="Times New Roman" w:eastAsia="宋体"/>
                <w:b/>
                <w:sz w:val="19"/>
              </w:rPr>
              <w:t>Forward KL</w:t>
            </w:r>
          </w:p>
        </w:tc>
        <w:tc>
          <w:tcPr>
            <w:tcW w:w="4148" w:type="dxa"/>
            <w:vAlign w:val="center"/>
          </w:tcPr>
          <w:p w14:paraId="02EE87DF">
            <w:pPr>
              <w:spacing w:before="0" w:after="0" w:line="240" w:lineRule="auto"/>
              <w:ind w:firstLine="0"/>
              <w:jc w:val="center"/>
            </w:pPr>
            <w:r>
              <w:rPr>
                <w:rFonts w:ascii="Times New Roman" w:hAnsi="Times New Roman" w:eastAsia="宋体"/>
                <w:b/>
                <w:sz w:val="19"/>
              </w:rPr>
              <w:t>Reverse KL</w:t>
            </w:r>
          </w:p>
        </w:tc>
        <w:tc>
          <w:tcPr>
            <w:tcW w:w="4148" w:type="dxa"/>
            <w:vAlign w:val="center"/>
          </w:tcPr>
          <w:p w14:paraId="60B5A87E">
            <w:pPr>
              <w:spacing w:before="0" w:after="0" w:line="240" w:lineRule="auto"/>
              <w:ind w:firstLine="0"/>
              <w:jc w:val="center"/>
            </w:pPr>
            <w:r>
              <w:rPr>
                <w:rFonts w:ascii="Times New Roman" w:hAnsi="Times New Roman" w:eastAsia="宋体"/>
                <w:b/>
                <w:sz w:val="19"/>
              </w:rPr>
              <w:t>广义散度</w:t>
            </w:r>
          </w:p>
        </w:tc>
        <w:tc>
          <w:tcPr>
            <w:tcW w:w="4148" w:type="dxa"/>
            <w:vAlign w:val="center"/>
          </w:tcPr>
          <w:p w14:paraId="088DB88C">
            <w:pPr>
              <w:spacing w:before="0" w:after="0" w:line="240" w:lineRule="auto"/>
              <w:ind w:firstLine="0"/>
              <w:jc w:val="center"/>
            </w:pPr>
            <w:r>
              <w:rPr>
                <w:rFonts w:ascii="Times New Roman" w:hAnsi="Times New Roman" w:eastAsia="宋体"/>
                <w:b/>
                <w:sz w:val="19"/>
              </w:rPr>
              <w:t>说明</w:t>
            </w:r>
          </w:p>
        </w:tc>
      </w:tr>
      <w:tr w14:paraId="568DC1CB">
        <w:trPr>
          <w:jc w:val="center"/>
        </w:trPr>
        <w:tc>
          <w:tcPr>
            <w:tcW w:w="4148" w:type="dxa"/>
            <w:vAlign w:val="center"/>
          </w:tcPr>
          <w:p w14:paraId="24BA4DC4">
            <w:pPr>
              <w:spacing w:before="0" w:after="0" w:line="240" w:lineRule="auto"/>
              <w:ind w:firstLine="0"/>
              <w:jc w:val="center"/>
            </w:pPr>
            <w:r>
              <w:rPr>
                <w:rFonts w:ascii="Times New Roman" w:hAnsi="Times New Roman" w:eastAsia="宋体"/>
                <w:b w:val="0"/>
                <w:sz w:val="19"/>
              </w:rPr>
              <w:t>全词表</w:t>
            </w:r>
          </w:p>
        </w:tc>
        <w:tc>
          <w:tcPr>
            <w:tcW w:w="4148" w:type="dxa"/>
            <w:vAlign w:val="center"/>
          </w:tcPr>
          <w:p w14:paraId="1E409E4D">
            <w:pPr>
              <w:spacing w:before="0" w:after="0" w:line="240" w:lineRule="auto"/>
              <w:ind w:firstLine="0"/>
              <w:jc w:val="center"/>
            </w:pPr>
            <w:r>
              <w:rPr>
                <w:rFonts w:ascii="Times New Roman" w:hAnsi="Times New Roman" w:eastAsia="宋体"/>
                <w:b w:val="0"/>
                <w:sz w:val="19"/>
              </w:rPr>
              <w:t>全词表 FKL</w:t>
            </w:r>
          </w:p>
        </w:tc>
        <w:tc>
          <w:tcPr>
            <w:tcW w:w="4148" w:type="dxa"/>
            <w:vAlign w:val="center"/>
          </w:tcPr>
          <w:p w14:paraId="702B1700">
            <w:pPr>
              <w:spacing w:before="0" w:after="0" w:line="240" w:lineRule="auto"/>
              <w:ind w:firstLine="0"/>
              <w:jc w:val="center"/>
            </w:pPr>
            <w:r>
              <w:rPr>
                <w:rFonts w:ascii="Times New Roman" w:hAnsi="Times New Roman" w:eastAsia="宋体"/>
                <w:b w:val="0"/>
                <w:sz w:val="19"/>
              </w:rPr>
              <w:t>全词表 RKL</w:t>
            </w:r>
          </w:p>
        </w:tc>
        <w:tc>
          <w:tcPr>
            <w:tcW w:w="4148" w:type="dxa"/>
            <w:vAlign w:val="center"/>
          </w:tcPr>
          <w:p w14:paraId="169573F0">
            <w:pPr>
              <w:spacing w:before="0" w:after="0" w:line="240" w:lineRule="auto"/>
              <w:ind w:firstLine="0"/>
              <w:jc w:val="center"/>
            </w:pPr>
            <w:r>
              <w:rPr>
                <w:rFonts w:ascii="Times New Roman" w:hAnsi="Times New Roman" w:eastAsia="宋体"/>
                <w:b w:val="0"/>
                <w:sz w:val="19"/>
              </w:rPr>
              <w:t>全词表广义散度</w:t>
            </w:r>
          </w:p>
        </w:tc>
        <w:tc>
          <w:tcPr>
            <w:tcW w:w="4148" w:type="dxa"/>
            <w:vAlign w:val="center"/>
          </w:tcPr>
          <w:p w14:paraId="4AA4DF2E">
            <w:pPr>
              <w:spacing w:before="0" w:after="0" w:line="240" w:lineRule="auto"/>
              <w:ind w:firstLine="0"/>
              <w:jc w:val="center"/>
            </w:pPr>
            <w:r>
              <w:rPr>
                <w:rFonts w:ascii="Times New Roman" w:hAnsi="Times New Roman" w:eastAsia="宋体"/>
                <w:b w:val="0"/>
                <w:sz w:val="19"/>
              </w:rPr>
              <w:t>完整分布基线</w:t>
            </w:r>
          </w:p>
        </w:tc>
      </w:tr>
      <w:tr w14:paraId="17480239">
        <w:trPr>
          <w:jc w:val="center"/>
        </w:trPr>
        <w:tc>
          <w:tcPr>
            <w:tcW w:w="4148" w:type="dxa"/>
            <w:vAlign w:val="center"/>
          </w:tcPr>
          <w:p w14:paraId="4DBCBCCE">
            <w:pPr>
              <w:spacing w:before="0" w:after="0" w:line="240" w:lineRule="auto"/>
              <w:ind w:firstLine="0"/>
              <w:jc w:val="center"/>
            </w:pPr>
            <w:r>
              <w:rPr>
                <w:rFonts w:ascii="Times New Roman" w:hAnsi="Times New Roman" w:eastAsia="宋体"/>
                <w:b w:val="0"/>
                <w:sz w:val="19"/>
              </w:rPr>
              <w:t>Top-K</w:t>
            </w:r>
          </w:p>
        </w:tc>
        <w:tc>
          <w:tcPr>
            <w:tcW w:w="4148" w:type="dxa"/>
            <w:vAlign w:val="center"/>
          </w:tcPr>
          <w:p w14:paraId="4F4C009D">
            <w:pPr>
              <w:spacing w:before="0" w:after="0" w:line="240" w:lineRule="auto"/>
              <w:ind w:firstLine="0"/>
              <w:jc w:val="center"/>
            </w:pPr>
            <w:r>
              <w:rPr>
                <w:rFonts w:ascii="Times New Roman" w:hAnsi="Times New Roman" w:eastAsia="宋体"/>
                <w:b w:val="0"/>
                <w:sz w:val="19"/>
              </w:rPr>
              <w:t>Top-K FKL</w:t>
            </w:r>
          </w:p>
        </w:tc>
        <w:tc>
          <w:tcPr>
            <w:tcW w:w="4148" w:type="dxa"/>
            <w:vAlign w:val="center"/>
          </w:tcPr>
          <w:p w14:paraId="11D8717A">
            <w:pPr>
              <w:spacing w:before="0" w:after="0" w:line="240" w:lineRule="auto"/>
              <w:ind w:firstLine="0"/>
              <w:jc w:val="center"/>
            </w:pPr>
            <w:r>
              <w:rPr>
                <w:rFonts w:ascii="Times New Roman" w:hAnsi="Times New Roman" w:eastAsia="宋体"/>
                <w:b w:val="0"/>
                <w:sz w:val="19"/>
              </w:rPr>
              <w:t>Top-K RKL</w:t>
            </w:r>
          </w:p>
        </w:tc>
        <w:tc>
          <w:tcPr>
            <w:tcW w:w="4148" w:type="dxa"/>
            <w:vAlign w:val="center"/>
          </w:tcPr>
          <w:p w14:paraId="3A35555F">
            <w:pPr>
              <w:spacing w:before="0" w:after="0" w:line="240" w:lineRule="auto"/>
              <w:ind w:firstLine="0"/>
              <w:jc w:val="center"/>
            </w:pPr>
            <w:r>
              <w:rPr>
                <w:rFonts w:ascii="Times New Roman" w:hAnsi="Times New Roman" w:eastAsia="宋体"/>
                <w:b w:val="0"/>
                <w:sz w:val="19"/>
              </w:rPr>
              <w:t>Top-K 广义散度</w:t>
            </w:r>
          </w:p>
        </w:tc>
        <w:tc>
          <w:tcPr>
            <w:tcW w:w="4148" w:type="dxa"/>
            <w:vAlign w:val="center"/>
          </w:tcPr>
          <w:p w14:paraId="0A52DD0F">
            <w:pPr>
              <w:spacing w:before="0" w:after="0" w:line="240" w:lineRule="auto"/>
              <w:ind w:firstLine="0"/>
              <w:jc w:val="center"/>
            </w:pPr>
            <w:r>
              <w:rPr>
                <w:rFonts w:ascii="Times New Roman" w:hAnsi="Times New Roman" w:eastAsia="宋体"/>
                <w:b w:val="0"/>
                <w:sz w:val="19"/>
              </w:rPr>
              <w:t>稀疏支持集方案</w:t>
            </w:r>
          </w:p>
        </w:tc>
      </w:tr>
      <w:tr w14:paraId="5DED9877">
        <w:trPr>
          <w:jc w:val="center"/>
        </w:trPr>
        <w:tc>
          <w:tcPr>
            <w:tcW w:w="4148" w:type="dxa"/>
            <w:vAlign w:val="center"/>
          </w:tcPr>
          <w:p w14:paraId="03D05CC0">
            <w:pPr>
              <w:spacing w:before="0" w:after="0" w:line="240" w:lineRule="auto"/>
              <w:ind w:firstLine="0"/>
              <w:jc w:val="center"/>
            </w:pPr>
            <w:r>
              <w:rPr>
                <w:rFonts w:ascii="Times New Roman" w:hAnsi="Times New Roman" w:eastAsia="宋体"/>
                <w:b w:val="0"/>
                <w:sz w:val="19"/>
              </w:rPr>
              <w:t>K1 sampled-token</w:t>
            </w:r>
          </w:p>
        </w:tc>
        <w:tc>
          <w:tcPr>
            <w:tcW w:w="4148" w:type="dxa"/>
            <w:vAlign w:val="center"/>
          </w:tcPr>
          <w:p w14:paraId="340E34F9">
            <w:pPr>
              <w:spacing w:before="0" w:after="0" w:line="240" w:lineRule="auto"/>
              <w:ind w:firstLine="0"/>
              <w:jc w:val="center"/>
            </w:pPr>
            <w:r>
              <w:rPr>
                <w:rFonts w:ascii="Times New Roman" w:hAnsi="Times New Roman" w:eastAsia="宋体"/>
                <w:b w:val="0"/>
                <w:sz w:val="19"/>
              </w:rPr>
              <w:t>K1-FKL 估计</w:t>
            </w:r>
          </w:p>
        </w:tc>
        <w:tc>
          <w:tcPr>
            <w:tcW w:w="4148" w:type="dxa"/>
            <w:vAlign w:val="center"/>
          </w:tcPr>
          <w:p w14:paraId="4358821D">
            <w:pPr>
              <w:spacing w:before="0" w:after="0" w:line="240" w:lineRule="auto"/>
              <w:ind w:firstLine="0"/>
              <w:jc w:val="center"/>
            </w:pPr>
            <w:r>
              <w:rPr>
                <w:rFonts w:ascii="Times New Roman" w:hAnsi="Times New Roman" w:eastAsia="宋体"/>
                <w:b w:val="0"/>
                <w:sz w:val="19"/>
              </w:rPr>
              <w:t>K1-RKL 估计</w:t>
            </w:r>
          </w:p>
        </w:tc>
        <w:tc>
          <w:tcPr>
            <w:tcW w:w="4148" w:type="dxa"/>
            <w:vAlign w:val="center"/>
          </w:tcPr>
          <w:p w14:paraId="7212AE94">
            <w:pPr>
              <w:spacing w:before="0" w:after="0" w:line="240" w:lineRule="auto"/>
              <w:ind w:firstLine="0"/>
              <w:jc w:val="center"/>
            </w:pPr>
            <w:r>
              <w:rPr>
                <w:rFonts w:ascii="Times New Roman" w:hAnsi="Times New Roman" w:eastAsia="宋体"/>
                <w:b w:val="0"/>
                <w:sz w:val="19"/>
              </w:rPr>
              <w:t>K1 广义散度估计</w:t>
            </w:r>
          </w:p>
        </w:tc>
        <w:tc>
          <w:tcPr>
            <w:tcW w:w="4148" w:type="dxa"/>
            <w:vAlign w:val="center"/>
          </w:tcPr>
          <w:p w14:paraId="18867DC3">
            <w:pPr>
              <w:spacing w:before="0" w:after="0" w:line="240" w:lineRule="auto"/>
              <w:ind w:firstLine="0"/>
              <w:jc w:val="center"/>
            </w:pPr>
            <w:r>
              <w:rPr>
                <w:rFonts w:ascii="Times New Roman" w:hAnsi="Times New Roman" w:eastAsia="宋体"/>
                <w:b w:val="0"/>
                <w:sz w:val="19"/>
              </w:rPr>
              <w:t>单样本随机估计</w:t>
            </w:r>
          </w:p>
        </w:tc>
      </w:tr>
    </w:tbl>
    <w:p w14:paraId="26F667FD">
      <w:pPr>
        <w:ind w:firstLine="420"/>
        <w:jc w:val="both"/>
      </w:pPr>
      <w:r>
        <w:t>该矩阵覆盖三类目标函数与三种监督方案。各实验共用数据、训练预算和评测协议，并在配置中记录损失形式、K 值、支持集、重归一化方式、K1 proposal、梯度估计和数值精度。</w:t>
      </w:r>
    </w:p>
    <w:p w14:paraId="7D429E15">
      <w:pPr>
        <w:ind w:firstLine="420"/>
        <w:jc w:val="both"/>
      </w:pPr>
      <w:r>
        <w:t>三种监督方案及广义散度的含义如下：</w:t>
      </w:r>
    </w:p>
    <w:p w14:paraId="03436525">
      <w:pPr>
        <w:pStyle w:val="17"/>
        <w:ind w:firstLine="420"/>
        <w:jc w:val="left"/>
      </w:pPr>
      <w:r>
        <w:t>• “全词表”指教师在规定有效位置上的完整输出分布参与匹配；工程实现可采用分块计算或流式处理。</w:t>
      </w:r>
    </w:p>
    <w:p w14:paraId="1E71EBD7">
      <w:pPr>
        <w:pStyle w:val="17"/>
        <w:ind w:firstLine="420"/>
        <w:jc w:val="left"/>
      </w:pPr>
      <w:r>
        <w:t>• “Top-K”指仅使用明确的高概率 token 支持集，并记录支持集来源、重归一化方式和支持集外概率处理。</w:t>
      </w:r>
    </w:p>
    <w:p w14:paraId="2A2D1311">
      <w:pPr>
        <w:pStyle w:val="17"/>
        <w:ind w:firstLine="420"/>
        <w:jc w:val="left"/>
      </w:pPr>
      <w:r>
        <w:t>• “K1 sampled-token”指每个位置使用一个采样 token 估计相应期望，并与选择最大概率 token 的硬标签方法分开记录。</w:t>
      </w:r>
    </w:p>
    <w:p w14:paraId="718B00F7">
      <w:pPr>
        <w:pStyle w:val="17"/>
        <w:ind w:firstLine="420"/>
        <w:jc w:val="left"/>
      </w:pPr>
      <w:r>
        <w:t>• “广义散度”包括 JSD、skew KL 等代表性目标，实验配置将记录具体公式、混合参数和梯度计算规则。</w:t>
      </w:r>
    </w:p>
    <w:p w14:paraId="4DC19C45">
      <w:pPr>
        <w:ind w:firstLine="420"/>
        <w:jc w:val="both"/>
      </w:pPr>
      <w:r>
        <w:t>师生词表、token 边界与特殊 token 必须保持可对齐。正式训练前通过 tokenizer 单元测试、模板回环测试和小批量损失／梯度测试，验证对数概率、mask、padding 与梯度传播是否正确。</w:t>
      </w:r>
    </w:p>
    <w:p w14:paraId="264AD57D">
      <w:pPr>
        <w:pStyle w:val="3"/>
      </w:pPr>
      <w:bookmarkStart w:id="30" w:name="_Toc1568134171"/>
      <w:r>
        <w:rPr>
          <w:rFonts w:ascii="黑体" w:hAnsi="黑体" w:eastAsia="黑体" w:cs="黑体"/>
          <w:b/>
          <w:color w:val="000000"/>
          <w:sz w:val="24"/>
        </w:rPr>
        <w:t>4.5 评价指标和公平性</w:t>
      </w:r>
      <w:bookmarkEnd w:id="30"/>
    </w:p>
    <w:p w14:paraId="1E75A657">
      <w:pPr>
        <w:ind w:firstLine="420"/>
        <w:jc w:val="both"/>
      </w:pPr>
      <w:r>
        <w:t>评价指标分为任务效果、训练稳定性、分布与误差分析、资源与部署四类，具体如下：</w:t>
      </w:r>
    </w:p>
    <w:p w14:paraId="40DFDBB5">
      <w:pPr>
        <w:keepNext/>
        <w:spacing w:before="80" w:after="80" w:line="240" w:lineRule="auto"/>
        <w:ind w:left="0" w:right="0" w:firstLine="0"/>
        <w:jc w:val="center"/>
      </w:pPr>
      <w:r>
        <w:rPr>
          <w:rFonts w:ascii="Times New Roman" w:hAnsi="Times New Roman" w:eastAsia="Songti SC"/>
          <w:sz w:val="21"/>
        </w:rPr>
        <w:t xml:space="preserve">表 </w:t>
      </w:r>
      <w:bookmarkStart w:id="31" w:name="_RefTable4_3"/>
      <w:r>
        <w:rPr>
          <w:rFonts w:ascii="Times New Roman" w:hAnsi="Times New Roman" w:eastAsia="Songti SC"/>
          <w:sz w:val="21"/>
        </w:rPr>
        <w:t>4-</w:t>
      </w:r>
      <w:r>
        <w:rPr>
          <w:rFonts w:ascii="Times New Roman" w:hAnsi="Times New Roman" w:eastAsia="Songti SC"/>
          <w:sz w:val="21"/>
        </w:rPr>
        <w:fldChar w:fldCharType="begin"/>
      </w:r>
      <w:r>
        <w:rPr>
          <w:rFonts w:ascii="Times New Roman" w:hAnsi="Times New Roman" w:eastAsia="Songti SC"/>
          <w:sz w:val="21"/>
        </w:rPr>
        <w:instrText xml:space="preserve"> SEQ TableCh4 \* ARABIC </w:instrText>
      </w:r>
      <w:r>
        <w:rPr>
          <w:rFonts w:ascii="Times New Roman" w:hAnsi="Times New Roman" w:eastAsia="Songti SC"/>
          <w:sz w:val="21"/>
        </w:rPr>
        <w:fldChar w:fldCharType="separate"/>
      </w:r>
      <w:r>
        <w:rPr>
          <w:rFonts w:ascii="Times New Roman" w:hAnsi="Times New Roman" w:eastAsia="Songti SC"/>
          <w:sz w:val="21"/>
        </w:rPr>
        <w:t>3</w:t>
      </w:r>
      <w:r>
        <w:rPr>
          <w:rFonts w:ascii="Times New Roman" w:hAnsi="Times New Roman" w:eastAsia="Songti SC"/>
          <w:sz w:val="21"/>
        </w:rPr>
        <w:fldChar w:fldCharType="end"/>
      </w:r>
      <w:bookmarkEnd w:id="31"/>
      <w:r>
        <w:rPr>
          <w:rFonts w:ascii="Times New Roman" w:hAnsi="Times New Roman" w:eastAsia="Songti SC"/>
          <w:sz w:val="21"/>
        </w:rPr>
        <w:t xml:space="preserve">  评价指标体系</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4BAA24E3">
        <w:trPr>
          <w:tblHeader/>
        </w:trPr>
        <w:tc>
          <w:tcPr>
            <w:tcW w:w="4148" w:type="dxa"/>
          </w:tcPr>
          <w:p w14:paraId="4A8E5867">
            <w:pPr>
              <w:ind w:firstLine="0"/>
              <w:jc w:val="left"/>
            </w:pPr>
            <w:r>
              <w:rPr>
                <w:b/>
              </w:rPr>
              <w:t>类别</w:t>
            </w:r>
          </w:p>
        </w:tc>
        <w:tc>
          <w:tcPr>
            <w:tcW w:w="4148" w:type="dxa"/>
          </w:tcPr>
          <w:p w14:paraId="16F921AE">
            <w:pPr>
              <w:ind w:firstLine="0"/>
              <w:jc w:val="left"/>
            </w:pPr>
            <w:r>
              <w:rPr>
                <w:b/>
              </w:rPr>
              <w:t>关注内容</w:t>
            </w:r>
          </w:p>
        </w:tc>
      </w:tr>
      <w:tr w14:paraId="31D6FC77">
        <w:tc>
          <w:tcPr>
            <w:tcW w:w="4148" w:type="dxa"/>
          </w:tcPr>
          <w:p w14:paraId="63B6EAB1">
            <w:pPr>
              <w:ind w:firstLine="0"/>
              <w:jc w:val="left"/>
            </w:pPr>
            <w:r>
              <w:t>核心任务效果</w:t>
            </w:r>
          </w:p>
        </w:tc>
        <w:tc>
          <w:tcPr>
            <w:tcW w:w="4148" w:type="dxa"/>
          </w:tcPr>
          <w:p w14:paraId="34B5B63E">
            <w:pPr>
              <w:ind w:firstLine="0"/>
              <w:jc w:val="left"/>
            </w:pPr>
            <w:r>
              <w:t>JSON／结构化格式合法性、函数名、参数键值、schema 通过率、调用执行成功率和端到端任务完成率</w:t>
            </w:r>
          </w:p>
        </w:tc>
      </w:tr>
      <w:tr w14:paraId="2CB808BD">
        <w:tc>
          <w:tcPr>
            <w:tcW w:w="4148" w:type="dxa"/>
          </w:tcPr>
          <w:p w14:paraId="3DAA5DB3">
            <w:pPr>
              <w:ind w:firstLine="0"/>
              <w:jc w:val="left"/>
            </w:pPr>
            <w:r>
              <w:t>核心稳定性与分布</w:t>
            </w:r>
          </w:p>
        </w:tc>
        <w:tc>
          <w:tcPr>
            <w:tcW w:w="4148" w:type="dxa"/>
          </w:tcPr>
          <w:p w14:paraId="57A77911">
            <w:pPr>
              <w:ind w:firstLine="0"/>
              <w:jc w:val="left"/>
            </w:pPr>
            <w:r>
              <w:t>蒸馏损失、熵变化、师生分布差异、Top-K overlap、支持集外概率、非法输出率和重复率</w:t>
            </w:r>
          </w:p>
        </w:tc>
      </w:tr>
      <w:tr w14:paraId="3B623E40">
        <w:tc>
          <w:tcPr>
            <w:tcW w:w="4148" w:type="dxa"/>
          </w:tcPr>
          <w:p w14:paraId="10FF9CC5">
            <w:pPr>
              <w:ind w:firstLine="0"/>
              <w:jc w:val="left"/>
            </w:pPr>
            <w:r>
              <w:t>核心训练资源</w:t>
            </w:r>
          </w:p>
        </w:tc>
        <w:tc>
          <w:tcPr>
            <w:tcW w:w="4148" w:type="dxa"/>
          </w:tcPr>
          <w:p w14:paraId="0E85455F">
            <w:pPr>
              <w:ind w:firstLine="0"/>
              <w:jc w:val="left"/>
            </w:pPr>
            <w:r>
              <w:t>教师反馈量、教师推理开销、学生 rollout 开销、训练时间和峰值显存</w:t>
            </w:r>
          </w:p>
        </w:tc>
      </w:tr>
      <w:tr w14:paraId="0EB55E25">
        <w:tc>
          <w:tcPr>
            <w:tcW w:w="4148" w:type="dxa"/>
          </w:tcPr>
          <w:p w14:paraId="5DA3D9BE">
            <w:pPr>
              <w:ind w:firstLine="0"/>
              <w:jc w:val="left"/>
            </w:pPr>
            <w:r>
              <w:t>扩展服务评测</w:t>
            </w:r>
          </w:p>
        </w:tc>
        <w:tc>
          <w:tcPr>
            <w:tcW w:w="4148" w:type="dxa"/>
          </w:tcPr>
          <w:p w14:paraId="557C7C13">
            <w:pPr>
              <w:ind w:firstLine="0"/>
              <w:jc w:val="left"/>
            </w:pPr>
            <w:r>
              <w:t>吞吐、首 token 延迟、完整响应延迟和端到端任务成功率</w:t>
            </w:r>
          </w:p>
        </w:tc>
      </w:tr>
    </w:tbl>
    <w:p w14:paraId="6FA4E227">
      <w:pPr>
        <w:ind w:firstLine="420"/>
        <w:jc w:val="both"/>
      </w:pPr>
      <w:r>
        <w:t>BFCL 为结构化函数调用评测提供了参考[27]。本文将用明确的指标定义评估函数选择、参数生成、schema 合法性、调用执行和任务完成情况；推理性能评测还将记录吞吐、首 token 延迟、完整响应延迟、峰值显存与端到端调用成功率。</w:t>
      </w:r>
    </w:p>
    <w:p w14:paraId="7C90D5F1">
      <w:pPr>
        <w:ind w:firstLine="420"/>
        <w:jc w:val="both"/>
      </w:pPr>
      <w:r>
        <w:t>具体而言，函数名准确率比较规范化后的函数标识；参数键准确率检查字段集合或字段级匹配；参数值准确率依据 schema 和任务允许的等价规则计算；schema 合法率检查类型、必填字段和枚举约束；执行成功率以模拟工具的返回结果为准；端到端成功率则判断模型是否在规定交互范围内完成目标。这些指标不能相互替代：JSON 可解析并不代表函数选择正确，函数和参数正确也不意味着模型能够正确利用工具结果。</w:t>
      </w:r>
    </w:p>
    <w:p w14:paraId="7A0844C1">
      <w:pPr>
        <w:ind w:firstLine="420"/>
        <w:jc w:val="both"/>
      </w:pPr>
      <w:r>
        <w:t>稳定性分析覆盖完整训练过程，记录损失、有效 token 数、师生熵、Top-K overlap、格式错误、支持集外概率、梯度范数和异常值。资源分析分别统计学生 rollout、教师前向和最终服务三个阶段，以区分蒸馏训练成本与部署性能。</w:t>
      </w:r>
    </w:p>
    <w:p w14:paraId="2CC9EDD0">
      <w:pPr>
        <w:ind w:firstLine="420"/>
        <w:jc w:val="both"/>
      </w:pPr>
      <w:r>
        <w:t>为保证比较公平，各实验固定学生、教师、公开数据、数据划分、LoRA 配置、训练预算、生成条件和评测脚本。所有实验均保存配置、代码提交号、模型与数据版本、依赖版本、硬件环境和原始指标；成本则同时按学生更新量、墙钟时间和教师调用开销报告。</w:t>
      </w:r>
    </w:p>
    <w:p w14:paraId="2386798F">
      <w:pPr>
        <w:ind w:firstLine="420"/>
        <w:jc w:val="both"/>
      </w:pPr>
      <w:r>
        <w:t>结果分析将报告完整训练曲线、验证集与测试集统计、重复运行的波动和资源消耗。失败案例按工具选择、结构解析、参数字段、参数值、上下文和执行环节分类，并比较不同散度及监督方案的错误分布。</w:t>
      </w:r>
    </w:p>
    <w:p w14:paraId="56ED6E07">
      <w:pPr>
        <w:pStyle w:val="3"/>
      </w:pPr>
      <w:bookmarkStart w:id="32" w:name="_Toc1711696013"/>
      <w:r>
        <w:rPr>
          <w:rFonts w:ascii="黑体" w:hAnsi="黑体" w:eastAsia="黑体" w:cs="黑体"/>
          <w:b/>
          <w:color w:val="000000"/>
          <w:sz w:val="24"/>
        </w:rPr>
        <w:t>4.6 可行性分析</w:t>
      </w:r>
      <w:bookmarkEnd w:id="32"/>
    </w:p>
    <w:p w14:paraId="40E26365">
      <w:pPr>
        <w:ind w:firstLine="420"/>
        <w:jc w:val="both"/>
      </w:pPr>
      <w:r>
        <w:t>Qwen3-0.6B 学生、Qwen3-4B 教师和 LoRA 后训练构成了可实施的模型组合，PyTorch、Transformers、PEFT 与 vLLM 能够提供训练和部署所需的基础工具。研究将先进行小规模验证，在模型、数据、接口和评测规则固定后逐步扩大训练规模，因而具备清晰的实施路径和验证条件。</w:t>
      </w:r>
    </w:p>
    <w:p w14:paraId="6CC957E8">
      <w:pPr>
        <w:pStyle w:val="2"/>
      </w:pPr>
      <w:bookmarkStart w:id="33" w:name="_Toc783955279"/>
      <w:r>
        <w:rPr>
          <w:rFonts w:ascii="黑体" w:hAnsi="黑体" w:eastAsia="黑体" w:cs="黑体"/>
          <w:b/>
          <w:color w:val="000000"/>
          <w:sz w:val="28"/>
        </w:rPr>
        <w:t>5．进度安排，预期达到的目标</w:t>
      </w:r>
      <w:bookmarkEnd w:id="33"/>
    </w:p>
    <w:p w14:paraId="4D67942D">
      <w:pPr>
        <w:pStyle w:val="3"/>
      </w:pPr>
      <w:bookmarkStart w:id="34" w:name="_Toc1124199808"/>
      <w:r>
        <w:rPr>
          <w:rFonts w:ascii="黑体" w:hAnsi="黑体" w:eastAsia="黑体" w:cs="黑体"/>
          <w:b/>
          <w:color w:val="000000"/>
          <w:sz w:val="24"/>
        </w:rPr>
        <w:t>5.1 进度安排</w:t>
      </w:r>
      <w:bookmarkEnd w:id="34"/>
    </w:p>
    <w:p w14:paraId="6BE2C5CE">
      <w:pPr>
        <w:spacing w:before="0" w:after="0" w:line="360" w:lineRule="auto"/>
        <w:ind w:firstLine="420"/>
        <w:jc w:val="both"/>
      </w:pPr>
      <w:r>
        <w:rPr>
          <w:rFonts w:ascii="Times New Roman" w:hAnsi="Times New Roman" w:eastAsia="宋体"/>
          <w:sz w:val="24"/>
        </w:rPr>
        <w:t xml:space="preserve">本课题自 2026 年 9 月开题申请起，至 2027 年 5 月结题申请与答辩结束，按实际培养环节组织实施。开题申请时间为 2026 年 9 月 14 日至 9 月 30 日，中期申请预计在 2027 年 3 月，结题申请与答辩预计在 2027 年 5 月。进度安排如图 </w:t>
      </w:r>
      <w:r>
        <w:rPr>
          <w:rFonts w:ascii="Times New Roman" w:hAnsi="Times New Roman" w:eastAsia="宋体"/>
          <w:sz w:val="24"/>
        </w:rPr>
        <w:fldChar w:fldCharType="begin"/>
      </w:r>
      <w:r>
        <w:rPr>
          <w:rFonts w:ascii="Times New Roman" w:hAnsi="Times New Roman" w:eastAsia="宋体"/>
          <w:sz w:val="24"/>
        </w:rPr>
        <w:instrText xml:space="preserve"> REF _RefFigure3 \h </w:instrText>
      </w:r>
      <w:r>
        <w:rPr>
          <w:rFonts w:ascii="Times New Roman" w:hAnsi="Times New Roman" w:eastAsia="宋体"/>
          <w:sz w:val="24"/>
        </w:rPr>
        <w:fldChar w:fldCharType="separate"/>
      </w:r>
      <w:r>
        <w:rPr>
          <w:rFonts w:ascii="Times New Roman" w:hAnsi="Times New Roman" w:eastAsia="宋体"/>
          <w:sz w:val="24"/>
        </w:rPr>
        <w:t>3</w:t>
      </w:r>
      <w:r>
        <w:rPr>
          <w:rFonts w:ascii="Times New Roman" w:hAnsi="Times New Roman" w:eastAsia="宋体"/>
          <w:sz w:val="24"/>
        </w:rPr>
        <w:fldChar w:fldCharType="end"/>
      </w:r>
      <w:r>
        <w:rPr>
          <w:rFonts w:ascii="Times New Roman" w:hAnsi="Times New Roman" w:eastAsia="宋体"/>
          <w:sz w:val="24"/>
        </w:rPr>
        <w:t xml:space="preserve"> 和表 </w:t>
      </w:r>
      <w:r>
        <w:rPr>
          <w:rFonts w:ascii="Times New Roman" w:hAnsi="Times New Roman" w:eastAsia="宋体"/>
          <w:sz w:val="24"/>
        </w:rPr>
        <w:fldChar w:fldCharType="begin"/>
      </w:r>
      <w:r>
        <w:rPr>
          <w:rFonts w:ascii="Times New Roman" w:hAnsi="Times New Roman" w:eastAsia="宋体"/>
          <w:sz w:val="24"/>
        </w:rPr>
        <w:instrText xml:space="preserve"> REF _RefTable5_1 \h </w:instrText>
      </w:r>
      <w:r>
        <w:rPr>
          <w:rFonts w:ascii="Times New Roman" w:hAnsi="Times New Roman" w:eastAsia="宋体"/>
          <w:sz w:val="24"/>
        </w:rPr>
        <w:fldChar w:fldCharType="separate"/>
      </w:r>
      <w:r>
        <w:rPr>
          <w:rFonts w:ascii="Times New Roman" w:hAnsi="Times New Roman" w:eastAsia="宋体"/>
          <w:sz w:val="24"/>
        </w:rPr>
        <w:t>5-1</w:t>
      </w:r>
      <w:r>
        <w:rPr>
          <w:rFonts w:ascii="Times New Roman" w:hAnsi="Times New Roman" w:eastAsia="宋体"/>
          <w:sz w:val="24"/>
        </w:rPr>
        <w:fldChar w:fldCharType="end"/>
      </w:r>
      <w:r>
        <w:rPr>
          <w:rFonts w:ascii="Times New Roman" w:hAnsi="Times New Roman" w:eastAsia="宋体"/>
          <w:sz w:val="24"/>
        </w:rPr>
        <w:t xml:space="preserve"> 所示。</w:t>
      </w:r>
    </w:p>
    <w:p w14:paraId="2B480502">
      <w:pPr>
        <w:keepNext/>
        <w:spacing w:before="80" w:after="80" w:line="240" w:lineRule="auto"/>
        <w:ind w:left="0" w:right="0" w:firstLine="0"/>
        <w:jc w:val="center"/>
      </w:pPr>
      <w:r>
        <w:rPr>
          <w:rFonts w:ascii="Times New Roman" w:hAnsi="Times New Roman" w:eastAsia="Songti SC"/>
          <w:sz w:val="21"/>
        </w:rPr>
        <w:t xml:space="preserve">表 </w:t>
      </w:r>
      <w:bookmarkStart w:id="35" w:name="_RefTable5_1"/>
      <w:r>
        <w:rPr>
          <w:rFonts w:ascii="Times New Roman" w:hAnsi="Times New Roman" w:eastAsia="Songti SC"/>
          <w:sz w:val="21"/>
        </w:rPr>
        <w:t>5-</w:t>
      </w:r>
      <w:r>
        <w:rPr>
          <w:rFonts w:ascii="Times New Roman" w:hAnsi="Times New Roman" w:eastAsia="Songti SC"/>
          <w:sz w:val="21"/>
        </w:rPr>
        <w:fldChar w:fldCharType="begin"/>
      </w:r>
      <w:r>
        <w:rPr>
          <w:rFonts w:ascii="Times New Roman" w:hAnsi="Times New Roman" w:eastAsia="Songti SC"/>
          <w:sz w:val="21"/>
        </w:rPr>
        <w:instrText xml:space="preserve"> SEQ TableCh5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35"/>
      <w:r>
        <w:rPr>
          <w:rFonts w:ascii="Times New Roman" w:hAnsi="Times New Roman" w:eastAsia="Songti SC"/>
          <w:sz w:val="21"/>
        </w:rPr>
        <w:t xml:space="preserve">  研究进度安排</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03"/>
        <w:gridCol w:w="2982"/>
        <w:gridCol w:w="2737"/>
      </w:tblGrid>
      <w:tr w14:paraId="63DBB9E9">
        <w:trPr>
          <w:tblHeader/>
          <w:jc w:val="center"/>
        </w:trPr>
        <w:tc>
          <w:tcPr>
            <w:tcW w:w="4148" w:type="dxa"/>
            <w:vAlign w:val="center"/>
          </w:tcPr>
          <w:p w14:paraId="1D9D80BF">
            <w:pPr>
              <w:spacing w:before="0" w:after="0" w:line="240" w:lineRule="auto"/>
              <w:ind w:firstLine="0"/>
              <w:jc w:val="center"/>
            </w:pPr>
            <w:r>
              <w:rPr>
                <w:rFonts w:ascii="Times New Roman" w:hAnsi="Times New Roman" w:eastAsia="宋体"/>
                <w:b/>
                <w:sz w:val="17"/>
              </w:rPr>
              <w:t>阶段</w:t>
            </w:r>
          </w:p>
        </w:tc>
        <w:tc>
          <w:tcPr>
            <w:tcW w:w="4148" w:type="dxa"/>
            <w:vAlign w:val="center"/>
          </w:tcPr>
          <w:p w14:paraId="30BF555A">
            <w:pPr>
              <w:spacing w:before="0" w:after="0" w:line="240" w:lineRule="auto"/>
              <w:ind w:firstLine="0"/>
              <w:jc w:val="center"/>
            </w:pPr>
            <w:r>
              <w:rPr>
                <w:rFonts w:ascii="Times New Roman" w:hAnsi="Times New Roman" w:eastAsia="宋体"/>
                <w:b/>
                <w:sz w:val="17"/>
              </w:rPr>
              <w:t>计划内容</w:t>
            </w:r>
          </w:p>
        </w:tc>
        <w:tc>
          <w:tcPr>
            <w:tcW w:w="4148" w:type="dxa"/>
            <w:vAlign w:val="center"/>
          </w:tcPr>
          <w:p w14:paraId="127EB996">
            <w:pPr>
              <w:spacing w:before="0" w:after="0" w:line="240" w:lineRule="auto"/>
              <w:ind w:firstLine="0"/>
              <w:jc w:val="center"/>
            </w:pPr>
            <w:r>
              <w:rPr>
                <w:rFonts w:ascii="Times New Roman" w:hAnsi="Times New Roman" w:eastAsia="宋体"/>
                <w:b/>
                <w:sz w:val="17"/>
              </w:rPr>
              <w:t>预期材料</w:t>
            </w:r>
          </w:p>
        </w:tc>
      </w:tr>
      <w:tr w14:paraId="31A682BC">
        <w:trPr>
          <w:jc w:val="center"/>
        </w:trPr>
        <w:tc>
          <w:tcPr>
            <w:tcW w:w="2765" w:type="dxa"/>
            <w:vAlign w:val="center"/>
          </w:tcPr>
          <w:p w14:paraId="6C50AB11">
            <w:pPr>
              <w:spacing w:before="0" w:after="0" w:line="240" w:lineRule="auto"/>
              <w:ind w:firstLine="0"/>
              <w:jc w:val="center"/>
            </w:pPr>
            <w:r>
              <w:rPr>
                <w:rFonts w:ascii="Times New Roman" w:hAnsi="Times New Roman" w:eastAsia="宋体"/>
                <w:b w:val="0"/>
                <w:sz w:val="17"/>
              </w:rPr>
              <w:t>2026年9月14日—9月30日：开题申请与方案确认</w:t>
            </w:r>
          </w:p>
        </w:tc>
        <w:tc>
          <w:tcPr>
            <w:tcW w:w="2765" w:type="dxa"/>
            <w:vAlign w:val="center"/>
          </w:tcPr>
          <w:p w14:paraId="4BFEE2CC">
            <w:pPr>
              <w:spacing w:before="0" w:after="0" w:line="240" w:lineRule="auto"/>
              <w:ind w:firstLine="0"/>
              <w:jc w:val="center"/>
            </w:pPr>
            <w:r>
              <w:rPr>
                <w:rFonts w:ascii="Times New Roman" w:hAnsi="Times New Roman" w:eastAsia="宋体"/>
                <w:b w:val="0"/>
                <w:sz w:val="17"/>
              </w:rPr>
              <w:t>完成开题报告修改与提交；明确研究问题、模型组合、数据范围、实验变量、评价指标和复现要求。</w:t>
            </w:r>
          </w:p>
        </w:tc>
        <w:tc>
          <w:tcPr>
            <w:tcW w:w="2765" w:type="dxa"/>
            <w:vAlign w:val="center"/>
          </w:tcPr>
          <w:p w14:paraId="66F2A173">
            <w:pPr>
              <w:spacing w:before="0" w:after="0" w:line="240" w:lineRule="auto"/>
              <w:ind w:firstLine="0"/>
              <w:jc w:val="center"/>
            </w:pPr>
            <w:r>
              <w:rPr>
                <w:rFonts w:ascii="Times New Roman" w:hAnsi="Times New Roman" w:eastAsia="宋体"/>
                <w:b w:val="0"/>
                <w:sz w:val="17"/>
              </w:rPr>
              <w:t>开题报告、研究方案、文献与任务清单</w:t>
            </w:r>
          </w:p>
        </w:tc>
      </w:tr>
      <w:tr w14:paraId="61DC8D82">
        <w:trPr>
          <w:jc w:val="center"/>
        </w:trPr>
        <w:tc>
          <w:tcPr>
            <w:tcW w:w="2765" w:type="dxa"/>
            <w:vAlign w:val="center"/>
          </w:tcPr>
          <w:p w14:paraId="5572DCE0">
            <w:pPr>
              <w:spacing w:before="0" w:after="0" w:line="240" w:lineRule="auto"/>
              <w:ind w:firstLine="0"/>
              <w:jc w:val="center"/>
            </w:pPr>
            <w:r>
              <w:rPr>
                <w:rFonts w:ascii="Times New Roman" w:hAnsi="Times New Roman" w:eastAsia="宋体"/>
                <w:b w:val="0"/>
                <w:sz w:val="17"/>
              </w:rPr>
              <w:t>2026年10月—11月：资料、数据与兼容性准备</w:t>
            </w:r>
          </w:p>
        </w:tc>
        <w:tc>
          <w:tcPr>
            <w:tcW w:w="2765" w:type="dxa"/>
            <w:vAlign w:val="center"/>
          </w:tcPr>
          <w:p w14:paraId="47213C2D">
            <w:pPr>
              <w:spacing w:before="0" w:after="0" w:line="240" w:lineRule="auto"/>
              <w:ind w:firstLine="0"/>
              <w:jc w:val="center"/>
            </w:pPr>
            <w:r>
              <w:rPr>
                <w:rFonts w:ascii="Times New Roman" w:hAnsi="Times New Roman" w:eastAsia="宋体"/>
                <w:b w:val="0"/>
                <w:sz w:val="17"/>
              </w:rPr>
              <w:t>继续调研文献；筛选公开 Function Calling 数据，完成去重、划分和字段映射；审计 tokenizer、消息模板、工具 schema、特殊 token 与模型版本。</w:t>
            </w:r>
          </w:p>
        </w:tc>
        <w:tc>
          <w:tcPr>
            <w:tcW w:w="2765" w:type="dxa"/>
            <w:vAlign w:val="center"/>
          </w:tcPr>
          <w:p w14:paraId="0E2E969C">
            <w:pPr>
              <w:spacing w:before="0" w:after="0" w:line="240" w:lineRule="auto"/>
              <w:ind w:firstLine="0"/>
              <w:jc w:val="center"/>
            </w:pPr>
            <w:r>
              <w:rPr>
                <w:rFonts w:ascii="Times New Roman" w:hAnsi="Times New Roman" w:eastAsia="宋体"/>
                <w:b w:val="0"/>
                <w:sz w:val="17"/>
              </w:rPr>
              <w:t>文献记录、数据清单、审计报告、统一数据格式</w:t>
            </w:r>
          </w:p>
        </w:tc>
      </w:tr>
      <w:tr w14:paraId="6B04A86C">
        <w:trPr>
          <w:jc w:val="center"/>
        </w:trPr>
        <w:tc>
          <w:tcPr>
            <w:tcW w:w="2765" w:type="dxa"/>
            <w:vAlign w:val="center"/>
          </w:tcPr>
          <w:p w14:paraId="3D3265E4">
            <w:pPr>
              <w:spacing w:before="0" w:after="0" w:line="240" w:lineRule="auto"/>
              <w:ind w:firstLine="0"/>
              <w:jc w:val="center"/>
            </w:pPr>
            <w:r>
              <w:rPr>
                <w:rFonts w:ascii="Times New Roman" w:hAnsi="Times New Roman" w:eastAsia="宋体"/>
                <w:b w:val="0"/>
                <w:sz w:val="17"/>
              </w:rPr>
              <w:t>2026年12月—2027年1月：训练与推理管线实现</w:t>
            </w:r>
          </w:p>
        </w:tc>
        <w:tc>
          <w:tcPr>
            <w:tcW w:w="2765" w:type="dxa"/>
            <w:vAlign w:val="center"/>
          </w:tcPr>
          <w:p w14:paraId="7B0979CD">
            <w:pPr>
              <w:spacing w:before="0" w:after="0" w:line="240" w:lineRule="auto"/>
              <w:ind w:firstLine="0"/>
              <w:jc w:val="center"/>
            </w:pPr>
            <w:r>
              <w:rPr>
                <w:rFonts w:ascii="Times New Roman" w:hAnsi="Times New Roman" w:eastAsia="宋体"/>
                <w:b w:val="0"/>
                <w:sz w:val="17"/>
              </w:rPr>
              <w:t>实现 LoRA 训练、学生 rollout、教师评分、全词表／Top-K／K1 接口和统一评测脚本；通过小规模试运行确定上下文长度、批量大小与数值精度。</w:t>
            </w:r>
          </w:p>
        </w:tc>
        <w:tc>
          <w:tcPr>
            <w:tcW w:w="2765" w:type="dxa"/>
            <w:vAlign w:val="center"/>
          </w:tcPr>
          <w:p w14:paraId="00703432">
            <w:pPr>
              <w:spacing w:before="0" w:after="0" w:line="240" w:lineRule="auto"/>
              <w:ind w:firstLine="0"/>
              <w:jc w:val="center"/>
            </w:pPr>
            <w:r>
              <w:rPr>
                <w:rFonts w:ascii="Times New Roman" w:hAnsi="Times New Roman" w:eastAsia="宋体"/>
                <w:b w:val="0"/>
                <w:sz w:val="17"/>
              </w:rPr>
              <w:t>可运行代码、接口测试、试运行记录与固定配置</w:t>
            </w:r>
          </w:p>
        </w:tc>
      </w:tr>
      <w:tr w14:paraId="134EE532">
        <w:trPr>
          <w:jc w:val="center"/>
        </w:trPr>
        <w:tc>
          <w:tcPr>
            <w:tcW w:w="2765" w:type="dxa"/>
            <w:vAlign w:val="center"/>
          </w:tcPr>
          <w:p w14:paraId="631AEB8B">
            <w:pPr>
              <w:spacing w:before="0" w:after="0" w:line="240" w:lineRule="auto"/>
              <w:ind w:firstLine="0"/>
              <w:jc w:val="center"/>
            </w:pPr>
            <w:r>
              <w:rPr>
                <w:rFonts w:ascii="Times New Roman" w:hAnsi="Times New Roman" w:eastAsia="宋体"/>
                <w:b w:val="0"/>
                <w:sz w:val="17"/>
              </w:rPr>
              <w:t>2027年2月—3月：正式实验与中期申请</w:t>
            </w:r>
          </w:p>
        </w:tc>
        <w:tc>
          <w:tcPr>
            <w:tcW w:w="2765" w:type="dxa"/>
            <w:vAlign w:val="center"/>
          </w:tcPr>
          <w:p w14:paraId="3E9DB321">
            <w:pPr>
              <w:spacing w:before="0" w:after="0" w:line="240" w:lineRule="auto"/>
              <w:ind w:firstLine="0"/>
              <w:jc w:val="center"/>
            </w:pPr>
            <w:r>
              <w:rPr>
                <w:rFonts w:ascii="Times New Roman" w:hAnsi="Times New Roman" w:eastAsia="宋体"/>
                <w:b w:val="0"/>
                <w:sz w:val="17"/>
              </w:rPr>
              <w:t>在统一数据、训练预算和生成协议下开展主要对照实验；形成阶段性结果和资源记录，并于 2027 年 3 月提交中期申请。</w:t>
            </w:r>
          </w:p>
        </w:tc>
        <w:tc>
          <w:tcPr>
            <w:tcW w:w="2765" w:type="dxa"/>
            <w:vAlign w:val="center"/>
          </w:tcPr>
          <w:p w14:paraId="3DAA4D48">
            <w:pPr>
              <w:spacing w:before="0" w:after="0" w:line="240" w:lineRule="auto"/>
              <w:ind w:firstLine="0"/>
              <w:jc w:val="center"/>
            </w:pPr>
            <w:r>
              <w:rPr>
                <w:rFonts w:ascii="Times New Roman" w:hAnsi="Times New Roman" w:eastAsia="宋体"/>
                <w:b w:val="0"/>
                <w:sz w:val="17"/>
              </w:rPr>
              <w:t>训练检查点、配置与日志、阶段性指标、中期材料</w:t>
            </w:r>
          </w:p>
        </w:tc>
      </w:tr>
      <w:tr w14:paraId="7D609C3A">
        <w:trPr>
          <w:jc w:val="center"/>
        </w:trPr>
        <w:tc>
          <w:tcPr>
            <w:tcW w:w="2765" w:type="dxa"/>
            <w:vAlign w:val="center"/>
          </w:tcPr>
          <w:p w14:paraId="2821F67D">
            <w:pPr>
              <w:spacing w:before="0" w:after="0" w:line="240" w:lineRule="auto"/>
              <w:ind w:firstLine="0"/>
              <w:jc w:val="center"/>
            </w:pPr>
            <w:r>
              <w:rPr>
                <w:rFonts w:ascii="Times New Roman" w:hAnsi="Times New Roman" w:eastAsia="宋体"/>
                <w:b w:val="0"/>
                <w:sz w:val="17"/>
              </w:rPr>
              <w:t>2027年3月—4月：补充实验、部署评测与统计分析</w:t>
            </w:r>
          </w:p>
        </w:tc>
        <w:tc>
          <w:tcPr>
            <w:tcW w:w="2765" w:type="dxa"/>
            <w:vAlign w:val="center"/>
          </w:tcPr>
          <w:p w14:paraId="462082D6">
            <w:pPr>
              <w:spacing w:before="0" w:after="0" w:line="240" w:lineRule="auto"/>
              <w:ind w:firstLine="0"/>
              <w:jc w:val="center"/>
            </w:pPr>
            <w:r>
              <w:rPr>
                <w:rFonts w:ascii="Times New Roman" w:hAnsi="Times New Roman" w:eastAsia="宋体"/>
                <w:b w:val="0"/>
                <w:sz w:val="17"/>
              </w:rPr>
              <w:t>完成主要组合、必要的重复实验与消融实验；搭建 Function Calling／Agent 测试环境，统计任务正确性、训练稳定性、显存、吞吐、延迟和训练耗时。</w:t>
            </w:r>
          </w:p>
        </w:tc>
        <w:tc>
          <w:tcPr>
            <w:tcW w:w="2765" w:type="dxa"/>
            <w:vAlign w:val="center"/>
          </w:tcPr>
          <w:p w14:paraId="240C3C05">
            <w:pPr>
              <w:spacing w:before="0" w:after="0" w:line="240" w:lineRule="auto"/>
              <w:ind w:firstLine="0"/>
              <w:jc w:val="center"/>
            </w:pPr>
            <w:r>
              <w:rPr>
                <w:rFonts w:ascii="Times New Roman" w:hAnsi="Times New Roman" w:eastAsia="宋体"/>
                <w:b w:val="0"/>
                <w:sz w:val="17"/>
              </w:rPr>
              <w:t>原始结果、统计表、误差分类、对比图与复现记录</w:t>
            </w:r>
          </w:p>
        </w:tc>
      </w:tr>
      <w:tr w14:paraId="00B1C773">
        <w:trPr>
          <w:jc w:val="center"/>
        </w:trPr>
        <w:tc>
          <w:tcPr>
            <w:tcW w:w="2765" w:type="dxa"/>
            <w:vAlign w:val="center"/>
          </w:tcPr>
          <w:p w14:paraId="26199C17">
            <w:pPr>
              <w:spacing w:before="0" w:after="0" w:line="240" w:lineRule="auto"/>
              <w:ind w:firstLine="0"/>
              <w:jc w:val="center"/>
            </w:pPr>
            <w:r>
              <w:rPr>
                <w:rFonts w:ascii="Times New Roman" w:hAnsi="Times New Roman" w:eastAsia="宋体"/>
                <w:b w:val="0"/>
                <w:sz w:val="17"/>
              </w:rPr>
              <w:t>2027年4月—5月：论文撰写、结题与答辩</w:t>
            </w:r>
          </w:p>
        </w:tc>
        <w:tc>
          <w:tcPr>
            <w:tcW w:w="2765" w:type="dxa"/>
            <w:vAlign w:val="center"/>
          </w:tcPr>
          <w:p w14:paraId="6C687A60">
            <w:pPr>
              <w:spacing w:before="0" w:after="0" w:line="240" w:lineRule="auto"/>
              <w:ind w:firstLine="0"/>
              <w:jc w:val="center"/>
            </w:pPr>
            <w:r>
              <w:rPr>
                <w:rFonts w:ascii="Times New Roman" w:hAnsi="Times New Roman" w:eastAsia="宋体"/>
                <w:b w:val="0"/>
                <w:sz w:val="17"/>
              </w:rPr>
              <w:t>完成结果分析、资源—性能权衡和失败案例讨论；整理复现材料，撰写并修改毕业论文；预计于 2027 年 5 月完成结题申请与答辩。</w:t>
            </w:r>
          </w:p>
        </w:tc>
        <w:tc>
          <w:tcPr>
            <w:tcW w:w="2765" w:type="dxa"/>
            <w:vAlign w:val="center"/>
          </w:tcPr>
          <w:p w14:paraId="5D013A9B">
            <w:pPr>
              <w:spacing w:before="0" w:after="0" w:line="240" w:lineRule="auto"/>
              <w:ind w:firstLine="0"/>
              <w:jc w:val="center"/>
            </w:pPr>
            <w:r>
              <w:rPr>
                <w:rFonts w:ascii="Times New Roman" w:hAnsi="Times New Roman" w:eastAsia="宋体"/>
                <w:b w:val="0"/>
                <w:sz w:val="17"/>
              </w:rPr>
              <w:t>论文定稿、复现说明、结题材料与答辩材料</w:t>
            </w:r>
          </w:p>
        </w:tc>
      </w:tr>
    </w:tbl>
    <w:p w14:paraId="5C44C5F3">
      <w:pPr>
        <w:spacing w:after="160"/>
        <w:ind w:firstLine="0"/>
        <w:jc w:val="center"/>
      </w:pPr>
      <w:r>
        <w:drawing>
          <wp:inline distT="0" distB="0" distL="114300" distR="114300">
            <wp:extent cx="5806440" cy="28797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806440" cy="2879994"/>
                    </a:xfrm>
                    <a:prstGeom prst="rect">
                      <a:avLst/>
                    </a:prstGeom>
                  </pic:spPr>
                </pic:pic>
              </a:graphicData>
            </a:graphic>
          </wp:inline>
        </w:drawing>
      </w:r>
    </w:p>
    <w:p w14:paraId="7EFD41D3">
      <w:pPr>
        <w:spacing w:before="0" w:after="120" w:line="240" w:lineRule="auto"/>
        <w:ind w:firstLine="0"/>
        <w:jc w:val="center"/>
      </w:pPr>
      <w:r>
        <w:rPr>
          <w:rFonts w:ascii="Times New Roman" w:hAnsi="Times New Roman" w:eastAsia="宋体"/>
          <w:sz w:val="21"/>
        </w:rPr>
        <w:t xml:space="preserve">图 </w:t>
      </w:r>
      <w:bookmarkStart w:id="36" w:name="_RefFigure3"/>
      <w:r>
        <w:rPr>
          <w:rFonts w:ascii="Times New Roman" w:hAnsi="Times New Roman" w:eastAsia="宋体"/>
          <w:sz w:val="21"/>
        </w:rPr>
        <w:fldChar w:fldCharType="begin"/>
      </w:r>
      <w:r>
        <w:rPr>
          <w:rFonts w:ascii="Times New Roman" w:hAnsi="Times New Roman" w:eastAsia="宋体"/>
          <w:sz w:val="21"/>
        </w:rPr>
        <w:instrText xml:space="preserve"> SEQ Figure \* ARABIC </w:instrText>
      </w:r>
      <w:r>
        <w:rPr>
          <w:rFonts w:ascii="Times New Roman" w:hAnsi="Times New Roman" w:eastAsia="宋体"/>
          <w:sz w:val="21"/>
        </w:rPr>
        <w:fldChar w:fldCharType="separate"/>
      </w:r>
      <w:r>
        <w:rPr>
          <w:rFonts w:ascii="Times New Roman" w:hAnsi="Times New Roman" w:eastAsia="宋体"/>
          <w:sz w:val="21"/>
        </w:rPr>
        <w:t>3</w:t>
      </w:r>
      <w:r>
        <w:rPr>
          <w:rFonts w:ascii="Times New Roman" w:hAnsi="Times New Roman" w:eastAsia="宋体"/>
          <w:sz w:val="21"/>
        </w:rPr>
        <w:fldChar w:fldCharType="end"/>
      </w:r>
      <w:bookmarkEnd w:id="36"/>
      <w:r>
        <w:rPr>
          <w:rFonts w:ascii="Times New Roman" w:hAnsi="Times New Roman" w:eastAsia="宋体"/>
          <w:sz w:val="21"/>
        </w:rPr>
        <w:t xml:space="preserve">  项目总体进度安排</w:t>
      </w:r>
    </w:p>
    <w:p w14:paraId="13935738">
      <w:pPr>
        <w:ind w:firstLine="420"/>
        <w:jc w:val="both"/>
      </w:pPr>
      <w:r>
        <w:t>整个研究周期为 2026 年 9 月至 2027 年 5 月。2026 年内重点完成开题、数据准备、兼容性审计和训练管线实现；2027 年 2 月起开展正式实验，并在 3 月中期申请前形成阶段性结果；随后完成补充实验、部署评测与统计分析，4—5 月集中完成论文、结题和答辩材料。</w:t>
      </w:r>
    </w:p>
    <w:p w14:paraId="2E4BC355">
      <w:pPr>
        <w:pStyle w:val="3"/>
      </w:pPr>
      <w:bookmarkStart w:id="37" w:name="_Toc865046750"/>
      <w:r>
        <w:rPr>
          <w:rFonts w:ascii="黑体" w:hAnsi="黑体" w:eastAsia="黑体" w:cs="黑体"/>
          <w:b/>
          <w:color w:val="000000"/>
          <w:sz w:val="24"/>
        </w:rPr>
        <w:t>5.2 预期达到的目标</w:t>
      </w:r>
      <w:bookmarkEnd w:id="37"/>
    </w:p>
    <w:p w14:paraId="5C45F9E1">
      <w:pPr>
        <w:pStyle w:val="17"/>
        <w:ind w:firstLine="420"/>
        <w:jc w:val="left"/>
      </w:pPr>
      <w:r>
        <w:t>1. 建立以 Qwen3-0.6B 为学生、冻结的 Qwen3-4B 为教师的 LoRA 在线策略蒸馏流程。</w:t>
      </w:r>
    </w:p>
    <w:p w14:paraId="661280AE">
      <w:pPr>
        <w:pStyle w:val="17"/>
        <w:ind w:firstLine="420"/>
        <w:jc w:val="left"/>
      </w:pPr>
      <w:r>
        <w:t>2. 在公开 Function Calling 数据上比较 Forward KL、Reverse KL、广义散度，以及全词表、Top-K 和 K1 sampled-token 三种监督方案。</w:t>
      </w:r>
    </w:p>
    <w:p w14:paraId="4D24F9B5">
      <w:pPr>
        <w:pStyle w:val="17"/>
        <w:ind w:firstLine="420"/>
        <w:jc w:val="left"/>
      </w:pPr>
      <w:r>
        <w:t>3. 建立分层评测方法，分别分析输出格式、函数选择、参数生成、调用执行和端到端任务完成情况。</w:t>
      </w:r>
    </w:p>
    <w:p w14:paraId="444409D5">
      <w:pPr>
        <w:pStyle w:val="17"/>
        <w:ind w:firstLine="420"/>
        <w:jc w:val="left"/>
      </w:pPr>
      <w:r>
        <w:t>4. 系统记录各方法的训练稳定性、教师反馈量、训练资源和部署表现。</w:t>
      </w:r>
    </w:p>
    <w:p w14:paraId="1F6068D2">
      <w:pPr>
        <w:pStyle w:val="17"/>
        <w:ind w:firstLine="420"/>
        <w:jc w:val="left"/>
      </w:pPr>
      <w:r>
        <w:t>5. 通过 vLLM 或自建测试程序验证最终模型，形成任务性能、训练成本和推理性能的对比结果。</w:t>
      </w:r>
    </w:p>
    <w:p w14:paraId="34BA0ABE">
      <w:pPr>
        <w:pStyle w:val="17"/>
        <w:ind w:firstLine="420"/>
        <w:jc w:val="left"/>
      </w:pPr>
      <w:r>
        <w:t>6. 完成中文项目文档、实验记录、毕业论文和答辩材料。</w:t>
      </w:r>
    </w:p>
    <w:p w14:paraId="11B7E0CE">
      <w:pPr>
        <w:ind w:firstLine="420"/>
        <w:jc w:val="both"/>
      </w:pPr>
      <w:r>
        <w:t>预期成果包括一套定义清晰、能够复现的 OPD 训练流程，一份公开数据与模型版本记录，一组能够解释方法差异的实验指标，以及一套可重复运行的最终测试流程。</w:t>
      </w:r>
    </w:p>
    <w:p w14:paraId="629A1AD4">
      <w:pPr>
        <w:pStyle w:val="2"/>
      </w:pPr>
      <w:bookmarkStart w:id="38" w:name="_Toc376437060"/>
      <w:r>
        <w:rPr>
          <w:rFonts w:ascii="黑体" w:hAnsi="黑体" w:eastAsia="黑体" w:cs="黑体"/>
          <w:b/>
          <w:color w:val="000000"/>
          <w:sz w:val="28"/>
        </w:rPr>
        <w:t>6．课题已具备和所需的条件、经费</w:t>
      </w:r>
      <w:bookmarkEnd w:id="38"/>
    </w:p>
    <w:p w14:paraId="15508BCB">
      <w:pPr>
        <w:pStyle w:val="3"/>
      </w:pPr>
      <w:bookmarkStart w:id="39" w:name="_Toc290843358"/>
      <w:r>
        <w:rPr>
          <w:rFonts w:ascii="黑体" w:hAnsi="黑体" w:eastAsia="黑体" w:cs="黑体"/>
          <w:b/>
          <w:color w:val="000000"/>
          <w:sz w:val="24"/>
        </w:rPr>
        <w:t>6.1 已具备条件</w:t>
      </w:r>
      <w:bookmarkEnd w:id="39"/>
    </w:p>
    <w:p w14:paraId="27E56054">
      <w:pPr>
        <w:ind w:firstLine="420"/>
        <w:jc w:val="both"/>
      </w:pPr>
      <w:r>
        <w:t>目前已经明确研究方向、模型组合、LoRA 后训练路线和 Function Calling 应用场景，并完成相关文献与模型资料调研。PyTorch、Transformers、PEFT、Datasets 和 vLLM 等开源工具可支持后续的数据处理、模型训练与部署评测。</w:t>
      </w:r>
    </w:p>
    <w:p w14:paraId="649F9E8B">
      <w:pPr>
        <w:pStyle w:val="3"/>
      </w:pPr>
      <w:bookmarkStart w:id="40" w:name="_Toc531537334"/>
      <w:r>
        <w:rPr>
          <w:rFonts w:ascii="黑体" w:hAnsi="黑体" w:eastAsia="黑体" w:cs="黑体"/>
          <w:b/>
          <w:color w:val="000000"/>
          <w:sz w:val="24"/>
        </w:rPr>
        <w:t>6.2 所需条件</w:t>
      </w:r>
      <w:bookmarkEnd w:id="40"/>
    </w:p>
    <w:p w14:paraId="246A73AD">
      <w:pPr>
        <w:ind w:firstLine="420"/>
        <w:jc w:val="both"/>
      </w:pPr>
      <w:r>
        <w:t>软件环境包括 Python、PyTorch、Transformers、PEFT、Datasets 和 vLLM；硬件需要支持 Qwen3-4B 教师推理、Qwen3-0.6B 学生 rollout 与 LoRA 更新。实验将依据可用显存设置序列长度、批量大小、梯度累积、混合精度和教师输出缓存。</w:t>
      </w:r>
    </w:p>
    <w:p w14:paraId="56F2417D">
      <w:pPr>
        <w:pStyle w:val="3"/>
      </w:pPr>
      <w:bookmarkStart w:id="41" w:name="_Toc16001018"/>
      <w:r>
        <w:rPr>
          <w:rFonts w:ascii="黑体" w:hAnsi="黑体" w:eastAsia="黑体" w:cs="黑体"/>
          <w:b/>
          <w:color w:val="000000"/>
          <w:sz w:val="24"/>
        </w:rPr>
        <w:t>6.3 经费</w:t>
      </w:r>
      <w:bookmarkEnd w:id="41"/>
    </w:p>
    <w:p w14:paraId="31301070">
      <w:pPr>
        <w:spacing w:before="0" w:after="0" w:line="360" w:lineRule="auto"/>
        <w:ind w:firstLine="420"/>
        <w:jc w:val="both"/>
      </w:pPr>
      <w:r>
        <w:rPr>
          <w:rFonts w:ascii="Times New Roman" w:hAnsi="Times New Roman" w:eastAsia="宋体"/>
          <w:sz w:val="24"/>
        </w:rPr>
        <w:t>经费主要用于租赁 GPU 算力，支持 Qwen3-4B 教师在线评分、Qwen3-0.6B 学生 rollout、LoRA 训练，以及多组对照与必要的重复实验。预算按计划上限编制，实际支出将依据 GPU 实例类型、有效运行时长和存储用量据实结算。</w:t>
      </w:r>
    </w:p>
    <w:p w14:paraId="190CF806">
      <w:pPr>
        <w:spacing w:before="0" w:after="0" w:line="360" w:lineRule="auto"/>
        <w:ind w:firstLine="420"/>
        <w:jc w:val="both"/>
        <w:rPr>
          <w:rFonts w:ascii="Times New Roman" w:hAnsi="Times New Roman" w:eastAsia="宋体"/>
          <w:sz w:val="24"/>
        </w:rPr>
      </w:pPr>
      <w:r>
        <w:rPr>
          <w:rFonts w:ascii="Times New Roman" w:hAnsi="Times New Roman" w:eastAsia="宋体"/>
          <w:sz w:val="24"/>
        </w:rPr>
        <w:t>为避免无效支出，正式训练前先在小规模数据上完成 tokenizer、模板、schema 和损失实现审计。实验统一记录 GPU 型号、计费时长、失败重跑原因和有效训练时长，以便把资源消耗与性能收益对应起来。</w:t>
      </w:r>
    </w:p>
    <w:p w14:paraId="646AF9F9">
      <w:pPr>
        <w:keepNext/>
        <w:spacing w:before="80" w:after="80" w:line="240" w:lineRule="auto"/>
        <w:ind w:left="0" w:right="0" w:firstLine="0"/>
        <w:jc w:val="center"/>
      </w:pPr>
      <w:r>
        <w:rPr>
          <w:rFonts w:ascii="Times New Roman" w:hAnsi="Times New Roman" w:eastAsia="Songti SC"/>
          <w:sz w:val="21"/>
        </w:rPr>
        <w:t xml:space="preserve">表 </w:t>
      </w:r>
      <w:bookmarkStart w:id="42" w:name="_RefTable6_1"/>
      <w:r>
        <w:rPr>
          <w:rFonts w:ascii="Times New Roman" w:hAnsi="Times New Roman" w:eastAsia="Songti SC"/>
          <w:sz w:val="21"/>
        </w:rPr>
        <w:t>6-</w:t>
      </w:r>
      <w:r>
        <w:rPr>
          <w:rFonts w:ascii="Times New Roman" w:hAnsi="Times New Roman" w:eastAsia="Songti SC"/>
          <w:sz w:val="21"/>
        </w:rPr>
        <w:fldChar w:fldCharType="begin"/>
      </w:r>
      <w:r>
        <w:rPr>
          <w:rFonts w:ascii="Times New Roman" w:hAnsi="Times New Roman" w:eastAsia="Songti SC"/>
          <w:sz w:val="21"/>
        </w:rPr>
        <w:instrText xml:space="preserve"> SEQ TableCh6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2"/>
      <w:r>
        <w:rPr>
          <w:rFonts w:ascii="Times New Roman" w:hAnsi="Times New Roman" w:eastAsia="Songti SC"/>
          <w:sz w:val="21"/>
        </w:rPr>
        <w:t xml:space="preserve">  经费预算</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6"/>
        <w:gridCol w:w="2076"/>
        <w:gridCol w:w="2076"/>
        <w:gridCol w:w="2076"/>
      </w:tblGrid>
      <w:tr w14:paraId="0C2DD1FB">
        <w:trPr>
          <w:jc w:val="center"/>
        </w:trPr>
        <w:tc>
          <w:tcPr>
            <w:tcW w:w="2076" w:type="dxa"/>
            <w:vAlign w:val="center"/>
          </w:tcPr>
          <w:p w14:paraId="3C121689">
            <w:pPr>
              <w:spacing w:before="0" w:after="0" w:line="240" w:lineRule="auto"/>
              <w:ind w:firstLine="0"/>
              <w:jc w:val="center"/>
            </w:pPr>
            <w:r>
              <w:rPr>
                <w:rFonts w:ascii="Times New Roman" w:hAnsi="Times New Roman" w:eastAsia="宋体"/>
                <w:b/>
                <w:sz w:val="17"/>
              </w:rPr>
              <w:t>经费项目</w:t>
            </w:r>
          </w:p>
        </w:tc>
        <w:tc>
          <w:tcPr>
            <w:tcW w:w="2076" w:type="dxa"/>
            <w:vAlign w:val="center"/>
          </w:tcPr>
          <w:p w14:paraId="504374F8">
            <w:pPr>
              <w:spacing w:before="0" w:after="0" w:line="240" w:lineRule="auto"/>
              <w:ind w:firstLine="0"/>
              <w:jc w:val="center"/>
            </w:pPr>
            <w:r>
              <w:rPr>
                <w:rFonts w:ascii="Times New Roman" w:hAnsi="Times New Roman" w:eastAsia="宋体"/>
                <w:b/>
                <w:sz w:val="17"/>
              </w:rPr>
              <w:t>预算金额（元）</w:t>
            </w:r>
          </w:p>
        </w:tc>
        <w:tc>
          <w:tcPr>
            <w:tcW w:w="2076" w:type="dxa"/>
            <w:vAlign w:val="center"/>
          </w:tcPr>
          <w:p w14:paraId="7EA34E55">
            <w:pPr>
              <w:spacing w:before="0" w:after="0" w:line="240" w:lineRule="auto"/>
              <w:ind w:firstLine="0"/>
              <w:jc w:val="center"/>
            </w:pPr>
            <w:r>
              <w:rPr>
                <w:rFonts w:ascii="Times New Roman" w:hAnsi="Times New Roman" w:eastAsia="宋体"/>
                <w:b/>
                <w:sz w:val="17"/>
              </w:rPr>
              <w:t>主要用途</w:t>
            </w:r>
          </w:p>
        </w:tc>
        <w:tc>
          <w:tcPr>
            <w:tcW w:w="2076" w:type="dxa"/>
            <w:vAlign w:val="center"/>
          </w:tcPr>
          <w:p w14:paraId="51138F93">
            <w:pPr>
              <w:spacing w:before="0" w:after="0" w:line="240" w:lineRule="auto"/>
              <w:ind w:firstLine="0"/>
              <w:jc w:val="center"/>
            </w:pPr>
            <w:r>
              <w:rPr>
                <w:rFonts w:ascii="Times New Roman" w:hAnsi="Times New Roman" w:eastAsia="宋体"/>
                <w:b/>
                <w:sz w:val="17"/>
              </w:rPr>
              <w:t>控制方式</w:t>
            </w:r>
          </w:p>
        </w:tc>
      </w:tr>
      <w:tr w14:paraId="4EE61648">
        <w:trPr>
          <w:jc w:val="center"/>
        </w:trPr>
        <w:tc>
          <w:tcPr>
            <w:tcW w:w="2076" w:type="dxa"/>
            <w:vAlign w:val="center"/>
          </w:tcPr>
          <w:p w14:paraId="749F58B2">
            <w:pPr>
              <w:spacing w:before="0" w:after="0" w:line="240" w:lineRule="auto"/>
              <w:ind w:firstLine="0"/>
              <w:jc w:val="center"/>
            </w:pPr>
            <w:r>
              <w:rPr>
                <w:rFonts w:ascii="Times New Roman" w:hAnsi="Times New Roman" w:eastAsia="宋体"/>
                <w:b w:val="0"/>
                <w:sz w:val="17"/>
              </w:rPr>
              <w:t>GPU 算力租赁</w:t>
            </w:r>
          </w:p>
        </w:tc>
        <w:tc>
          <w:tcPr>
            <w:tcW w:w="2076" w:type="dxa"/>
            <w:vAlign w:val="center"/>
          </w:tcPr>
          <w:p w14:paraId="4FE87205">
            <w:pPr>
              <w:spacing w:before="0" w:after="0" w:line="240" w:lineRule="auto"/>
              <w:ind w:firstLine="0"/>
              <w:jc w:val="center"/>
              <w:rPr>
                <w:rFonts w:hint="default" w:eastAsia="宋体"/>
                <w:lang w:val="en-US" w:eastAsia="zh-CN"/>
              </w:rPr>
            </w:pPr>
            <w:r>
              <w:rPr>
                <w:rFonts w:hint="eastAsia"/>
                <w:b w:val="0"/>
                <w:sz w:val="17"/>
                <w:lang w:eastAsia="zh-CN"/>
              </w:rPr>
              <w:t>～</w:t>
            </w:r>
            <w:r>
              <w:rPr>
                <w:rFonts w:hint="eastAsia"/>
                <w:b w:val="0"/>
                <w:sz w:val="17"/>
                <w:lang w:val="en-US" w:eastAsia="zh-CN"/>
              </w:rPr>
              <w:t>1000</w:t>
            </w:r>
          </w:p>
        </w:tc>
        <w:tc>
          <w:tcPr>
            <w:tcW w:w="2076" w:type="dxa"/>
            <w:vAlign w:val="center"/>
          </w:tcPr>
          <w:p w14:paraId="5D512F11">
            <w:pPr>
              <w:spacing w:before="0" w:after="0" w:line="240" w:lineRule="auto"/>
              <w:ind w:firstLine="0"/>
              <w:jc w:val="center"/>
              <w:rPr>
                <w:rFonts w:hint="default" w:eastAsia="宋体"/>
                <w:lang w:val="en-US" w:eastAsia="zh-CN"/>
              </w:rPr>
            </w:pPr>
            <w:r>
              <w:rPr>
                <w:rFonts w:ascii="Times New Roman" w:hAnsi="Times New Roman" w:eastAsia="宋体"/>
                <w:b w:val="0"/>
                <w:sz w:val="17"/>
              </w:rPr>
              <w:t>教师在线推理、学生 rollout、LoRA 训练、多组对照和必要的重复实验；计划使用 NVIDIA GeForce RTX 5090 32 GB</w:t>
            </w:r>
          </w:p>
        </w:tc>
        <w:tc>
          <w:tcPr>
            <w:tcW w:w="2076" w:type="dxa"/>
            <w:vAlign w:val="center"/>
          </w:tcPr>
          <w:p w14:paraId="0925485A">
            <w:pPr>
              <w:spacing w:before="0" w:after="0" w:line="240" w:lineRule="auto"/>
              <w:ind w:firstLine="0"/>
              <w:jc w:val="center"/>
              <w:rPr>
                <w:rFonts w:hint="default" w:eastAsia="宋体"/>
                <w:lang w:val="en-US" w:eastAsia="zh-CN"/>
              </w:rPr>
            </w:pPr>
            <w:r>
              <w:rPr>
                <w:rFonts w:ascii="Times New Roman" w:hAnsi="Times New Roman" w:eastAsia="宋体"/>
                <w:b w:val="0"/>
                <w:sz w:val="17"/>
              </w:rPr>
              <w:t>按小时计费，预计费率为 8 元／小时</w:t>
            </w:r>
          </w:p>
        </w:tc>
      </w:tr>
      <w:tr w14:paraId="525F4864">
        <w:trPr>
          <w:jc w:val="center"/>
        </w:trPr>
        <w:tc>
          <w:tcPr>
            <w:tcW w:w="2076" w:type="dxa"/>
            <w:vAlign w:val="center"/>
          </w:tcPr>
          <w:p w14:paraId="302DE3CF">
            <w:pPr>
              <w:spacing w:before="0" w:after="0" w:line="240" w:lineRule="auto"/>
              <w:ind w:firstLine="0"/>
              <w:jc w:val="center"/>
            </w:pPr>
            <w:r>
              <w:rPr>
                <w:rFonts w:ascii="Times New Roman" w:hAnsi="Times New Roman" w:eastAsia="宋体"/>
                <w:b w:val="0"/>
                <w:sz w:val="17"/>
              </w:rPr>
              <w:t>合计</w:t>
            </w:r>
          </w:p>
        </w:tc>
        <w:tc>
          <w:tcPr>
            <w:tcW w:w="2076" w:type="dxa"/>
            <w:vAlign w:val="center"/>
          </w:tcPr>
          <w:p w14:paraId="4A52070C">
            <w:pPr>
              <w:spacing w:before="0" w:after="0" w:line="240" w:lineRule="auto"/>
              <w:ind w:firstLine="0"/>
              <w:jc w:val="center"/>
              <w:rPr>
                <w:rFonts w:hint="default" w:eastAsia="宋体"/>
                <w:lang w:val="en-US" w:eastAsia="zh-CN"/>
              </w:rPr>
            </w:pPr>
            <w:r>
              <w:rPr>
                <w:rFonts w:hint="default"/>
                <w:b w:val="0"/>
                <w:sz w:val="17"/>
                <w:lang w:val="en-US" w:eastAsia="zh-CN"/>
              </w:rPr>
              <w:t>约 1000</w:t>
            </w:r>
          </w:p>
        </w:tc>
        <w:tc>
          <w:tcPr>
            <w:tcW w:w="2076" w:type="dxa"/>
            <w:vAlign w:val="center"/>
          </w:tcPr>
          <w:p w14:paraId="3475160D">
            <w:pPr>
              <w:spacing w:before="0" w:after="0" w:line="240" w:lineRule="auto"/>
              <w:ind w:firstLine="0"/>
              <w:jc w:val="center"/>
              <w:rPr>
                <w:rFonts w:hint="default" w:eastAsia="宋体"/>
                <w:lang w:val="en-US" w:eastAsia="zh-CN"/>
              </w:rPr>
            </w:pPr>
            <w:r>
              <w:rPr>
                <w:rFonts w:hint="default"/>
                <w:lang w:val="en-US" w:eastAsia="zh-CN"/>
              </w:rPr>
              <w:t>—</w:t>
            </w:r>
          </w:p>
        </w:tc>
        <w:tc>
          <w:tcPr>
            <w:tcW w:w="2076" w:type="dxa"/>
            <w:vAlign w:val="center"/>
          </w:tcPr>
          <w:p w14:paraId="4887EE35">
            <w:pPr>
              <w:spacing w:before="0" w:after="0" w:line="240" w:lineRule="auto"/>
              <w:ind w:firstLine="0"/>
              <w:jc w:val="center"/>
              <w:rPr>
                <w:rFonts w:hint="default" w:eastAsia="宋体"/>
                <w:lang w:val="en-US" w:eastAsia="zh-CN"/>
              </w:rPr>
            </w:pPr>
            <w:r>
              <w:rPr>
                <w:rFonts w:hint="default"/>
                <w:lang w:val="en-US" w:eastAsia="zh-CN"/>
              </w:rPr>
              <w:t>—</w:t>
            </w:r>
          </w:p>
        </w:tc>
      </w:tr>
    </w:tbl>
    <w:p w14:paraId="15A9EA17">
      <w:pPr>
        <w:pStyle w:val="2"/>
        <w:pageBreakBefore/>
      </w:pPr>
      <w:bookmarkStart w:id="43" w:name="_Toc493653651"/>
      <w:r>
        <w:rPr>
          <w:rFonts w:ascii="黑体" w:hAnsi="黑体" w:eastAsia="黑体" w:cs="黑体"/>
          <w:b/>
          <w:color w:val="000000"/>
          <w:sz w:val="28"/>
        </w:rPr>
        <w:t>7．研究过程中可能遇到的困难和问题，解决的措施</w:t>
      </w:r>
      <w:bookmarkEnd w:id="43"/>
    </w:p>
    <w:p w14:paraId="2A5C30F9">
      <w:pPr>
        <w:ind w:firstLine="420"/>
        <w:jc w:val="both"/>
      </w:pPr>
      <w:r>
        <w:t>研究中可能遇到的问题主要集中在数据与接口、蒸馏估计、训练资源和部署评测四个方面，相应措施如下：</w:t>
      </w:r>
    </w:p>
    <w:p w14:paraId="21DF0A10">
      <w:pPr>
        <w:keepNext/>
        <w:spacing w:before="80" w:after="80" w:line="240" w:lineRule="auto"/>
        <w:ind w:left="0" w:right="0" w:firstLine="0"/>
        <w:jc w:val="center"/>
      </w:pPr>
      <w:r>
        <w:rPr>
          <w:rFonts w:ascii="Times New Roman" w:hAnsi="Times New Roman" w:eastAsia="Songti SC"/>
          <w:sz w:val="21"/>
        </w:rPr>
        <w:t xml:space="preserve">表 </w:t>
      </w:r>
      <w:bookmarkStart w:id="44" w:name="_RefTable7_1"/>
      <w:r>
        <w:rPr>
          <w:rFonts w:ascii="Times New Roman" w:hAnsi="Times New Roman" w:eastAsia="Songti SC"/>
          <w:sz w:val="21"/>
        </w:rPr>
        <w:t>7-</w:t>
      </w:r>
      <w:r>
        <w:rPr>
          <w:rFonts w:ascii="Times New Roman" w:hAnsi="Times New Roman" w:eastAsia="Songti SC"/>
          <w:sz w:val="21"/>
        </w:rPr>
        <w:fldChar w:fldCharType="begin"/>
      </w:r>
      <w:r>
        <w:rPr>
          <w:rFonts w:ascii="Times New Roman" w:hAnsi="Times New Roman" w:eastAsia="Songti SC"/>
          <w:sz w:val="21"/>
        </w:rPr>
        <w:instrText xml:space="preserve"> SEQ TableCh7 \* ARABIC </w:instrText>
      </w:r>
      <w:r>
        <w:rPr>
          <w:rFonts w:ascii="Times New Roman" w:hAnsi="Times New Roman" w:eastAsia="Songti SC"/>
          <w:sz w:val="21"/>
        </w:rPr>
        <w:fldChar w:fldCharType="separate"/>
      </w:r>
      <w:r>
        <w:rPr>
          <w:rFonts w:ascii="Times New Roman" w:hAnsi="Times New Roman" w:eastAsia="Songti SC"/>
          <w:sz w:val="21"/>
        </w:rPr>
        <w:t>1</w:t>
      </w:r>
      <w:r>
        <w:rPr>
          <w:rFonts w:ascii="Times New Roman" w:hAnsi="Times New Roman" w:eastAsia="Songti SC"/>
          <w:sz w:val="21"/>
        </w:rPr>
        <w:fldChar w:fldCharType="end"/>
      </w:r>
      <w:bookmarkEnd w:id="44"/>
      <w:r>
        <w:rPr>
          <w:rFonts w:ascii="Times New Roman" w:hAnsi="Times New Roman" w:eastAsia="Songti SC"/>
          <w:sz w:val="21"/>
        </w:rPr>
        <w:t xml:space="preserve">  研究困难及解决措施</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148"/>
        <w:gridCol w:w="4148"/>
      </w:tblGrid>
      <w:tr w14:paraId="75D113B3">
        <w:trPr>
          <w:tblHeader/>
        </w:trPr>
        <w:tc>
          <w:tcPr>
            <w:tcW w:w="4148" w:type="dxa"/>
          </w:tcPr>
          <w:p w14:paraId="4D407EE9">
            <w:pPr>
              <w:ind w:firstLine="0"/>
              <w:jc w:val="left"/>
            </w:pPr>
            <w:r>
              <w:rPr>
                <w:b/>
              </w:rPr>
              <w:t>可能遇到的困难和问题</w:t>
            </w:r>
          </w:p>
        </w:tc>
        <w:tc>
          <w:tcPr>
            <w:tcW w:w="4148" w:type="dxa"/>
          </w:tcPr>
          <w:p w14:paraId="1E1D7A71">
            <w:pPr>
              <w:ind w:firstLine="0"/>
              <w:jc w:val="left"/>
            </w:pPr>
            <w:r>
              <w:t>解决措施</w:t>
            </w:r>
          </w:p>
        </w:tc>
      </w:tr>
      <w:tr w14:paraId="1085C875">
        <w:tc>
          <w:tcPr>
            <w:tcW w:w="4148" w:type="dxa"/>
          </w:tcPr>
          <w:p w14:paraId="46825A20">
            <w:pPr>
              <w:ind w:firstLine="0"/>
              <w:jc w:val="left"/>
            </w:pPr>
            <w:r>
              <w:t>师生 tokenizer、模板或特殊 token 不兼容</w:t>
            </w:r>
          </w:p>
        </w:tc>
        <w:tc>
          <w:tcPr>
            <w:tcW w:w="4148" w:type="dxa"/>
          </w:tcPr>
          <w:p w14:paraId="1363BBD0">
            <w:pPr>
              <w:ind w:firstLine="0"/>
              <w:jc w:val="left"/>
            </w:pPr>
            <w:r>
              <w:t>训练前审计并记录版本，通过对齐测试统一蒸馏输入。</w:t>
            </w:r>
          </w:p>
        </w:tc>
      </w:tr>
      <w:tr w14:paraId="134BDAAD">
        <w:tc>
          <w:tcPr>
            <w:tcW w:w="4148" w:type="dxa"/>
          </w:tcPr>
          <w:p w14:paraId="269B361C">
            <w:pPr>
              <w:ind w:firstLine="0"/>
              <w:jc w:val="left"/>
            </w:pPr>
            <w:r>
              <w:t>教师全词表反馈开销过高</w:t>
            </w:r>
          </w:p>
        </w:tc>
        <w:tc>
          <w:tcPr>
            <w:tcW w:w="4148" w:type="dxa"/>
          </w:tcPr>
          <w:p w14:paraId="60A7D942">
            <w:pPr>
              <w:ind w:firstLine="0"/>
              <w:jc w:val="left"/>
            </w:pPr>
            <w:r>
              <w:t>比较全词表、Top-K 和 K1 的反馈量，并采用分块计算、缓存与梯度累积控制资源开销。</w:t>
            </w:r>
          </w:p>
        </w:tc>
      </w:tr>
      <w:tr w14:paraId="66668A77">
        <w:tc>
          <w:tcPr>
            <w:tcW w:w="4148" w:type="dxa"/>
          </w:tcPr>
          <w:p w14:paraId="56DC85CD">
            <w:pPr>
              <w:ind w:firstLine="0"/>
              <w:jc w:val="left"/>
            </w:pPr>
            <w:r>
              <w:t>Top-K/K1 估计不稳定</w:t>
            </w:r>
          </w:p>
        </w:tc>
        <w:tc>
          <w:tcPr>
            <w:tcW w:w="4148" w:type="dxa"/>
          </w:tcPr>
          <w:p w14:paraId="05CCDD09">
            <w:pPr>
              <w:ind w:firstLine="0"/>
              <w:jc w:val="left"/>
            </w:pPr>
            <w:r>
              <w:t>记录支持集外概率、熵和异常损失；在主方案稳定运行后，再评估额外的稳定化方法。</w:t>
            </w:r>
          </w:p>
        </w:tc>
      </w:tr>
      <w:tr w14:paraId="675E933A">
        <w:tc>
          <w:tcPr>
            <w:tcW w:w="4148" w:type="dxa"/>
          </w:tcPr>
          <w:p w14:paraId="650F6C3E">
            <w:pPr>
              <w:ind w:firstLine="0"/>
              <w:jc w:val="left"/>
            </w:pPr>
            <w:r>
              <w:t>离线 token 指标与端到端调用结果不一致</w:t>
            </w:r>
          </w:p>
        </w:tc>
        <w:tc>
          <w:tcPr>
            <w:tcW w:w="4148" w:type="dxa"/>
          </w:tcPr>
          <w:p w14:paraId="3BB1B133">
            <w:pPr>
              <w:ind w:firstLine="0"/>
              <w:jc w:val="left"/>
            </w:pPr>
            <w:r>
              <w:t>分层报告格式、函数、参数、执行和端到端任务指标，并保留失败轨迹。</w:t>
            </w:r>
          </w:p>
        </w:tc>
      </w:tr>
      <w:tr w14:paraId="664DFE22">
        <w:tc>
          <w:tcPr>
            <w:tcW w:w="4148" w:type="dxa"/>
          </w:tcPr>
          <w:p w14:paraId="2D772E21">
            <w:pPr>
              <w:ind w:firstLine="0"/>
              <w:jc w:val="left"/>
            </w:pPr>
            <w:r>
              <w:t>推理后端兼容性问题</w:t>
            </w:r>
          </w:p>
        </w:tc>
        <w:tc>
          <w:tcPr>
            <w:tcW w:w="4148" w:type="dxa"/>
          </w:tcPr>
          <w:p w14:paraId="0595ED00">
            <w:pPr>
              <w:ind w:firstLine="0"/>
              <w:jc w:val="left"/>
            </w:pPr>
            <w:r>
              <w:t>先完成最小推理验证，再固定 vLLM 或自建测试程序的版本、加载方式与测量参数。</w:t>
            </w:r>
          </w:p>
        </w:tc>
      </w:tr>
    </w:tbl>
    <w:p w14:paraId="7661A5B1">
      <w:pPr>
        <w:ind w:firstLine="420"/>
        <w:jc w:val="both"/>
      </w:pPr>
      <w:r>
        <w:t>实施时，先完成数据、模型、tokenizer 和消息模板审计，再通过短序列验证、小批量训练、梯度累积、混合精度、教师输出缓存和分块计算控制资源开销。全词表、Top-K 和 K1 使用统一的支持集、采样与 mask 协议，并保存异常 loss、非法结构和失败工具调用等可追溯样本。</w:t>
      </w:r>
    </w:p>
    <w:p w14:paraId="59D0F03A">
      <w:pPr>
        <w:ind w:firstLine="420"/>
        <w:jc w:val="both"/>
      </w:pPr>
      <w:r>
        <w:t>实验日志按数据与接口、蒸馏估计、训练资源和部署评测四类记录问题。评测结果分层报告格式解析、函数选择、参数生成、工具执行和端到端任务完成情况，以便分别分析算法效果、资源成本与系统性能。</w:t>
      </w:r>
    </w:p>
    <w:p w14:paraId="1E1D72DA">
      <w:pPr>
        <w:ind w:firstLine="420"/>
        <w:jc w:val="both"/>
      </w:pPr>
      <w:r>
        <w:t>完成主要比较后，将进一步考察 Top-K 支持集修复和损失截断方法，包括合并师生高概率集合、保留残余概率质量和裁剪极端概率比，用于分析截断监督的稳定性。</w:t>
      </w:r>
    </w:p>
    <w:p w14:paraId="0874BB6A">
      <w:pPr>
        <w:pStyle w:val="2"/>
      </w:pPr>
      <w:bookmarkStart w:id="45" w:name="_Toc1107583996"/>
      <w:r>
        <w:rPr>
          <w:rFonts w:ascii="黑体" w:hAnsi="黑体" w:eastAsia="黑体" w:cs="黑体"/>
          <w:b/>
          <w:color w:val="000000"/>
          <w:sz w:val="28"/>
        </w:rPr>
        <w:t>8．主要参考文献</w:t>
      </w:r>
      <w:bookmarkEnd w:id="45"/>
    </w:p>
    <w:p w14:paraId="1DB37AB9">
      <w:pPr>
        <w:pStyle w:val="17"/>
        <w:numPr>
          <w:ilvl w:val="0"/>
          <w:numId w:val="1"/>
        </w:numPr>
        <w:ind w:firstLine="420"/>
        <w:jc w:val="left"/>
      </w:pPr>
      <w:r>
        <w:t>Hinton G, Vinyals O, Dean J. Distilling the Knowledge in a Neural Network[EB/OL]. arXiv:1503.02531, 2015.</w:t>
      </w:r>
    </w:p>
    <w:p w14:paraId="1ADC76CC">
      <w:pPr>
        <w:pStyle w:val="17"/>
        <w:numPr>
          <w:ilvl w:val="0"/>
          <w:numId w:val="1"/>
        </w:numPr>
        <w:ind w:firstLine="420"/>
        <w:jc w:val="left"/>
      </w:pPr>
      <w:r>
        <w:t>Kim Y, Rush A M. Sequence-Level Knowledge Distillation[C]//Proceedings of the 2016 Conference on Empirical Methods in Natural Language Processing. ACL, 2016: 1317-1327. DOI:10.18653/v1/D16-1139.</w:t>
      </w:r>
    </w:p>
    <w:p w14:paraId="4F6C6FD9">
      <w:pPr>
        <w:pStyle w:val="17"/>
        <w:numPr>
          <w:ilvl w:val="0"/>
          <w:numId w:val="1"/>
        </w:numPr>
        <w:ind w:firstLine="420"/>
        <w:jc w:val="left"/>
      </w:pPr>
      <w:r>
        <w:t>Ross S, Gordon G J, Bagnell J A. A Reduction of Imitation Learning and Structured Prediction to No-Regret Online Learning[C]//Proceedings of the Fourteenth International Conference on Artificial Intelligence and Statistics. PMLR, 2011, 15: 627-635.</w:t>
      </w:r>
    </w:p>
    <w:p w14:paraId="419C77D5">
      <w:pPr>
        <w:pStyle w:val="17"/>
        <w:numPr>
          <w:ilvl w:val="0"/>
          <w:numId w:val="1"/>
        </w:numPr>
        <w:ind w:firstLine="420"/>
        <w:jc w:val="left"/>
      </w:pPr>
      <w:r>
        <w:t>Lin A, Wohlwend J, Chen H, et al. Autoregressive Knowledge Distillation through Imitation Learning[C]//Proceedings of the 2020 Conference on Empirical Methods in Natural Language Processing. ACL, 2020: 6121-6133. DOI:10.18653/v1/2020.emnlp-main.494.</w:t>
      </w:r>
    </w:p>
    <w:p w14:paraId="42B2BBD4">
      <w:pPr>
        <w:pStyle w:val="17"/>
        <w:numPr>
          <w:ilvl w:val="0"/>
          <w:numId w:val="1"/>
        </w:numPr>
        <w:ind w:firstLine="420"/>
        <w:jc w:val="left"/>
      </w:pPr>
      <w:r>
        <w:t>Huszár F. How (not) to Train your Generative Model: Scheduled Sampling, Likelihood, Adversary?[EB/OL]. arXiv:1511.05101, 2015.</w:t>
      </w:r>
    </w:p>
    <w:p w14:paraId="6C24ECAE">
      <w:pPr>
        <w:pStyle w:val="17"/>
        <w:numPr>
          <w:ilvl w:val="0"/>
          <w:numId w:val="1"/>
        </w:numPr>
        <w:ind w:firstLine="420"/>
        <w:jc w:val="left"/>
      </w:pPr>
      <w:r>
        <w:t>Wen Y, Li Z, Du W, et al. f-Divergence Minimization for Sequence-Level Knowledge Distillation[C]//Proceedings of the 61st Annual Meeting of the Association for Computational Linguistics. ACL, 2023: 10817-10834. DOI:10.18653/v1/2023.acl-long.605.</w:t>
      </w:r>
    </w:p>
    <w:p w14:paraId="1545F16B">
      <w:pPr>
        <w:pStyle w:val="17"/>
        <w:numPr>
          <w:ilvl w:val="0"/>
          <w:numId w:val="1"/>
        </w:numPr>
        <w:ind w:firstLine="420"/>
        <w:jc w:val="left"/>
      </w:pPr>
      <w:r>
        <w:t>Agarwal R, Vieillard N, Zhou Y, et al. On-Policy Distillation of Language Models: Learning from Self-Generated Mistakes[C]//International Conference on Learning Representations. 2024. arXiv:2306.13649.</w:t>
      </w:r>
    </w:p>
    <w:p w14:paraId="7DB42AF6">
      <w:pPr>
        <w:pStyle w:val="17"/>
        <w:numPr>
          <w:ilvl w:val="0"/>
          <w:numId w:val="1"/>
        </w:numPr>
        <w:ind w:firstLine="420"/>
        <w:jc w:val="left"/>
      </w:pPr>
      <w:r>
        <w:t>Gu Y, Dong L, Wei F, et al. MiniLLM: Knowledge Distillation of Large Language Models[C]//International Conference on Learning Representations. 2024. arXiv:2306.08543.</w:t>
      </w:r>
    </w:p>
    <w:p w14:paraId="719D2FB1">
      <w:pPr>
        <w:pStyle w:val="17"/>
        <w:numPr>
          <w:ilvl w:val="0"/>
          <w:numId w:val="1"/>
        </w:numPr>
        <w:ind w:firstLine="420"/>
        <w:jc w:val="left"/>
      </w:pPr>
      <w:r>
        <w:t>Ko J, Kim S, Chen T, et al. DistiLLM: Towards Streamlined Distillation for Large Language Models[C]//Proceedings of the 41st International Conference on Machine Learning. PMLR, 2024, 235: 24872-24895.</w:t>
      </w:r>
    </w:p>
    <w:p w14:paraId="1C80C04E">
      <w:pPr>
        <w:pStyle w:val="17"/>
        <w:numPr>
          <w:ilvl w:val="0"/>
          <w:numId w:val="1"/>
        </w:numPr>
        <w:ind w:firstLine="420"/>
        <w:jc w:val="left"/>
      </w:pPr>
      <w:r>
        <w:t>Lu K, Thinking Machines Lab. On-Policy Distillation[EB/OL]. Thinking Machines Lab: Connectionism, 2025（技术博客）. DOI:10.64434/tml.20251026.</w:t>
      </w:r>
    </w:p>
    <w:p w14:paraId="23921927">
      <w:pPr>
        <w:pStyle w:val="17"/>
        <w:numPr>
          <w:ilvl w:val="0"/>
          <w:numId w:val="1"/>
        </w:numPr>
        <w:ind w:firstLine="420"/>
        <w:jc w:val="left"/>
      </w:pPr>
      <w:r>
        <w:t>Li Y, Zuo Y, He B, et al. Rethinking On-Policy Distillation of Large Language Models: Phenomenology, Mechanism, and Recipe[EB/OL]. arXiv:2604.13016v2, 2026. DOI:10.48550/arXiv.2604.13016.</w:t>
      </w:r>
    </w:p>
    <w:p w14:paraId="32C3FCC3">
      <w:pPr>
        <w:pStyle w:val="17"/>
        <w:numPr>
          <w:ilvl w:val="0"/>
          <w:numId w:val="1"/>
        </w:numPr>
        <w:ind w:firstLine="420"/>
        <w:jc w:val="left"/>
      </w:pPr>
      <w:r>
        <w:t>Fu Z, He B, Zuo Y, et al. Rethinking On-Policy Distillation of Large Language Models II: One Training Example[EB/OL]. arXiv:2609.04172v1, 2026. DOI:10.48550/arXiv.2609.04172.</w:t>
      </w:r>
    </w:p>
    <w:p w14:paraId="4B227259">
      <w:pPr>
        <w:pStyle w:val="17"/>
        <w:numPr>
          <w:ilvl w:val="0"/>
          <w:numId w:val="1"/>
        </w:numPr>
        <w:ind w:firstLine="420"/>
        <w:jc w:val="left"/>
      </w:pPr>
      <w:r>
        <w:t>Fu Y, Huang H, Jiang K, et al. Revisiting On-Policy Distillation: Empirical Failure Modes and Simple Fixes[EB/OL]. arXiv:2603.25562v2, 2026. DOI:10.48550/arXiv.2603.25562.</w:t>
      </w:r>
    </w:p>
    <w:p w14:paraId="529E3E43">
      <w:pPr>
        <w:pStyle w:val="17"/>
        <w:numPr>
          <w:ilvl w:val="0"/>
          <w:numId w:val="1"/>
        </w:numPr>
        <w:ind w:firstLine="420"/>
        <w:jc w:val="left"/>
      </w:pPr>
      <w:r>
        <w:t>Zhu W, Xie R, Wang R, et al. Hybrid Policy Distillation for LLMs[EB/OL]. arXiv:2604.20244v2, 2026. DOI:10.48550/arXiv.2604.20244.</w:t>
      </w:r>
    </w:p>
    <w:p w14:paraId="319C7304">
      <w:pPr>
        <w:pStyle w:val="17"/>
        <w:numPr>
          <w:ilvl w:val="0"/>
          <w:numId w:val="1"/>
        </w:numPr>
        <w:ind w:firstLine="420"/>
        <w:jc w:val="left"/>
      </w:pPr>
      <w:r>
        <w:t>Song M, Zheng M. A Survey of On-Policy Distillation for Large Language Models[EB/OL]. arXiv:2604.00626v4, 2026. DOI:10.48550/arXiv.2604.00626.</w:t>
      </w:r>
    </w:p>
    <w:p w14:paraId="6F2F83D3">
      <w:pPr>
        <w:pStyle w:val="17"/>
        <w:numPr>
          <w:ilvl w:val="0"/>
          <w:numId w:val="1"/>
        </w:numPr>
        <w:ind w:firstLine="420"/>
        <w:jc w:val="left"/>
      </w:pPr>
      <w:r>
        <w:t>Qwen Team. Qwen3 Technical Report[EB/OL]. arXiv:2505.09388, 2025. DOI:10.48550/arXiv.2505.09388.</w:t>
      </w:r>
    </w:p>
    <w:p w14:paraId="3D1CC9FC">
      <w:pPr>
        <w:pStyle w:val="17"/>
        <w:numPr>
          <w:ilvl w:val="0"/>
          <w:numId w:val="1"/>
        </w:numPr>
        <w:ind w:firstLine="420"/>
        <w:jc w:val="left"/>
      </w:pPr>
      <w:r>
        <w:t>Kullback S, Leibler R A. On Information and Sufficiency[J]. The Annals of Mathematical Statistics, 1951, 22(1): 79-86. DOI:10.1214/aoms/1177729694.</w:t>
      </w:r>
    </w:p>
    <w:p w14:paraId="2E214B5B">
      <w:pPr>
        <w:pStyle w:val="17"/>
        <w:numPr>
          <w:ilvl w:val="0"/>
          <w:numId w:val="1"/>
        </w:numPr>
        <w:ind w:firstLine="420"/>
        <w:jc w:val="left"/>
      </w:pPr>
      <w:r>
        <w:t>Lin J. Divergence Measures Based on the Shannon Entropy[J]. IEEE Transactions on Information Theory, 1991, 37(1): 145-151.</w:t>
      </w:r>
    </w:p>
    <w:p w14:paraId="6841C405">
      <w:pPr>
        <w:pStyle w:val="17"/>
        <w:numPr>
          <w:ilvl w:val="0"/>
          <w:numId w:val="1"/>
        </w:numPr>
        <w:ind w:firstLine="420"/>
        <w:jc w:val="left"/>
      </w:pPr>
      <w:r>
        <w:t>Hu E J, Shen Y, Wallis P, et al. LoRA: Low-Rank Adaptation of Large Language Models[C]//International Conference on Learning Representations. 2022. arXiv:2106.09685.</w:t>
      </w:r>
    </w:p>
    <w:p w14:paraId="366C4C73">
      <w:pPr>
        <w:pStyle w:val="17"/>
        <w:numPr>
          <w:ilvl w:val="0"/>
          <w:numId w:val="1"/>
        </w:numPr>
        <w:ind w:firstLine="420"/>
        <w:jc w:val="left"/>
      </w:pPr>
      <w:r>
        <w:t>Kwon W, Li Z, Zhuang S, et al. Efficient Memory Management for Large Language Model Serving with PagedAttention[C]//Proceedings of the 29th Symposium on Operating Systems Principles. ACM, 2023: 611-626. DOI:10.1145/3600006.3613165.</w:t>
      </w:r>
    </w:p>
    <w:p w14:paraId="3C944867">
      <w:pPr>
        <w:pStyle w:val="17"/>
        <w:numPr>
          <w:ilvl w:val="0"/>
          <w:numId w:val="1"/>
        </w:numPr>
        <w:ind w:firstLine="420"/>
        <w:jc w:val="left"/>
      </w:pPr>
      <w:r>
        <w:t>Yao S, Zhao J, Yu D, et al. ReAct: Synergizing Reasoning and Acting in Language Models[C]//International Conference on Learning Representations. 2023. arXiv:2210.03629.</w:t>
      </w:r>
    </w:p>
    <w:p w14:paraId="7EC0CC1B">
      <w:pPr>
        <w:pStyle w:val="17"/>
        <w:numPr>
          <w:ilvl w:val="0"/>
          <w:numId w:val="1"/>
        </w:numPr>
        <w:ind w:firstLine="420"/>
        <w:jc w:val="left"/>
      </w:pPr>
      <w:r>
        <w:t>Patil S G, Zhang T, Wang X, et al. Gorilla: Large Language Model Connected with Massive APIs[EB/OL]. arXiv:2305.15334, 2023.</w:t>
      </w:r>
    </w:p>
    <w:p w14:paraId="272697B3">
      <w:pPr>
        <w:pStyle w:val="17"/>
        <w:numPr>
          <w:ilvl w:val="0"/>
          <w:numId w:val="1"/>
        </w:numPr>
        <w:ind w:firstLine="420"/>
        <w:jc w:val="left"/>
      </w:pPr>
      <w:r>
        <w:t>Li M, Zhao Y, Yu B, et al. API-Bank: A Comprehensive Benchmark for Tool-Augmented LLMs[C]//Proceedings of the 2023 Conference on Empirical Methods in Natural Language Processing. ACL, 2023: 3102-3116. DOI:10.18653/v1/2023.emnlp-main.187.</w:t>
      </w:r>
    </w:p>
    <w:p w14:paraId="27EE8778">
      <w:pPr>
        <w:pStyle w:val="17"/>
        <w:numPr>
          <w:ilvl w:val="0"/>
          <w:numId w:val="1"/>
        </w:numPr>
        <w:ind w:firstLine="420"/>
        <w:jc w:val="left"/>
      </w:pPr>
      <w:r>
        <w:t>Qin Y, Liang S, Ye Y, et al. ToolLLM: Facilitating Large Language Models to Master 16000+ Real-world APIs[EB/OL]. arXiv:2307.16789, 2023.</w:t>
      </w:r>
    </w:p>
    <w:p w14:paraId="18515301">
      <w:pPr>
        <w:pStyle w:val="17"/>
        <w:numPr>
          <w:ilvl w:val="0"/>
          <w:numId w:val="1"/>
        </w:numPr>
        <w:ind w:firstLine="420"/>
        <w:jc w:val="left"/>
      </w:pPr>
      <w:r>
        <w:t>Liu Z, Hoang T, Zhang J, et al. APIGen: Automated Pipeline for Generating Verifiable and Diverse Function-Calling Datasets[C]//Advances in Neural Information Processing Systems. 2024. DOI:10.52202/079017-1725.</w:t>
      </w:r>
    </w:p>
    <w:p w14:paraId="79D77904">
      <w:pPr>
        <w:pStyle w:val="17"/>
        <w:numPr>
          <w:ilvl w:val="0"/>
          <w:numId w:val="1"/>
        </w:numPr>
        <w:ind w:firstLine="420"/>
        <w:jc w:val="left"/>
      </w:pPr>
      <w:r>
        <w:t>Liu W, Huang X, Zeng X, et al. ToolACE: Winning the Points of LLM Function Calling[C]//International Conference on Learning Representations. 2025. arXiv:2409.00920.</w:t>
      </w:r>
    </w:p>
    <w:p w14:paraId="77EEE5FF">
      <w:pPr>
        <w:pStyle w:val="17"/>
        <w:numPr>
          <w:ilvl w:val="0"/>
          <w:numId w:val="1"/>
        </w:numPr>
        <w:ind w:firstLine="420"/>
        <w:jc w:val="left"/>
      </w:pPr>
      <w:r>
        <w:t>Patil S G, Mao H, Yan F, et al. The Berkeley Function Calling Leaderboard (BFCL): From Tool Use to Agentic Evaluation of Large Language Models[C]//Proceedings of the 42nd International Conference on Machine Learning. PMLR, 2025, 267: 48371-48392.</w:t>
      </w:r>
    </w:p>
    <w:sectPr>
      <w:footerReference r:id="rId5" w:type="default"/>
      <w:pgSz w:w="11906" w:h="16838"/>
      <w:pgMar w:top="1440" w:right="1800" w:bottom="1440" w:left="1800" w:header="851" w:footer="992" w:gutter="0"/>
      <w:pgNumType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Times New Roman Regular">
    <w:panose1 w:val="02020503050405090304"/>
    <w:charset w:val="00"/>
    <w:family w:val="auto"/>
    <w:pitch w:val="default"/>
    <w:sig w:usb0="E0000AFF" w:usb1="00007843" w:usb2="00000001" w:usb3="00000000" w:csb0="400001BF" w:csb1="DFF70000"/>
  </w:font>
  <w:font w:name="汉仪中黑KW">
    <w:panose1 w:val="00020600040101010101"/>
    <w:charset w:val="86"/>
    <w:family w:val="auto"/>
    <w:pitch w:val="default"/>
    <w:sig w:usb0="A00002BF" w:usb1="18EF7CFA" w:usb2="00000016" w:usb3="00000000" w:csb0="0004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2010600030101010101"/>
    <w:charset w:val="86"/>
    <w:family w:val="auto"/>
    <w:pitch w:val="default"/>
    <w:sig w:usb0="00000000" w:usb1="00000000" w:usb2="00000016" w:usb3="00000000" w:csb0="0004000F" w:csb1="00000000"/>
  </w:font>
  <w:font w:name="TimesNewRomanPSMT">
    <w:panose1 w:val="02020503050405090304"/>
    <w:charset w:val="00"/>
    <w:family w:val="roman"/>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Heiti SC">
    <w:panose1 w:val="02000000000000000000"/>
    <w:charset w:val="86"/>
    <w:family w:val="auto"/>
    <w:pitch w:val="default"/>
    <w:sig w:usb0="8000002F" w:usb1="0800004A" w:usb2="00000000" w:usb3="00000000" w:csb0="203E0000" w:csb1="00000000"/>
  </w:font>
  <w:font w:name="Songti SC">
    <w:panose1 w:val="02010800040101010101"/>
    <w:charset w:val="86"/>
    <w:family w:val="auto"/>
    <w:pitch w:val="default"/>
    <w:sig w:usb0="00000001" w:usb1="080F0000" w:usb2="00000000"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DejaVu Math TeX Gyre">
    <w:panose1 w:val="02000503000000000000"/>
    <w:charset w:val="00"/>
    <w:family w:val="auto"/>
    <w:pitch w:val="default"/>
    <w:sig w:usb0="A10000EF" w:usb1="4201F9EE" w:usb2="02000000" w:usb3="00000000" w:csb0="60000193" w:csb1="0DD4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AC643C">
    <w:pPr>
      <w:jc w:val="center"/>
    </w:pPr>
    <w:r>
      <w:rPr>
        <w:rFonts w:ascii="Times New Roman" w:hAnsi="Times New Roman" w:eastAsia="Times New Roman"/>
        <w:b w:val="0"/>
        <w:sz w:val="21"/>
      </w:rPr>
      <w:fldChar w:fldCharType="begin"/>
    </w:r>
    <w:r>
      <w:rPr>
        <w:rFonts w:ascii="Times New Roman" w:hAnsi="Times New Roman" w:eastAsia="Times New Roman"/>
        <w:b w:val="0"/>
        <w:sz w:val="21"/>
      </w:rPr>
      <w:instrText xml:space="preserve"> PAGE </w:instrText>
    </w:r>
    <w:r>
      <w:rPr>
        <w:rFonts w:ascii="Times New Roman" w:hAnsi="Times New Roman" w:eastAsia="Times New Roman"/>
        <w:b w:val="0"/>
        <w:sz w:val="21"/>
      </w:rPr>
      <w:fldChar w:fldCharType="separate"/>
    </w:r>
    <w:r>
      <w:rPr>
        <w:rFonts w:ascii="Times New Roman" w:hAnsi="Times New Roman" w:eastAsia="Times New Roman"/>
        <w:b w:val="0"/>
        <w:sz w:val="21"/>
      </w:rPr>
      <w:t>1</w:t>
    </w:r>
    <w:r>
      <w:rPr>
        <w:rFonts w:ascii="Times New Roman" w:hAnsi="Times New Roman" w:eastAsia="Times New Roman"/>
        <w:b w:val="0"/>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D7C4D94"/>
    <w:multiLevelType w:val="multilevel"/>
    <w:tmpl w:val="1D7C4D94"/>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7C4"/>
    <w:rsid w:val="0002402A"/>
    <w:rsid w:val="00117620"/>
    <w:rsid w:val="001E5415"/>
    <w:rsid w:val="002C591E"/>
    <w:rsid w:val="00341B2C"/>
    <w:rsid w:val="003664A6"/>
    <w:rsid w:val="003A2072"/>
    <w:rsid w:val="004F07E7"/>
    <w:rsid w:val="004F5CCA"/>
    <w:rsid w:val="00737F6A"/>
    <w:rsid w:val="007C1F51"/>
    <w:rsid w:val="00866FFA"/>
    <w:rsid w:val="00871284"/>
    <w:rsid w:val="009800B0"/>
    <w:rsid w:val="00986FB1"/>
    <w:rsid w:val="00A847C4"/>
    <w:rsid w:val="00C914EC"/>
    <w:rsid w:val="00CA7789"/>
    <w:rsid w:val="00E816A5"/>
    <w:rsid w:val="00EB066F"/>
    <w:rsid w:val="00F04C38"/>
    <w:rsid w:val="00FD19E3"/>
    <w:rsid w:val="00FF6926"/>
    <w:rsid w:val="379AF903"/>
    <w:rsid w:val="3DFA4833"/>
    <w:rsid w:val="5F7FB192"/>
    <w:rsid w:val="655A2287"/>
    <w:rsid w:val="673FE172"/>
    <w:rsid w:val="676F45A0"/>
    <w:rsid w:val="6E7DA8AD"/>
    <w:rsid w:val="6EFBC10C"/>
    <w:rsid w:val="6FFF75D6"/>
    <w:rsid w:val="71BE9EA7"/>
    <w:rsid w:val="767FF00F"/>
    <w:rsid w:val="D9FA0EC0"/>
    <w:rsid w:val="F3E35A1F"/>
    <w:rsid w:val="F77BC61A"/>
    <w:rsid w:val="FEBB3654"/>
    <w:rsid w:val="FF7F5F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1"/>
    <w:qFormat/>
    <w:uiPriority w:val="9"/>
    <w:pPr>
      <w:keepNext/>
      <w:keepLines/>
      <w:spacing w:before="340" w:after="330" w:line="578" w:lineRule="auto"/>
      <w:outlineLvl w:val="0"/>
    </w:pPr>
    <w:rPr>
      <w:rFonts w:ascii="黑体" w:hAnsi="黑体" w:eastAsia="黑体" w:cs="黑体"/>
      <w:bCs/>
      <w:color w:val="000000"/>
      <w:kern w:val="44"/>
      <w:sz w:val="28"/>
      <w:szCs w:val="44"/>
    </w:rPr>
  </w:style>
  <w:style w:type="paragraph" w:styleId="3">
    <w:name w:val="heading 2"/>
    <w:basedOn w:val="1"/>
    <w:next w:val="1"/>
    <w:link w:val="20"/>
    <w:unhideWhenUsed/>
    <w:qFormat/>
    <w:uiPriority w:val="9"/>
    <w:pPr>
      <w:keepNext/>
      <w:keepLines/>
      <w:spacing w:before="260" w:after="260" w:line="416" w:lineRule="auto"/>
      <w:outlineLvl w:val="1"/>
    </w:pPr>
    <w:rPr>
      <w:rFonts w:asciiTheme="majorHAnsi" w:hAnsiTheme="majorHAnsi" w:eastAsiaTheme="majorEastAsia" w:cstheme="majorBidi"/>
      <w:bCs/>
      <w:color w:val="000000"/>
      <w:sz w:val="24"/>
      <w:szCs w:val="32"/>
    </w:rPr>
  </w:style>
  <w:style w:type="paragraph" w:styleId="4">
    <w:name w:val="heading 3"/>
    <w:basedOn w:val="1"/>
    <w:next w:val="1"/>
    <w:link w:val="22"/>
    <w:unhideWhenUsed/>
    <w:qFormat/>
    <w:uiPriority w:val="9"/>
    <w:pPr>
      <w:keepNext/>
      <w:keepLines/>
      <w:spacing w:before="260" w:after="260" w:line="416" w:lineRule="auto"/>
      <w:outlineLvl w:val="2"/>
    </w:pPr>
    <w:rPr>
      <w:rFonts w:ascii="黑体" w:hAnsi="黑体" w:eastAsia="黑体" w:cs="黑体"/>
      <w:bCs/>
      <w:color w:val="000000"/>
      <w:sz w:val="24"/>
      <w:szCs w:val="32"/>
    </w:rPr>
  </w:style>
  <w:style w:type="character" w:default="1" w:styleId="12">
    <w:name w:val="Default Paragraph Font"/>
    <w:semiHidden/>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5">
    <w:name w:val="footer"/>
    <w:basedOn w:val="1"/>
    <w:link w:val="24"/>
    <w:unhideWhenUsed/>
    <w:uiPriority w:val="99"/>
    <w:pPr>
      <w:tabs>
        <w:tab w:val="center" w:pos="4153"/>
        <w:tab w:val="right" w:pos="8306"/>
      </w:tabs>
      <w:snapToGrid w:val="0"/>
      <w:spacing w:line="240" w:lineRule="auto"/>
      <w:jc w:val="left"/>
    </w:pPr>
    <w:rPr>
      <w:sz w:val="18"/>
      <w:szCs w:val="18"/>
    </w:rPr>
  </w:style>
  <w:style w:type="paragraph" w:styleId="6">
    <w:name w:val="header"/>
    <w:basedOn w:val="1"/>
    <w:link w:val="23"/>
    <w:unhideWhenUsed/>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7">
    <w:name w:val="toc 1"/>
    <w:basedOn w:val="1"/>
    <w:next w:val="1"/>
    <w:semiHidden/>
    <w:unhideWhenUsed/>
    <w:uiPriority w:val="39"/>
  </w:style>
  <w:style w:type="paragraph" w:styleId="8">
    <w:name w:val="toc 2"/>
    <w:basedOn w:val="1"/>
    <w:next w:val="1"/>
    <w:semiHidden/>
    <w:unhideWhenUsed/>
    <w:uiPriority w:val="39"/>
    <w:pPr>
      <w:ind w:left="420" w:leftChars="200"/>
    </w:pPr>
  </w:style>
  <w:style w:type="paragraph" w:styleId="9">
    <w:name w:val="Normal (Web)"/>
    <w:basedOn w:val="1"/>
    <w:semiHidden/>
    <w:unhideWhenUsed/>
    <w:uiPriority w:val="99"/>
    <w:pPr>
      <w:widowControl/>
      <w:spacing w:before="100" w:beforeAutospacing="1" w:after="100" w:afterAutospacing="1"/>
      <w:jc w:val="left"/>
    </w:pPr>
    <w:rPr>
      <w:rFonts w:ascii="宋体" w:hAnsi="宋体" w:cs="宋体"/>
      <w:kern w:val="0"/>
    </w:rPr>
  </w:style>
  <w:style w:type="table" w:styleId="11">
    <w:name w:val="Table Grid"/>
    <w:basedOn w:val="1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
    <w:name w:val="样式 (中文) 黑体 小二 居中"/>
    <w:basedOn w:val="1"/>
    <w:uiPriority w:val="0"/>
    <w:pPr>
      <w:snapToGrid w:val="0"/>
      <w:spacing w:before="400" w:after="200" w:line="300" w:lineRule="auto"/>
      <w:jc w:val="center"/>
    </w:pPr>
    <w:rPr>
      <w:rFonts w:eastAsia="黑体" w:cs="宋体"/>
      <w:sz w:val="36"/>
      <w:szCs w:val="20"/>
    </w:rPr>
  </w:style>
  <w:style w:type="paragraph" w:customStyle="1" w:styleId="14">
    <w:name w:val="节"/>
    <w:basedOn w:val="1"/>
    <w:uiPriority w:val="0"/>
    <w:pPr>
      <w:snapToGrid w:val="0"/>
      <w:spacing w:beforeLines="50" w:afterLines="50" w:line="300" w:lineRule="auto"/>
    </w:pPr>
    <w:rPr>
      <w:rFonts w:eastAsia="黑体"/>
      <w:sz w:val="30"/>
    </w:rPr>
  </w:style>
  <w:style w:type="paragraph" w:customStyle="1" w:styleId="15">
    <w:name w:val="条"/>
    <w:basedOn w:val="1"/>
    <w:uiPriority w:val="0"/>
    <w:pPr>
      <w:snapToGrid w:val="0"/>
      <w:spacing w:beforeLines="50" w:afterLines="50" w:line="300" w:lineRule="auto"/>
    </w:pPr>
    <w:rPr>
      <w:rFonts w:eastAsia="黑体"/>
      <w:sz w:val="28"/>
    </w:rPr>
  </w:style>
  <w:style w:type="paragraph" w:customStyle="1" w:styleId="16">
    <w:name w:val="款"/>
    <w:basedOn w:val="1"/>
    <w:uiPriority w:val="0"/>
    <w:pPr>
      <w:snapToGrid w:val="0"/>
      <w:spacing w:line="300" w:lineRule="auto"/>
    </w:pPr>
    <w:rPr>
      <w:rFonts w:eastAsia="黑体"/>
    </w:rPr>
  </w:style>
  <w:style w:type="paragraph" w:styleId="17">
    <w:name w:val="List Paragraph"/>
    <w:basedOn w:val="1"/>
    <w:qFormat/>
    <w:uiPriority w:val="34"/>
    <w:pPr>
      <w:ind w:firstLine="420" w:firstLineChars="200"/>
    </w:pPr>
  </w:style>
  <w:style w:type="character" w:customStyle="1" w:styleId="18">
    <w:name w:val="fontstyle01"/>
    <w:basedOn w:val="12"/>
    <w:uiPriority w:val="0"/>
    <w:rPr>
      <w:rFonts w:hint="eastAsia" w:ascii="宋体" w:hAnsi="宋体" w:eastAsia="宋体"/>
      <w:color w:val="000000"/>
      <w:sz w:val="24"/>
      <w:szCs w:val="24"/>
    </w:rPr>
  </w:style>
  <w:style w:type="character" w:customStyle="1" w:styleId="19">
    <w:name w:val="fontstyle21"/>
    <w:basedOn w:val="12"/>
    <w:uiPriority w:val="0"/>
    <w:rPr>
      <w:rFonts w:hint="default" w:ascii="TimesNewRomanPSMT" w:hAnsi="TimesNewRomanPSMT"/>
      <w:color w:val="000000"/>
      <w:sz w:val="24"/>
      <w:szCs w:val="24"/>
    </w:rPr>
  </w:style>
  <w:style w:type="character" w:customStyle="1" w:styleId="20">
    <w:name w:val="标题 2 字符"/>
    <w:basedOn w:val="12"/>
    <w:link w:val="3"/>
    <w:uiPriority w:val="9"/>
    <w:rPr>
      <w:rFonts w:asciiTheme="majorHAnsi" w:hAnsiTheme="majorHAnsi" w:eastAsiaTheme="majorEastAsia" w:cstheme="majorBidi"/>
      <w:b/>
      <w:bCs/>
      <w:sz w:val="30"/>
      <w:szCs w:val="32"/>
    </w:rPr>
  </w:style>
  <w:style w:type="character" w:customStyle="1" w:styleId="21">
    <w:name w:val="标题 1 字符"/>
    <w:basedOn w:val="12"/>
    <w:link w:val="2"/>
    <w:uiPriority w:val="9"/>
    <w:rPr>
      <w:rFonts w:ascii="Times New Roman" w:hAnsi="Times New Roman" w:eastAsia="宋体" w:cs="Times New Roman"/>
      <w:b/>
      <w:bCs/>
      <w:kern w:val="44"/>
      <w:sz w:val="32"/>
      <w:szCs w:val="44"/>
    </w:rPr>
  </w:style>
  <w:style w:type="character" w:customStyle="1" w:styleId="22">
    <w:name w:val="标题 3 字符"/>
    <w:basedOn w:val="12"/>
    <w:link w:val="4"/>
    <w:uiPriority w:val="9"/>
    <w:rPr>
      <w:rFonts w:ascii="Times New Roman" w:hAnsi="Times New Roman" w:eastAsia="宋体" w:cs="Times New Roman"/>
      <w:b/>
      <w:bCs/>
      <w:sz w:val="28"/>
      <w:szCs w:val="32"/>
    </w:rPr>
  </w:style>
  <w:style w:type="character" w:customStyle="1" w:styleId="23">
    <w:name w:val="页眉 字符"/>
    <w:basedOn w:val="12"/>
    <w:link w:val="6"/>
    <w:uiPriority w:val="99"/>
    <w:rPr>
      <w:rFonts w:ascii="Times New Roman" w:hAnsi="Times New Roman" w:eastAsia="宋体" w:cs="Times New Roman"/>
      <w:sz w:val="18"/>
      <w:szCs w:val="18"/>
    </w:rPr>
  </w:style>
  <w:style w:type="character" w:customStyle="1" w:styleId="24">
    <w:name w:val="页脚 字符"/>
    <w:basedOn w:val="12"/>
    <w:link w:val="5"/>
    <w:uiPriority w:val="99"/>
    <w:rPr>
      <w:rFonts w:ascii="Times New Roman" w:hAnsi="Times New Roman" w:eastAsia="宋体" w:cs="Times New Roman"/>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28</Pages>
  <Words>735</Words>
  <Characters>4192</Characters>
  <Lines>34</Lines>
  <Paragraphs>9</Paragraphs>
  <TotalTime>12</TotalTime>
  <ScaleCrop>false</ScaleCrop>
  <LinksUpToDate>false</LinksUpToDate>
  <CharactersWithSpaces>4918</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2022-10-11T10:38:00Z</dcterms:created>
  <dc:creator>董 睿璞</dc:creator>
  <cp:lastModifiedBy>Dr.Oppenheimer</cp:lastModifiedBy>
  <dcterms:modified xsi:type="dcterms:W3CDTF">2026-09-22T12:05:12Z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0A57C0DBE9B026AC4C0EB16A35E8C83E_42</vt:lpwstr>
  </property>
</Properties>
</file>