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F4E8FC" w14:textId="77777777" w:rsidR="00A847C4" w:rsidRDefault="00A847C4" w:rsidP="00A847C4">
      <w:pPr>
        <w:spacing w:before="78" w:after="78"/>
        <w:jc w:val="left"/>
        <w:rPr>
          <w:spacing w:val="40"/>
        </w:rPr>
      </w:pPr>
      <w:r>
        <w:rPr>
          <w:rFonts w:hAnsi="宋体" w:hint="eastAsia"/>
          <w:spacing w:val="40"/>
        </w:rPr>
        <w:t>附件</w:t>
      </w:r>
      <w:r>
        <w:rPr>
          <w:spacing w:val="40"/>
        </w:rPr>
        <w:t>2</w:t>
      </w:r>
      <w:r>
        <w:rPr>
          <w:rFonts w:hAnsi="宋体" w:hint="eastAsia"/>
          <w:spacing w:val="40"/>
        </w:rPr>
        <w:t>：</w:t>
      </w:r>
    </w:p>
    <w:p w14:paraId="1F9AC0F9" w14:textId="77777777" w:rsidR="00A847C4" w:rsidRDefault="00A847C4" w:rsidP="00A847C4">
      <w:pPr>
        <w:spacing w:before="78" w:after="78"/>
        <w:ind w:firstLine="883"/>
        <w:jc w:val="center"/>
        <w:rPr>
          <w:rFonts w:eastAsia="楷体_GB2312"/>
          <w:b/>
          <w:spacing w:val="40"/>
          <w:sz w:val="36"/>
        </w:rPr>
      </w:pPr>
    </w:p>
    <w:p w14:paraId="0EE9D77E" w14:textId="77777777" w:rsidR="00A847C4" w:rsidRDefault="00A847C4" w:rsidP="00A847C4">
      <w:pPr>
        <w:spacing w:before="78" w:after="78"/>
        <w:ind w:firstLine="883"/>
        <w:jc w:val="center"/>
        <w:rPr>
          <w:rFonts w:eastAsia="楷体_GB2312"/>
          <w:b/>
          <w:spacing w:val="40"/>
          <w:sz w:val="36"/>
        </w:rPr>
      </w:pPr>
    </w:p>
    <w:p w14:paraId="3BFCB7BE" w14:textId="60A50BAF" w:rsidR="00A847C4" w:rsidRDefault="00A847C4" w:rsidP="00A847C4">
      <w:pPr>
        <w:spacing w:before="78" w:after="78"/>
        <w:jc w:val="center"/>
        <w:rPr>
          <w:rFonts w:eastAsia="楷体_GB2312"/>
          <w:b/>
          <w:spacing w:val="40"/>
          <w:sz w:val="36"/>
        </w:rPr>
      </w:pPr>
      <w:r>
        <w:rPr>
          <w:rFonts w:eastAsia="楷体_GB2312"/>
          <w:b/>
          <w:noProof/>
          <w:spacing w:val="40"/>
          <w:sz w:val="36"/>
        </w:rPr>
        <w:drawing>
          <wp:inline distT="0" distB="0" distL="0" distR="0" wp14:anchorId="2AEA9F7B" wp14:editId="58982A8B">
            <wp:extent cx="2137410" cy="40386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137410" cy="403860"/>
                    </a:xfrm>
                    <a:prstGeom prst="rect">
                      <a:avLst/>
                    </a:prstGeom>
                    <a:noFill/>
                    <a:ln>
                      <a:noFill/>
                    </a:ln>
                  </pic:spPr>
                </pic:pic>
              </a:graphicData>
            </a:graphic>
          </wp:inline>
        </w:drawing>
      </w:r>
    </w:p>
    <w:p w14:paraId="6921CBFD" w14:textId="77777777" w:rsidR="00A847C4" w:rsidRDefault="00A847C4" w:rsidP="00A847C4">
      <w:pPr>
        <w:spacing w:before="78" w:after="78"/>
        <w:ind w:firstLine="883"/>
        <w:jc w:val="center"/>
        <w:rPr>
          <w:rFonts w:eastAsia="楷体_GB2312"/>
          <w:b/>
          <w:spacing w:val="40"/>
          <w:sz w:val="36"/>
        </w:rPr>
      </w:pPr>
    </w:p>
    <w:p w14:paraId="509B8C31" w14:textId="77777777" w:rsidR="00A847C4" w:rsidRDefault="00A847C4" w:rsidP="00A847C4">
      <w:pPr>
        <w:spacing w:before="78" w:after="78"/>
        <w:jc w:val="center"/>
        <w:rPr>
          <w:b/>
          <w:spacing w:val="40"/>
          <w:sz w:val="48"/>
        </w:rPr>
      </w:pPr>
      <w:r>
        <w:rPr>
          <w:rFonts w:hAnsi="Roman PS" w:hint="eastAsia"/>
          <w:b/>
          <w:spacing w:val="40"/>
          <w:sz w:val="48"/>
        </w:rPr>
        <w:t>毕业设计（论文）开题报告</w:t>
      </w:r>
    </w:p>
    <w:p w14:paraId="7A5E0120" w14:textId="77777777" w:rsidR="00A847C4" w:rsidRDefault="00A847C4" w:rsidP="00A847C4">
      <w:pPr>
        <w:spacing w:before="78" w:after="78"/>
        <w:ind w:firstLine="643"/>
        <w:rPr>
          <w:b/>
          <w:sz w:val="32"/>
        </w:rPr>
      </w:pPr>
    </w:p>
    <w:p w14:paraId="035E13DA" w14:textId="77777777" w:rsidR="00A847C4" w:rsidRDefault="00A847C4" w:rsidP="00A847C4">
      <w:pPr>
        <w:spacing w:before="78" w:after="78"/>
        <w:rPr>
          <w:b/>
          <w:sz w:val="32"/>
        </w:rPr>
      </w:pPr>
    </w:p>
    <w:p w14:paraId="4B2C42F9" w14:textId="3C7DB1FD" w:rsidR="00A847C4" w:rsidRPr="00FD19E3" w:rsidRDefault="00A847C4" w:rsidP="00A847C4">
      <w:pPr>
        <w:spacing w:before="78" w:after="78"/>
        <w:ind w:firstLineChars="250" w:firstLine="703"/>
        <w:rPr>
          <w:b/>
          <w:sz w:val="28"/>
          <w:szCs w:val="21"/>
        </w:rPr>
      </w:pPr>
      <w:r w:rsidRPr="00FD19E3">
        <w:rPr>
          <w:rFonts w:hint="eastAsia"/>
          <w:b/>
          <w:sz w:val="28"/>
          <w:szCs w:val="21"/>
        </w:rPr>
        <w:t>题</w:t>
      </w:r>
      <w:r w:rsidRPr="00FD19E3">
        <w:rPr>
          <w:b/>
          <w:sz w:val="28"/>
          <w:szCs w:val="21"/>
        </w:rPr>
        <w:t xml:space="preserve"> </w:t>
      </w:r>
      <w:r w:rsidRPr="00FD19E3">
        <w:rPr>
          <w:rFonts w:hint="eastAsia"/>
          <w:b/>
          <w:sz w:val="28"/>
          <w:szCs w:val="21"/>
        </w:rPr>
        <w:t>目</w:t>
      </w:r>
      <w:r w:rsidR="00866FFA" w:rsidRPr="00FD19E3">
        <w:rPr>
          <w:rFonts w:hint="eastAsia"/>
          <w:b/>
          <w:sz w:val="28"/>
          <w:szCs w:val="21"/>
        </w:rPr>
        <w:t>：</w:t>
      </w:r>
      <w:r w:rsidR="00FD19E3" w:rsidRPr="00FD19E3">
        <w:rPr>
          <w:rFonts w:hint="eastAsia"/>
          <w:b/>
          <w:sz w:val="28"/>
          <w:szCs w:val="21"/>
        </w:rPr>
        <w:t>基于在线策略蒸馏的大语言模型后训练方法研究</w:t>
      </w:r>
    </w:p>
    <w:p w14:paraId="7C122DCF" w14:textId="149911BC" w:rsidR="00A847C4" w:rsidRDefault="00A847C4" w:rsidP="00A847C4">
      <w:pPr>
        <w:spacing w:before="78" w:after="78"/>
        <w:ind w:firstLine="643"/>
        <w:rPr>
          <w:b/>
          <w:sz w:val="32"/>
        </w:rPr>
      </w:pPr>
    </w:p>
    <w:p w14:paraId="607458DB" w14:textId="77777777" w:rsidR="00A847C4" w:rsidRDefault="00A847C4" w:rsidP="00A847C4">
      <w:pPr>
        <w:spacing w:before="78" w:after="78"/>
        <w:ind w:firstLine="643"/>
        <w:rPr>
          <w:b/>
          <w:sz w:val="32"/>
          <w:u w:val="single"/>
        </w:rPr>
      </w:pPr>
    </w:p>
    <w:p w14:paraId="6A81B0BC" w14:textId="77777777" w:rsidR="00A847C4" w:rsidRDefault="00A847C4" w:rsidP="00A847C4">
      <w:pPr>
        <w:spacing w:before="78" w:after="78"/>
        <w:ind w:firstLine="643"/>
        <w:rPr>
          <w:b/>
          <w:sz w:val="32"/>
          <w:u w:val="single"/>
        </w:rPr>
      </w:pPr>
    </w:p>
    <w:p w14:paraId="0C65FAB6" w14:textId="77777777" w:rsidR="00A847C4" w:rsidRDefault="00A847C4" w:rsidP="00A847C4">
      <w:pPr>
        <w:spacing w:before="78" w:after="78"/>
        <w:ind w:firstLine="643"/>
        <w:rPr>
          <w:b/>
          <w:sz w:val="32"/>
          <w:u w:val="single"/>
        </w:rPr>
      </w:pPr>
    </w:p>
    <w:p w14:paraId="3F4FC680" w14:textId="0AD57348" w:rsidR="00A847C4" w:rsidRDefault="00A847C4" w:rsidP="00A847C4">
      <w:pPr>
        <w:spacing w:beforeLines="80" w:before="249" w:after="60"/>
        <w:ind w:firstLineChars="686" w:firstLine="2204"/>
        <w:rPr>
          <w:b/>
          <w:sz w:val="32"/>
          <w:u w:val="single"/>
        </w:rPr>
      </w:pPr>
      <w:r>
        <w:rPr>
          <w:rFonts w:hint="eastAsia"/>
          <w:b/>
          <w:sz w:val="32"/>
        </w:rPr>
        <w:t>专</w:t>
      </w:r>
      <w:r>
        <w:rPr>
          <w:b/>
          <w:sz w:val="32"/>
        </w:rPr>
        <w:t xml:space="preserve">    </w:t>
      </w:r>
      <w:r>
        <w:rPr>
          <w:rFonts w:hint="eastAsia"/>
          <w:b/>
          <w:sz w:val="32"/>
        </w:rPr>
        <w:t>业</w:t>
      </w:r>
      <w:r>
        <w:rPr>
          <w:b/>
          <w:sz w:val="32"/>
        </w:rPr>
        <w:t xml:space="preserve"> </w:t>
      </w:r>
      <w:r>
        <w:rPr>
          <w:b/>
          <w:sz w:val="32"/>
          <w:u w:val="single"/>
        </w:rPr>
        <w:t xml:space="preserve">  </w:t>
      </w:r>
      <w:r w:rsidR="00866FFA">
        <w:rPr>
          <w:rFonts w:hint="eastAsia"/>
          <w:b/>
          <w:sz w:val="32"/>
          <w:u w:val="single"/>
        </w:rPr>
        <w:t>待填写</w:t>
      </w:r>
      <w:r w:rsidR="00866FFA">
        <w:rPr>
          <w:b/>
          <w:sz w:val="32"/>
          <w:u w:val="single"/>
        </w:rPr>
        <w:t xml:space="preserve"> </w:t>
      </w:r>
      <w:r>
        <w:rPr>
          <w:b/>
          <w:sz w:val="32"/>
          <w:u w:val="single"/>
        </w:rPr>
        <w:t xml:space="preserve">  </w:t>
      </w:r>
    </w:p>
    <w:p w14:paraId="727EE0AF" w14:textId="5FC339BE" w:rsidR="00A847C4" w:rsidRDefault="00A847C4" w:rsidP="00A847C4">
      <w:pPr>
        <w:spacing w:beforeLines="80" w:before="249" w:after="60"/>
        <w:ind w:firstLineChars="686" w:firstLine="2204"/>
        <w:rPr>
          <w:b/>
          <w:sz w:val="32"/>
          <w:u w:val="single"/>
        </w:rPr>
      </w:pPr>
      <w:r>
        <w:rPr>
          <w:rFonts w:hint="eastAsia"/>
          <w:b/>
          <w:sz w:val="32"/>
        </w:rPr>
        <w:t>学</w:t>
      </w:r>
      <w:r>
        <w:rPr>
          <w:b/>
          <w:sz w:val="32"/>
        </w:rPr>
        <w:t xml:space="preserve">    </w:t>
      </w:r>
      <w:r>
        <w:rPr>
          <w:rFonts w:hint="eastAsia"/>
          <w:b/>
          <w:sz w:val="32"/>
        </w:rPr>
        <w:t>生</w:t>
      </w:r>
      <w:r>
        <w:rPr>
          <w:b/>
          <w:sz w:val="32"/>
        </w:rPr>
        <w:t xml:space="preserve"> </w:t>
      </w:r>
      <w:r>
        <w:rPr>
          <w:b/>
          <w:sz w:val="32"/>
          <w:u w:val="single"/>
        </w:rPr>
        <w:t xml:space="preserve">     </w:t>
      </w:r>
      <w:proofErr w:type="gramStart"/>
      <w:r w:rsidR="00866FFA">
        <w:rPr>
          <w:rFonts w:hint="eastAsia"/>
          <w:b/>
          <w:sz w:val="32"/>
          <w:u w:val="single"/>
        </w:rPr>
        <w:t>待填写</w:t>
      </w:r>
      <w:proofErr w:type="gramEnd"/>
      <w:r>
        <w:rPr>
          <w:b/>
          <w:sz w:val="32"/>
          <w:u w:val="single"/>
        </w:rPr>
        <w:t xml:space="preserve">          </w:t>
      </w:r>
    </w:p>
    <w:p w14:paraId="087E7EA8" w14:textId="0741AE54" w:rsidR="00A847C4" w:rsidRDefault="00A847C4" w:rsidP="00A847C4">
      <w:pPr>
        <w:spacing w:beforeLines="80" w:before="249" w:after="60"/>
        <w:ind w:firstLineChars="686" w:firstLine="2204"/>
        <w:rPr>
          <w:b/>
          <w:sz w:val="32"/>
          <w:u w:val="single"/>
        </w:rPr>
      </w:pPr>
      <w:r>
        <w:rPr>
          <w:rFonts w:hint="eastAsia"/>
          <w:b/>
          <w:sz w:val="32"/>
        </w:rPr>
        <w:t>学</w:t>
      </w:r>
      <w:r>
        <w:rPr>
          <w:b/>
          <w:sz w:val="32"/>
        </w:rPr>
        <w:t xml:space="preserve">    </w:t>
      </w:r>
      <w:r>
        <w:rPr>
          <w:rFonts w:hint="eastAsia"/>
          <w:b/>
          <w:sz w:val="32"/>
        </w:rPr>
        <w:t>号</w:t>
      </w:r>
      <w:r>
        <w:rPr>
          <w:b/>
          <w:sz w:val="32"/>
        </w:rPr>
        <w:t xml:space="preserve"> </w:t>
      </w:r>
      <w:r>
        <w:rPr>
          <w:b/>
          <w:sz w:val="32"/>
          <w:u w:val="single"/>
        </w:rPr>
        <w:t xml:space="preserve">   </w:t>
      </w:r>
      <w:r w:rsidR="00866FFA">
        <w:rPr>
          <w:b/>
          <w:sz w:val="32"/>
          <w:u w:val="single"/>
        </w:rPr>
        <w:t xml:space="preserve">待填写</w:t>
      </w:r>
      <w:r>
        <w:rPr>
          <w:b/>
          <w:sz w:val="32"/>
          <w:u w:val="single"/>
        </w:rPr>
        <w:t xml:space="preserve">    </w:t>
      </w:r>
    </w:p>
    <w:p w14:paraId="77CDA7DA" w14:textId="7F1B3115" w:rsidR="00A847C4" w:rsidRDefault="00A847C4" w:rsidP="00A847C4">
      <w:pPr>
        <w:spacing w:beforeLines="80" w:before="249" w:after="60"/>
        <w:ind w:firstLineChars="686" w:firstLine="2204"/>
        <w:rPr>
          <w:b/>
          <w:sz w:val="32"/>
          <w:u w:val="single"/>
        </w:rPr>
      </w:pPr>
      <w:r>
        <w:rPr>
          <w:rFonts w:hint="eastAsia"/>
          <w:b/>
          <w:sz w:val="32"/>
        </w:rPr>
        <w:t>指导教师</w:t>
      </w:r>
      <w:r>
        <w:rPr>
          <w:b/>
          <w:sz w:val="32"/>
        </w:rPr>
        <w:t xml:space="preserve"> </w:t>
      </w:r>
      <w:r>
        <w:rPr>
          <w:b/>
          <w:sz w:val="32"/>
          <w:u w:val="single"/>
        </w:rPr>
        <w:t xml:space="preserve">     </w:t>
      </w:r>
      <w:proofErr w:type="gramStart"/>
      <w:r w:rsidR="00866FFA">
        <w:rPr>
          <w:rFonts w:hint="eastAsia"/>
          <w:b/>
          <w:sz w:val="32"/>
          <w:u w:val="single"/>
        </w:rPr>
        <w:t>待填写</w:t>
      </w:r>
      <w:proofErr w:type="gramEnd"/>
      <w:r>
        <w:rPr>
          <w:b/>
          <w:sz w:val="32"/>
          <w:u w:val="single"/>
        </w:rPr>
        <w:t xml:space="preserve">           </w:t>
      </w:r>
    </w:p>
    <w:p w14:paraId="27AD5893" w14:textId="290D82D0" w:rsidR="00A847C4" w:rsidRDefault="00A847C4" w:rsidP="00A847C4">
      <w:pPr>
        <w:spacing w:beforeLines="80" w:before="249" w:after="60"/>
        <w:ind w:firstLineChars="686" w:firstLine="2204"/>
        <w:rPr>
          <w:b/>
          <w:sz w:val="32"/>
          <w:u w:val="single"/>
        </w:rPr>
      </w:pPr>
      <w:r>
        <w:rPr>
          <w:rFonts w:hint="eastAsia"/>
          <w:b/>
          <w:sz w:val="32"/>
        </w:rPr>
        <w:t>日</w:t>
      </w:r>
      <w:r>
        <w:rPr>
          <w:b/>
          <w:sz w:val="32"/>
        </w:rPr>
        <w:t xml:space="preserve">    </w:t>
      </w:r>
      <w:r>
        <w:rPr>
          <w:rFonts w:hint="eastAsia"/>
          <w:b/>
          <w:sz w:val="32"/>
        </w:rPr>
        <w:t>期</w:t>
      </w:r>
      <w:r>
        <w:rPr>
          <w:b/>
          <w:sz w:val="32"/>
        </w:rPr>
        <w:t xml:space="preserve"> </w:t>
      </w:r>
      <w:r>
        <w:rPr>
          <w:b/>
          <w:sz w:val="32"/>
          <w:u w:val="single"/>
        </w:rPr>
        <w:t xml:space="preserve">    </w:t>
      </w:r>
      <w:r w:rsidR="00866FFA">
        <w:rPr>
          <w:b/>
          <w:sz w:val="32"/>
          <w:u w:val="single"/>
        </w:rPr>
        <w:t>待填写</w:t>
      </w:r>
      <w:r>
        <w:rPr>
          <w:b/>
          <w:sz w:val="32"/>
          <w:u w:val="single"/>
        </w:rPr>
        <w:t xml:space="preserve">         </w:t>
      </w:r>
    </w:p>
    <w:p>
      <w:pPr>
        <w:pStyle w:val="1"/>
      </w:pPr>
      <w:r>
        <w:t>1．课题来源及研究的目的和意义</w:t>
      </w:r>
    </w:p>
    <w:p>
      <w:pPr>
        <w:pStyle w:val="2"/>
      </w:pPr>
      <w:r>
        <w:t>1.1 课题来源</w:t>
      </w:r>
    </w:p>
    <w:p>
      <w:pPr>
        <w:pStyle w:val="a"/>
        <w:jc w:val="both"/>
        <w:ind w:firstLine="420"/>
      </w:pPr>
      <w:r>
        <w:t>本课题来源于大语言模型后训练和工具增强应用的共同需求，研究对象为在线策略蒸馏（On-Policy Distillation，OPD）。根据本课题任务要求，本文拟围绕以下内容展开：在学生模型自己生成的状态上获得教师模型的密集反馈，比较不同 KL 散度方向和不同监督信息粒度/估计方式对训练效果、稳定性与资源开销的影响，并以可交互系统验证训练模型的实际能力。</w:t>
      </w:r>
    </w:p>
    <w:p>
      <w:pPr>
        <w:pStyle w:val="a"/>
        <w:jc w:val="both"/>
        <w:ind w:firstLine="420"/>
      </w:pPr>
      <w:r>
        <w:t>本课题拟以 Qwen3-0.6B 作为学生模型，拟采用 LoRA 进行后训练；拟以 Qwen3-4B 作为冻结教师模型；训练数据拟从经核验的公开 Function Calling 数据中选择；按任务要求比较 Forward KL、Reverse KL、广义散度，以及全词表、Top-K、K1 sampled-token 的比较方案；最终拟在 vLLM 或自行搭建的 Agent 中择一进行验证。公开数据的最终名称、版本、许可证、划分方式和模型的具体 revision 在资料核验和算力盘点后填写。</w:t>
      </w:r>
    </w:p>
    <w:p>
      <w:pPr>
        <w:pStyle w:val="2"/>
      </w:pPr>
      <w:r>
        <w:t>1.2 研究背景</w:t>
      </w:r>
    </w:p>
    <w:p>
      <w:pPr>
        <w:pStyle w:val="a"/>
        <w:jc w:val="both"/>
        <w:ind w:firstLine="420"/>
      </w:pPr>
      <w:r>
        <w:t>大语言模型先通过大规模预训练学习语言规律和知识表示，再通过后训练获得指令遵循、结构化输出、推理和工具使用能力。知识蒸馏以教师模型的软分布为学生提供比硬标签更丰富的训练信号，Hinton 等人讨论了温度和软目标的基本思想[1]；序列级知识蒸馏则使用教师生成的序列训练学生[2]。这种信号的收益取决于任务、教师和训练协议，训练数据或教师轨迹与学生推理时实际访问的状态也可能不一致。</w:t>
      </w:r>
    </w:p>
    <w:p>
      <w:pPr>
        <w:pStyle w:val="a"/>
        <w:jc w:val="both"/>
        <w:ind w:firstLine="420"/>
      </w:pPr>
      <w:r>
        <w:t>Function Calling 是大语言模型连接外部 API 和工具的重要形式。Gorilla/APIBench 关注 API 文档、API 选择和参数正确性[22]；API-Bank 将工具规划、检索和调用放在统一基准中进行评测[23]。ReAct 展示了推理与外部动作交替进行的 Agent 交互形式[21]。这些工作表明，工具增强模型的能力不只体现在自然语言流畅性，还体现在工具选择、结构化参数、调用顺序和执行结果等多个环节。</w:t>
      </w:r>
    </w:p>
    <w:p>
      <w:pPr>
        <w:pStyle w:val="a"/>
        <w:jc w:val="both"/>
        <w:ind w:firstLine="420"/>
      </w:pPr>
      <w:r>
        <w:t>Function Calling 具有相对清晰的自动评测条件。给定用户请求、工具集合和调用 schema，可以分别检查模型是否选择正确函数、是否生成可解析结构、参数键和值是否匹配、调用是否满足类型约束，以及工具执行后是否完成任务。BFCL 将函数调用评测扩展到串行、并行、拒答和 Agent 场景，并讨论了基于结构匹配的评测方式[27]。因此，Function Calling 适合作为研究小模型后训练方法的应用领域，也适合观察 token 级分布匹配是否能够转化为端到端行为。</w:t>
      </w:r>
    </w:p>
    <w:p>
      <w:pPr>
        <w:pStyle w:val="a"/>
        <w:jc w:val="both"/>
        <w:ind w:firstLine="420"/>
      </w:pPr>
      <w:r>
        <w:t>从任务形式看，为便于本课题评测，本文将 Function Calling 拆分为意图与工具选择、结构化参数生成、schema 约束、工具执行和多轮任务完成等环节。由此，同一条样本可以在不同层面失败：意图理解正确但函数选择错误，函数选择正确但参数缺失，参数结构正确但值不符合约束，或者一次调用正确但多轮任务没有完成；这种拆分与已有工具调用基准的评测维度相近[23][27]。</w:t>
      </w:r>
    </w:p>
    <w:p>
      <w:pPr>
        <w:pStyle w:val="a"/>
        <w:jc w:val="both"/>
        <w:ind w:firstLine="420"/>
      </w:pPr>
      <w:r>
        <w:t>本课题不预设所有公开数据都具有相同的任务结构。数据审计时将以实际字段为准，区分单轮调用、多工具候选、并行调用、多轮工具结果和无适用工具等可能情况；如果某类样本不存在，就不在报告中将其写成已覆盖能力。训练、验证和测试的划分也必须在数据版本确定后再固定，以免同一工具 schema 或相近问题造成信息泄漏。</w:t>
      </w:r>
    </w:p>
    <w:p>
      <w:pPr>
        <w:pStyle w:val="2"/>
      </w:pPr>
      <w:r>
        <w:t>1.3 传统后训练方法的局限</w:t>
      </w:r>
    </w:p>
    <w:p>
      <w:pPr>
        <w:pStyle w:val="a"/>
        <w:jc w:val="both"/>
        <w:ind w:firstLine="420"/>
      </w:pPr>
      <w:r>
        <w:t>监督微调使用给定的输入—输出样本直接最大化参考答案概率，训练稳定、实现成熟，但学生在推理时可能生成与示范不同的前缀，之后访问到的状态未必被训练数据覆盖。Huszár 对自回归生成训练目标和 scheduled sampling 的分析说明，训练分布与生成分布之间的差异会影响目标的一致性[5]。DAgger 通过在学生策略访问的状态上请求专家动作，缓解模仿学习中的分布偏移[3]；ImitKD 将自回归蒸馏和模仿学习联系起来[4]。这些工作为 OPD 提供了理论动机。</w:t>
      </w:r>
    </w:p>
    <w:p>
      <w:pPr>
        <w:pStyle w:val="a"/>
        <w:jc w:val="both"/>
        <w:ind w:firstLine="420"/>
      </w:pPr>
      <w:r>
        <w:t>强化学习和偏好优化分别依赖环境奖励与回答偏好，训练信号均不同于本课题的 token 分布监督。因此，本课题把强化学习和偏好优化作为背景，不把它们的训练协议并入主比较。</w:t>
      </w:r>
    </w:p>
    <w:p>
      <w:pPr>
        <w:pStyle w:val="a"/>
        <w:jc w:val="both"/>
        <w:ind w:firstLine="420"/>
      </w:pPr>
      <w:r>
        <w:t>传统离线蒸馏可以向学生提供教师分布或教师生成答案，但若教师始终在自身状态上生成，学生在自身错误前缀上的恢复能力仍可能不足。OPD 的基本思路是让学生先生成自身轨迹，再让教师在这些学生访问到的前缀上提供反馈，从而使训练状态更接近部署时的状态[7][10]。该思路并不保证一定提高 Function Calling 指标，具体效果仍取决于教师与学生的能力差距、模板兼容性、散度方向和监督信息粒度/估计方式。</w:t>
      </w:r>
    </w:p>
    <w:p>
      <w:pPr>
        <w:pStyle w:val="2"/>
      </w:pPr>
      <w:r>
        <w:t>1.4 在线策略蒸馏的研究价值</w:t>
      </w:r>
    </w:p>
    <w:p>
      <w:pPr>
        <w:pStyle w:val="a"/>
        <w:jc w:val="both"/>
        <w:ind w:firstLine="420"/>
      </w:pPr>
      <w:r>
        <w:t>设学生策略为 πθ，教师策略为 πφ。给定用户输入 x，学生按照自身策略生成 (y₁:T)，教师在前缀 ((x,y(&lt;t))) 上给出下一 token 的分布或局部评分，学生根据分布差异更新参数。与只使用教师示范的离线方法相比，OPD 关注学生真实会访问的状态；与只依赖任务奖励的强化学习相比，教师分布可以提供更密集的 token 级信号。</w:t>
      </w:r>
    </w:p>
    <w:p>
      <w:pPr>
        <w:pStyle w:val="a"/>
        <w:jc w:val="both"/>
        <w:ind w:firstLine="420"/>
      </w:pPr>
      <w:r>
        <w:t>GKD 研究了从学生自生成错误中学习的在线蒸馏[7]；MiniLLM 以 Reverse KL 和序列级目标为重要组成部分[8]；DistiLLM 讨论了 skew KL 和学生样本复用[9]。相关研究还从现象、状态覆盖、教师兼容性、Top-K 支持和失败模式等角度分析 OPD[11][12][13]，并提出混合策略或效率改进方向[14]。综述工作将 OPD 归纳为不同优化对象、监督信号来源和稳定化方式的组合[15]。</w:t>
      </w:r>
    </w:p>
    <w:p>
      <w:pPr>
        <w:pStyle w:val="a"/>
        <w:jc w:val="both"/>
        <w:ind w:firstLine="420"/>
      </w:pPr>
      <w:r>
        <w:t>本课题的价值在于把上述变量放入一个相对固定的应用条件中考察：预设学生模型为 Qwen3-0.6B、教师模型为 Qwen3-4B，学生拟采用 LoRA，任务为 Function Calling，并比较散度方向和监督信息粒度/估计方式。这样可以避免把模型规模、任务类型、训练预算和评测规则的差异误认为蒸馏方法差异。</w:t>
      </w:r>
    </w:p>
    <w:p>
      <w:pPr>
        <w:pStyle w:val="a"/>
        <w:jc w:val="both"/>
        <w:ind w:firstLine="420"/>
      </w:pPr>
      <w:r>
        <w:t>Function Calling 还提供了一个观察 OPD 训练机制的中间层。自然语言回复的质量往往难以完全自动判断，而函数名和参数通常具有明确的结构约束；反过来，结构合法也不一定代表任务完成。由此可以把研究结果分为 token 分布层、结构化生成层和工具执行层：前两层可以分析教师监督是否被学生吸收，最后一层可以检查这些变化是否真正影响 Agent 行为。这种分层关系是本课题选择该领域的重要原因。</w:t>
      </w:r>
    </w:p>
    <w:p>
      <w:pPr>
        <w:pStyle w:val="2"/>
      </w:pPr>
      <w:r>
        <w:t>1.5 研究目的和意义</w:t>
      </w:r>
    </w:p>
    <w:p>
      <w:pPr>
        <w:pStyle w:val="a"/>
        <w:jc w:val="both"/>
        <w:ind w:firstLine="420"/>
      </w:pPr>
      <w:r>
        <w:t>本课题拟达到以下目的：</w:t>
      </w:r>
    </w:p>
    <w:p>
      <w:pPr>
        <w:pStyle w:val="a8"/>
        <w:jc w:val="left"/>
        <w:ind w:firstLine="420"/>
      </w:pPr>
      <w:r>
        <w:t>1. 梳理离线蒸馏、在线策略蒸馏、KL 散度和工具增强模型的研究脉络，明确 OPD 在 Function Calling 中的研究问题。</w:t>
      </w:r>
    </w:p>
    <w:p>
      <w:pPr>
        <w:pStyle w:val="a8"/>
        <w:jc w:val="left"/>
        <w:ind w:firstLine="420"/>
      </w:pPr>
      <w:r>
        <w:t>2. 在统一的 OPD 后训练流程下比较主要散度方向与监督信息粒度/估计方式，具体候选矩阵见第3、4节。</w:t>
      </w:r>
    </w:p>
    <w:p>
      <w:pPr>
        <w:pStyle w:val="a8"/>
        <w:jc w:val="left"/>
        <w:ind w:firstLine="420"/>
      </w:pPr>
      <w:r>
        <w:t>3. 从任务效果、训练稳定性、分布变化和资源开销分析方法差异，并在候选的 vLLM 或自建 Agent 后端中观察这些差异与端到端行为的关系。</w:t>
      </w:r>
    </w:p>
    <w:p>
      <w:pPr>
        <w:pStyle w:val="a"/>
        <w:jc w:val="both"/>
        <w:ind w:firstLine="420"/>
      </w:pPr>
      <w:r>
        <w:t>理论上，本课题将学生状态分布、散度方向和教师监督支持集作为三个可分析因素，补充 Function Calling 场景下的 OPD 研究讨论。应用上，若较小模型经过 LoRA 后训练能够获得可靠的工具调用能力，则可能在低延迟、低成本或本地部署场景承担部分工具交互；如果某种稀疏监督在效果接近完整监督的同时减少教师反馈量，也可为资源受限的蒸馏训练提供参考。上述判断均为研究动机，不是本项目已经得到的结论。</w:t>
      </w:r>
    </w:p>
    <w:p>
      <w:pPr>
        <w:pStyle w:val="1"/>
      </w:pPr>
      <w:r>
        <w:t>2．国内外在该方向的研究现状及分析</w:t>
      </w:r>
    </w:p>
    <w:p>
      <w:pPr>
        <w:pStyle w:val="2"/>
      </w:pPr>
      <w:r>
        <w:t>2.1 大语言模型后训练和知识蒸馏</w:t>
      </w:r>
    </w:p>
    <w:p>
      <w:pPr>
        <w:pStyle w:val="a"/>
        <w:jc w:val="both"/>
        <w:ind w:firstLine="420"/>
      </w:pPr>
      <w:r>
        <w:t>为便于比较，本文按训练信号将相关后训练方法分为监督微调、知识蒸馏、偏好优化和强化学习。监督微调依赖人工或教师构造的目标序列，知识蒸馏使用教师软分布，偏好优化使用回答之间的偏好关系，强化学习则依据环境或任务奖励更新策略。SFT 和序列级蒸馏易于构造结构化数据，但学生状态与训练前缀之间可能存在偏移[1][2][5]。这些方法在训练信号来源和优化对象上不同，不能把它们的结果直接互相替代。</w:t>
      </w:r>
    </w:p>
    <w:p>
      <w:pPr>
        <w:pStyle w:val="a"/>
        <w:jc w:val="both"/>
        <w:ind w:firstLine="420"/>
      </w:pPr>
      <w:r>
        <w:t>知识蒸馏的核心是利用教师输出中的软信息。设教师在某个位置给出分布 p，学生给出分布 q，蒸馏目标可以通过概率分布之间的距离定义。软目标保留了教师对多个候选 token 的相对偏好，理论上比 one-hot 标签提供更多信息；但在自回归任务中，分布匹配还受前缀状态、采样方式和序列长度影响。f-divergence 视角将多种分布距离纳入统一框架，可用于解释序列级蒸馏目标[6]。</w:t>
      </w:r>
    </w:p>
    <w:p>
      <w:pPr>
        <w:pStyle w:val="a"/>
        <w:jc w:val="both"/>
        <w:ind w:firstLine="420"/>
      </w:pPr>
      <w:r>
        <w:t>从训练状态和反馈来源看，可以将相关方法作如下区分：</w:t>
      </w:r>
    </w:p>
    <w:tbl>
      <w:tblPr>
        <w:tblStyle w:val="a9"/>
        <w:tblW w:w="0" w:type="auto"/>
        <w:tblLook w:val="04A0" w:firstRow="1" w:lastRow="0" w:firstColumn="1" w:lastColumn="0" w:noHBand="0" w:noVBand="1"/>
      </w:tblPr>
      <w:tblGrid>
        <w:gridCol w:w="2074"/>
        <w:gridCol w:w="2074"/>
        <w:gridCol w:w="2074"/>
        <w:gridCol w:w="2074"/>
      </w:tblGrid>
      <w:tr>
        <w:trPr>
          <w:tblHeader/>
        </w:trPr>
        <w:tc>
          <w:tcPr>
            <w:tcW w:w="4148" w:type="dxa"/>
            <w:shd w:val="clear" w:color="auto" w:fill="C5E0B3" w:themeFill="accent6" w:themeFillTint="66"/>
          </w:tcPr>
          <w:p>
            <w:pPr>
              <w:pStyle w:val="a"/>
              <w:jc w:val="left"/>
              <w:ind w:firstLine="0"/>
            </w:pPr>
            <w:r>
              <w:rPr>
                <w:b/>
              </w:rPr>
              <w:t>方法类别</w:t>
            </w:r>
          </w:p>
        </w:tc>
        <w:tc>
          <w:tcPr>
            <w:tcW w:w="4148" w:type="dxa"/>
            <w:shd w:val="clear" w:color="auto" w:fill="C5E0B3" w:themeFill="accent6" w:themeFillTint="66"/>
          </w:tcPr>
          <w:p>
            <w:pPr>
              <w:pStyle w:val="a"/>
              <w:jc w:val="left"/>
              <w:ind w:firstLine="0"/>
            </w:pPr>
            <w:r>
              <w:rPr>
                <w:b/>
              </w:rPr>
              <w:t>学生训练时的主要状态</w:t>
            </w:r>
          </w:p>
        </w:tc>
        <w:tc>
          <w:tcPr>
            <w:tcW w:w="4148" w:type="dxa"/>
            <w:shd w:val="clear" w:color="auto" w:fill="C5E0B3" w:themeFill="accent6" w:themeFillTint="66"/>
          </w:tcPr>
          <w:p>
            <w:pPr>
              <w:pStyle w:val="a"/>
              <w:jc w:val="left"/>
              <w:ind w:firstLine="0"/>
            </w:pPr>
            <w:r>
              <w:rPr>
                <w:b/>
              </w:rPr>
              <w:t>监督或奖励来源</w:t>
            </w:r>
          </w:p>
        </w:tc>
        <w:tc>
          <w:tcPr>
            <w:tcW w:w="4148" w:type="dxa"/>
            <w:shd w:val="clear" w:color="auto" w:fill="C5E0B3" w:themeFill="accent6" w:themeFillTint="66"/>
          </w:tcPr>
          <w:p>
            <w:pPr>
              <w:pStyle w:val="a"/>
              <w:jc w:val="left"/>
              <w:ind w:firstLine="0"/>
            </w:pPr>
            <w:r>
              <w:rPr>
                <w:b/>
              </w:rPr>
              <w:t>对本课题的启发</w:t>
            </w:r>
          </w:p>
        </w:tc>
      </w:tr>
      <w:tr>
        <w:tc>
          <w:tcPr>
            <w:tcW w:w="4148" w:type="dxa"/>
          </w:tcPr>
          <w:p>
            <w:pPr>
              <w:pStyle w:val="a"/>
              <w:jc w:val="left"/>
              <w:ind w:firstLine="0"/>
            </w:pPr>
            <w:r>
              <w:t>SFT/离线蒸馏</w:t>
            </w:r>
          </w:p>
        </w:tc>
        <w:tc>
          <w:tcPr>
            <w:tcW w:w="4148" w:type="dxa"/>
          </w:tcPr>
          <w:p>
            <w:pPr>
              <w:pStyle w:val="a"/>
              <w:jc w:val="left"/>
              <w:ind w:firstLine="0"/>
            </w:pPr>
            <w:r>
              <w:t>数据或教师示范前缀</w:t>
            </w:r>
          </w:p>
        </w:tc>
        <w:tc>
          <w:tcPr>
            <w:tcW w:w="4148" w:type="dxa"/>
          </w:tcPr>
          <w:p>
            <w:pPr>
              <w:pStyle w:val="a"/>
              <w:jc w:val="left"/>
              <w:ind w:firstLine="0"/>
            </w:pPr>
            <w:r>
              <w:t>硬标签、教师序列或软分布</w:t>
            </w:r>
          </w:p>
        </w:tc>
        <w:tc>
          <w:tcPr>
            <w:tcW w:w="4148" w:type="dxa"/>
          </w:tcPr>
          <w:p>
            <w:pPr>
              <w:pStyle w:val="a"/>
              <w:jc w:val="left"/>
              <w:ind w:firstLine="0"/>
            </w:pPr>
            <w:r>
              <w:t>作为 OPD 分布偏移问题的对照背景</w:t>
            </w:r>
          </w:p>
        </w:tc>
      </w:tr>
      <w:tr>
        <w:tc>
          <w:tcPr>
            <w:tcW w:w="4148" w:type="dxa"/>
          </w:tcPr>
          <w:p>
            <w:pPr>
              <w:pStyle w:val="a"/>
              <w:jc w:val="left"/>
              <w:ind w:firstLine="0"/>
            </w:pPr>
            <w:r>
              <w:t>模仿学习式蒸馏</w:t>
            </w:r>
          </w:p>
        </w:tc>
        <w:tc>
          <w:tcPr>
            <w:tcW w:w="4148" w:type="dxa"/>
          </w:tcPr>
          <w:p>
            <w:pPr>
              <w:pStyle w:val="a"/>
              <w:jc w:val="left"/>
              <w:ind w:firstLine="0"/>
            </w:pPr>
            <w:r>
              <w:t>学生访问的部分状态</w:t>
            </w:r>
          </w:p>
        </w:tc>
        <w:tc>
          <w:tcPr>
            <w:tcW w:w="4148" w:type="dxa"/>
          </w:tcPr>
          <w:p>
            <w:pPr>
              <w:pStyle w:val="a"/>
              <w:jc w:val="left"/>
              <w:ind w:firstLine="0"/>
            </w:pPr>
            <w:r>
              <w:t>专家动作或教师反馈</w:t>
            </w:r>
          </w:p>
        </w:tc>
        <w:tc>
          <w:tcPr>
            <w:tcW w:w="4148" w:type="dxa"/>
          </w:tcPr>
          <w:p>
            <w:pPr>
              <w:pStyle w:val="a"/>
              <w:jc w:val="left"/>
              <w:ind w:firstLine="0"/>
            </w:pPr>
            <w:r>
              <w:t>说明为什么要让教师观察学生前缀</w:t>
            </w:r>
          </w:p>
        </w:tc>
      </w:tr>
      <w:tr>
        <w:tc>
          <w:tcPr>
            <w:tcW w:w="4148" w:type="dxa"/>
          </w:tcPr>
          <w:p>
            <w:pPr>
              <w:pStyle w:val="a"/>
              <w:jc w:val="left"/>
              <w:ind w:firstLine="0"/>
            </w:pPr>
            <w:r>
              <w:t>OPD</w:t>
            </w:r>
          </w:p>
        </w:tc>
        <w:tc>
          <w:tcPr>
            <w:tcW w:w="4148" w:type="dxa"/>
          </w:tcPr>
          <w:p>
            <w:pPr>
              <w:pStyle w:val="a"/>
              <w:jc w:val="left"/>
              <w:ind w:firstLine="0"/>
            </w:pPr>
            <w:r>
              <w:t>学生自身生成轨迹</w:t>
            </w:r>
          </w:p>
        </w:tc>
        <w:tc>
          <w:tcPr>
            <w:tcW w:w="4148" w:type="dxa"/>
          </w:tcPr>
          <w:p>
            <w:pPr>
              <w:pStyle w:val="a"/>
              <w:jc w:val="left"/>
              <w:ind w:firstLine="0"/>
            </w:pPr>
            <w:r>
              <w:t>教师 token 分布或 log-prob</w:t>
            </w:r>
          </w:p>
        </w:tc>
        <w:tc>
          <w:tcPr>
            <w:tcW w:w="4148" w:type="dxa"/>
          </w:tcPr>
          <w:p>
            <w:pPr>
              <w:pStyle w:val="a"/>
              <w:jc w:val="left"/>
              <w:ind w:firstLine="0"/>
            </w:pPr>
            <w:r>
              <w:t>本课题的主要研究对象</w:t>
            </w:r>
          </w:p>
        </w:tc>
      </w:tr>
      <w:tr>
        <w:tc>
          <w:tcPr>
            <w:tcW w:w="4148" w:type="dxa"/>
          </w:tcPr>
          <w:p>
            <w:pPr>
              <w:pStyle w:val="a"/>
              <w:jc w:val="left"/>
              <w:ind w:firstLine="0"/>
            </w:pPr>
            <w:r>
              <w:t>偏好优化/RL</w:t>
            </w:r>
          </w:p>
        </w:tc>
        <w:tc>
          <w:tcPr>
            <w:tcW w:w="4148" w:type="dxa"/>
          </w:tcPr>
          <w:p>
            <w:pPr>
              <w:pStyle w:val="a"/>
              <w:jc w:val="left"/>
              <w:ind w:firstLine="0"/>
            </w:pPr>
            <w:r>
              <w:t>学生采样或离线偏好状态</w:t>
            </w:r>
          </w:p>
        </w:tc>
        <w:tc>
          <w:tcPr>
            <w:tcW w:w="4148" w:type="dxa"/>
          </w:tcPr>
          <w:p>
            <w:pPr>
              <w:pStyle w:val="a"/>
              <w:jc w:val="left"/>
              <w:ind w:firstLine="0"/>
            </w:pPr>
            <w:r>
              <w:t>偏好关系、环境奖励</w:t>
            </w:r>
          </w:p>
        </w:tc>
        <w:tc>
          <w:tcPr>
            <w:tcW w:w="4148" w:type="dxa"/>
          </w:tcPr>
          <w:p>
            <w:pPr>
              <w:pStyle w:val="a"/>
              <w:jc w:val="left"/>
              <w:ind w:firstLine="0"/>
            </w:pPr>
            <w:r>
              <w:t>说明密集教师反馈与稀疏奖励的差异</w:t>
            </w:r>
          </w:p>
        </w:tc>
      </w:tr>
    </w:tbl>
    <w:p>
      <w:pPr>
        <w:pStyle w:val="a"/>
        <w:jc w:val="both"/>
        <w:ind w:firstLine="420"/>
      </w:pPr>
      <w:r>
        <w:t>这一区分并不意味着方法之间完全互斥。实际系统可以先使用 SFT 再进行 OPD，也可以将教师反馈与任务奖励结合；但本课题首先控制变量，只研究预设的 LoRA-OPD 路线，将其他方法作为相关工作或后续对照。这样能够避免在开题阶段把研究范围扩展到完整的 RLHF、DPO 或多阶段 Agent 训练。</w:t>
      </w:r>
    </w:p>
    <w:p>
      <w:pPr>
        <w:pStyle w:val="2"/>
      </w:pPr>
      <w:r>
        <w:t>2.2 分布偏移与在线策略蒸馏</w:t>
      </w:r>
    </w:p>
    <w:p>
      <w:pPr>
        <w:pStyle w:val="a"/>
        <w:jc w:val="both"/>
        <w:ind w:firstLine="420"/>
      </w:pPr>
      <w:r>
        <w:t>在自回归生成中，训练时的前缀通常来自参考序列，推理时的前缀来自模型自身。DAgger 在学生访问到的状态上向专家请求标签[3]，ImitKD 将这一思想用于自回归知识蒸馏[4]。OPD 延续这一思路，但将专家反馈从离散动作扩展为教师模型的 token 分布或 log-prob。</w:t>
      </w:r>
    </w:p>
    <w:p>
      <w:pPr>
        <w:pStyle w:val="a"/>
        <w:jc w:val="both"/>
        <w:ind w:firstLine="420"/>
      </w:pPr>
      <w:r>
        <w:t>GKD 直接研究学生自生成错误上的蒸馏，并比较不同生成和散度设置[7]。MiniLLM 讨论 Reverse KL 的序列级目标和生成模型的模式选择特性[8]。DistiLLM 通过 skew KL 和样本复用探索效果与成本的折中[9]。Thinking Machines Lab 的 OPD 技术文章则提供了学生 rollout、教师逐 token 反馈和 Reverse KL 的工程实现参考[10]，不将其等同于同行评审论文基线。</w:t>
      </w:r>
    </w:p>
    <w:p>
      <w:pPr>
        <w:pStyle w:val="a"/>
        <w:jc w:val="both"/>
        <w:ind w:firstLine="420"/>
      </w:pPr>
      <w:r>
        <w:t>近年的研究进一步指出，OPD 是否有效与教师—学生思维模式兼容性、教师能否提供学生尚未掌握的能力、提示带来的状态覆盖以及轨迹长度有关[11][12]。采样 token 的信号不平衡、学生前缀漂移、特殊 token 和 tokenizer 差异可能导致训练不稳定[13]。Hybrid Policy Distillation 讨论前向和反向 KL 的混合方式[14]，相关综述则从优化对象、监督来源和稳定化策略对这些工作进行分类[15]。这些研究为本课题的变量选择提供了依据，但它们并非在本课题的 Qwen3 Function Calling 配置下完成，不能直接当作本项目结论。</w:t>
      </w:r>
    </w:p>
    <w:p>
      <w:pPr>
        <w:pStyle w:val="a"/>
        <w:jc w:val="both"/>
        <w:ind w:firstLine="420"/>
      </w:pPr>
      <w:r>
        <w:t>为便于本课题比较，本文将 OPD 的“在线”操作性地拆分为三个层面：学生是否参与生成状态的产生，教师是否在学生前缀上评分，以及蒸馏目标是否直接对采样结果求梯度或采用采样估计器传递训练信号。GKD 的 token 级比较、MiniLLM 的序列级或策略式目标、DistiLLM 的样本复用机制在这些层面上并不完全相同。因此，本课题在设计比较时需要把“散度名称”和“实现估计器”分开记录，不能只在表格中写 FKL 或 RKL 就认为两种实现已经完全相同。</w:t>
      </w:r>
    </w:p>
    <w:p>
      <w:pPr>
        <w:pStyle w:val="a"/>
        <w:jc w:val="both"/>
        <w:ind w:firstLine="420"/>
      </w:pPr>
      <w:r>
        <w:t>另外，教师能力并非越强越适合学生。教师与学生在解题模式、输出格式或工具调用习惯上的差异，可能使教师在学生访问状态上给出难以吸收的信号；学生容量不足时，完整覆盖教师分布也可能增加训练压力。Rethinking OPD 系列文献对兼容性、状态覆盖和提示多样性的讨论[12][13]，为本课题记录师生分布重叠和格式错误提供了研究依据，但不能替代本项目的实际兼容性检查。</w:t>
      </w:r>
    </w:p>
    <w:p>
      <w:pPr>
        <w:pStyle w:val="2"/>
      </w:pPr>
      <w:r>
        <w:t>2.3 KL 散度方向与广义散度</w:t>
      </w:r>
    </w:p>
    <w:p>
      <w:pPr>
        <w:pStyle w:val="a"/>
        <w:jc w:val="both"/>
        <w:ind w:firstLine="420"/>
      </w:pPr>
      <w:r>
        <w:t>KL 散度的经典定义来自 Kullback 和 Leibler 的信息论研究[17]。在教师分布 (p) 和学生分布 (q) 上，Forward KL 和 Reverse KL 分别写为</w:t>
      </w:r>
    </w:p>
    <w:p>
      <w:pPr>
        <w:pStyle w:val="a"/>
        <w:jc w:val="center"/>
        <w:ind w:firstLine="0"/>
      </w:pPr>
      <w:r>
        <w:rPr>
          <w:rFonts w:ascii="Cambria Math" w:hAnsi="Cambria Math" w:eastAsia="Cambria Math"/>
        </w:rPr>
        <w:t xml:space="preserve">D(FKL)(p‖q) = Σ(v∈V) p(v) log[p(v)/q(v)],    D(RKL)(q‖p) = Σ(v∈V) q(v) log[q(v)/p(v)].</w:t>
      </w:r>
    </w:p>
    <w:p>
      <w:pPr>
        <w:pStyle w:val="a"/>
        <w:jc w:val="both"/>
        <w:ind w:firstLine="420"/>
      </w:pPr>
      <w:r>
        <w:t>Forward KL 按教师概率加权，倾向于要求学生覆盖教师分布的多个有质量区域；Reverse KL 按学生概率加权，更关注学生自身可能生成的区域。文献常将前者描述为 mode-covering 倾向、后者描述为 mode-seeking 倾向，但这些是解释生成行为的启发性表述，实际训练还受模型容量、温度、采样和支持集影响[7][8]。</w:t>
      </w:r>
    </w:p>
    <w:p>
      <w:pPr>
        <w:pStyle w:val="a"/>
        <w:jc w:val="both"/>
        <w:ind w:firstLine="420"/>
      </w:pPr>
      <w:r>
        <w:t>广义散度用于在不同分布匹配偏好之间取得折中。Jensen–Shannon 散度以混合分布 (m=(p+q)/2) 为中间分布，其形式为[18]</w:t>
      </w:r>
    </w:p>
    <w:p>
      <w:pPr>
        <w:pStyle w:val="a"/>
        <w:jc w:val="center"/>
        <w:ind w:firstLine="0"/>
      </w:pPr>
      <w:r>
        <w:rPr>
          <w:rFonts w:ascii="Cambria Math" w:hAnsi="Cambria Math" w:eastAsia="Cambria Math"/>
        </w:rPr>
        <w:t>D(JSD)(p,q) = 1/2 D(KL)(p‖m) + 1/2 D(KL)(q‖m).</w:t>
      </w:r>
    </w:p>
    <w:p>
      <w:pPr>
        <w:pStyle w:val="a"/>
        <w:jc w:val="both"/>
        <w:ind w:firstLine="420"/>
      </w:pPr>
      <w:r>
        <w:t>本课题拟从 JSD、skew KL 等广义散度中选择一种作为比较对象，具体形式、混合参数和 K1 估计方式待后续根据文献定义、模型接口和算力确定。不能把“广义散度”当成一个已经唯一确定的算法，也不能在实验前声称它一定优于某个 KL 方向。</w:t>
      </w:r>
    </w:p>
    <w:p>
      <w:pPr>
        <w:pStyle w:val="a"/>
        <w:jc w:val="both"/>
        <w:ind w:firstLine="420"/>
      </w:pPr>
      <w:r>
        <w:t>散度方向的差别在函数调用任务中可能表现为不同的行为。对于一个用户请求，教师可能认为多个函数或多种参数表达都具有合理概率。Forward KL 可能更重视保留这些候选区域，Reverse KL 则可能更重视学生已经形成的少数高概率选择；广义散度的效果取决于混合方式和学生当前分布。若工具集合中只有一个明显正确函数，三种目标的差异可能主要体现为参数和格式；若多个工具都与用户意图部分相关，差异可能进一步体现为工具选择覆盖和拒答行为。这些是待检验的任务层假设，不是对散度的普遍定理。</w:t>
      </w:r>
    </w:p>
    <w:p>
      <w:pPr>
        <w:pStyle w:val="a"/>
        <w:jc w:val="both"/>
        <w:ind w:firstLine="420"/>
      </w:pPr>
      <w:r>
        <w:t>监督信息的保留范围和估计方式还会改变散度的估计对象。全词表方案拟保留教师在有效位置上的完整分布；Top-K 方案拟只保留明确支持集中的信息，若采用重归一化则需记录支持集外质量的处理；K1 sampled-token 是用一个采样 token 对相应期望进行估计的单样本估计器，不是普通意义上的独立监督粒度，也不等于 Top-1 argmax，其估计方差及随序列长度的变化需要实验检验[11][13]。因此，比较时需要同时报告监督信息覆盖范围和任务指标，不能只比较一个平均 loss；若某个方法保留的教师信息更少，则应把反馈量、教师前向次数和学生生成量一并记录。</w:t>
      </w:r>
    </w:p>
    <w:p>
      <w:pPr>
        <w:pStyle w:val="2"/>
      </w:pPr>
      <w:r>
        <w:t>2.4 监督信息粒度与资源效率</w:t>
      </w:r>
    </w:p>
    <w:p>
      <w:pPr>
        <w:pStyle w:val="a"/>
        <w:jc w:val="both"/>
        <w:ind w:firstLine="420"/>
      </w:pPr>
      <w:r>
        <w:t>全词表监督在每个位置保留教师完整分布，信息较充分，但词表维度会带来较大的计算、显存和传输开销。Top-K 监督只保留教师或指定支持集中的高概率 token，资源开销可能下降，但必须明确 K 的取值、支持集来源、截断后的归一化和支持集外 token 的处理。K1 sampled-token 则是对分布目标使用单样本采样估计，不是与前两者完全同层级的支持集粒度。Rethinking OPD 从现象、机制和训练配方角度讨论 OPD[11]；Revisiting OPD 聚焦经验失败模式与修复[13]。二者可作为监督信息覆盖和稳定性分析的参考，但具体资源收益仍需本课题验证。</w:t>
      </w:r>
    </w:p>
    <w:p>
      <w:pPr>
        <w:pStyle w:val="a"/>
        <w:jc w:val="both"/>
        <w:ind w:firstLine="420"/>
      </w:pPr>
      <w:r>
        <w:t>Qwen3 技术报告提供了本课题模型家族的背景信息[16]。LoRA 通过低秩增量减少需要更新的参数量[19]；若后续因资源限制考察量化适配，应将量化方式带来的收益与蒸馏粒度收益分开报告。</w:t>
      </w:r>
    </w:p>
    <w:p>
      <w:pPr>
        <w:pStyle w:val="2"/>
      </w:pPr>
      <w:r>
        <w:t>2.5 Function Calling 数据与评测研究</w:t>
      </w:r>
    </w:p>
    <w:p>
      <w:pPr>
        <w:pStyle w:val="a"/>
        <w:jc w:val="both"/>
        <w:ind w:firstLine="420"/>
      </w:pPr>
      <w:r>
        <w:t>工具增强模型研究形成了从 API 学习、工具检索、调用规划到 Agent 执行的不同路线。Gorilla/APIBench 关注 API 文档和调用正确性[22]；API-Bank 覆盖工具规划、API 检索和调用[23]；ToolLLM/ToolBench 构造了大量真实 API 相关任务，并讨论了多工具和多步调用[24]；APIGen 强调可执行 API、格式检查和语义验证，提供了可用于公开训练的函数调用数据构造思路[25]；ToolACE 采用 API 池和多层检查生成多样工具调用数据[26]。</w:t>
      </w:r>
    </w:p>
    <w:p>
      <w:pPr>
        <w:pStyle w:val="a"/>
        <w:jc w:val="both"/>
        <w:ind w:firstLine="420"/>
      </w:pPr>
      <w:r>
        <w:t>本课题使用公开 Function Calling 数据，但最终采用的数据集名称、版本和许可证待填写。APIGen、ToolACE、API-Bank 和 ToolBench 均已列入本报告的引用清单，可作为候选研究文献和数据来源；正式使用的数据快照仍需逐项核验，并记录下载版本、过滤规则、重复样本处理和与独立测试集的重叠检查。</w:t>
      </w:r>
    </w:p>
    <w:p>
      <w:pPr>
        <w:pStyle w:val="a"/>
        <w:jc w:val="both"/>
        <w:ind w:firstLine="420"/>
      </w:pPr>
      <w:r>
        <w:t>公开数据的“可用”还需要经过三方面检查。第一是结构检查：工具 schema、函数名、参数类型和目标调用能否被统一解析；第二是语义检查：用户问题是否确实需要给定工具，目标参数是否能够由上下文推导；第三是执行检查：调用是否可以在本地模拟环境中运行，返回结果是否能够继续拼接到对话。APIGen 的可验证数据构造强调执行和语义检查[25]，ToolACE 的工作说明了多层检查对于降低函数调用噪声的重要性[26]。本课题借鉴这些原则，但不宣称候选数据已经通过本项目审计。</w:t>
      </w:r>
    </w:p>
    <w:p>
      <w:pPr>
        <w:pStyle w:val="a"/>
        <w:jc w:val="both"/>
        <w:ind w:firstLine="420"/>
      </w:pPr>
      <w:r>
        <w:t>训练集与测试集还应避免工具 schema、用户问题模板和目标调用的重复。若训练数据和 BFCL 或其他独立测试集共享相同的 API 定义，可能造成模型记忆而非泛化；若不同数据集只在工具名上不同、参数结构相同，也需要在分析中注明潜在泄漏。最终数据审计报告应保存样本字段统计、异常类别、去重规则和版本指纹。</w:t>
      </w:r>
    </w:p>
    <w:p>
      <w:pPr>
        <w:pStyle w:val="a"/>
        <w:jc w:val="both"/>
        <w:ind w:firstLine="420"/>
      </w:pPr>
      <w:r>
        <w:t>BFCL 是与函数调用直接相关的评测基准，覆盖结构化调用、并行或串行调用以及部分 Agent 场景[27]；AgentBench 则提供跨环境、多轮 Agent 评估的研究背景[28]。本课题可结合公开的 Function Calling 测试规范和自建模拟工具，分别评估格式、函数选择、参数、执行和端到端任务完成；最终采用哪一个独立测试版本待填写。</w:t>
      </w:r>
    </w:p>
    <w:p>
      <w:pPr>
        <w:pStyle w:val="2"/>
      </w:pPr>
      <w:r>
        <w:t>2.6 研究空白</w:t>
      </w:r>
    </w:p>
    <w:p>
      <w:pPr>
        <w:pStyle w:val="a"/>
        <w:jc w:val="both"/>
        <w:ind w:firstLine="420"/>
      </w:pPr>
      <w:r>
        <w:t>现有研究仍存在以下可继续分析的问题：</w:t>
      </w:r>
    </w:p>
    <w:p>
      <w:pPr>
        <w:pStyle w:val="a8"/>
        <w:jc w:val="left"/>
        <w:ind w:firstLine="420"/>
      </w:pPr>
      <w:r>
        <w:t>1. 不同 OPD 方法使用的模型、任务和训练预算不同，KL 方向与监督信息粒度/估计方式的独立影响尚不容易区分。</w:t>
      </w:r>
    </w:p>
    <w:p>
      <w:pPr>
        <w:pStyle w:val="a8"/>
        <w:jc w:val="left"/>
        <w:ind w:firstLine="420"/>
      </w:pPr>
      <w:r>
        <w:t>2. 全词表、Top-K 和 K1 的名称相近，但支持集、重归一化、采样 proposal 和特殊 token 处理可能不同，若协议不明确则难以复现。</w:t>
      </w:r>
    </w:p>
    <w:p>
      <w:pPr>
        <w:pStyle w:val="a8"/>
        <w:jc w:val="left"/>
        <w:ind w:firstLine="420"/>
      </w:pPr>
      <w:r>
        <w:t>3. 许多研究更关注生成质量或任务分数，Function Calling 还需要同时观察格式解析、函数名、参数和工具执行。</w:t>
      </w:r>
    </w:p>
    <w:p>
      <w:pPr>
        <w:pStyle w:val="a8"/>
        <w:jc w:val="left"/>
        <w:ind w:firstLine="420"/>
      </w:pPr>
      <w:r>
        <w:t>4. token 级分布差异、训练熵变化与端到端 Agent 成功率之间的关系需要在具体任务中验证。</w:t>
      </w:r>
    </w:p>
    <w:p>
      <w:pPr>
        <w:pStyle w:val="a8"/>
        <w:jc w:val="left"/>
        <w:ind w:firstLine="420"/>
      </w:pPr>
      <w:r>
        <w:t>5. 小模型在教师指导下的收益必须与 LoRA 容量、模板兼容性和资源预算区分，不能直接搬用更大规模模型的结论。</w:t>
      </w:r>
    </w:p>
    <w:p>
      <w:pPr>
        <w:pStyle w:val="a"/>
        <w:jc w:val="both"/>
        <w:ind w:firstLine="420"/>
      </w:pPr>
      <w:r>
        <w:t>因此，本课题拟以 Qwen3-0.6B 学生、Qwen3-4B 教师和经核验的公开 Function Calling 数据为条件，比较任务要求的散度方向和监督信息粒度/估计方式，重点观察效果、稳定性、资源开销与 Agent 行为之间的联系。</w:t>
      </w:r>
    </w:p>
    <w:p>
      <w:pPr>
        <w:pStyle w:val="a"/>
        <w:jc w:val="both"/>
        <w:ind w:firstLine="420"/>
      </w:pPr>
      <w:r>
        <w:t>综合现有工作，本课题关注的变量和证据关系可以概括为：</w:t>
      </w:r>
    </w:p>
    <w:tbl>
      <w:tblPr>
        <w:tblStyle w:val="a9"/>
        <w:tblW w:w="0" w:type="auto"/>
        <w:tblLook w:val="04A0" w:firstRow="1" w:lastRow="0" w:firstColumn="1" w:lastColumn="0" w:noHBand="0" w:noVBand="1"/>
      </w:tblPr>
      <w:tblGrid>
        <w:gridCol w:w="2765"/>
        <w:gridCol w:w="2765"/>
        <w:gridCol w:w="2765"/>
      </w:tblGrid>
      <w:tr>
        <w:trPr>
          <w:tblHeader/>
        </w:trPr>
        <w:tc>
          <w:tcPr>
            <w:tcW w:w="4148" w:type="dxa"/>
            <w:shd w:val="clear" w:color="auto" w:fill="C5E0B3" w:themeFill="accent6" w:themeFillTint="66"/>
          </w:tcPr>
          <w:p>
            <w:pPr>
              <w:pStyle w:val="a"/>
              <w:jc w:val="left"/>
              <w:ind w:firstLine="0"/>
            </w:pPr>
            <w:r>
              <w:rPr>
                <w:b/>
              </w:rPr>
              <w:t>研究变量</w:t>
            </w:r>
          </w:p>
        </w:tc>
        <w:tc>
          <w:tcPr>
            <w:tcW w:w="4148" w:type="dxa"/>
            <w:shd w:val="clear" w:color="auto" w:fill="C5E0B3" w:themeFill="accent6" w:themeFillTint="66"/>
          </w:tcPr>
          <w:p>
            <w:pPr>
              <w:pStyle w:val="a"/>
              <w:jc w:val="left"/>
              <w:ind w:firstLine="0"/>
            </w:pPr>
            <w:r>
              <w:rPr>
                <w:b/>
              </w:rPr>
              <w:t>文献中已讨论的现象</w:t>
            </w:r>
          </w:p>
        </w:tc>
        <w:tc>
          <w:tcPr>
            <w:tcW w:w="4148" w:type="dxa"/>
            <w:shd w:val="clear" w:color="auto" w:fill="C5E0B3" w:themeFill="accent6" w:themeFillTint="66"/>
          </w:tcPr>
          <w:p>
            <w:pPr>
              <w:pStyle w:val="a"/>
              <w:jc w:val="left"/>
              <w:ind w:firstLine="0"/>
            </w:pPr>
            <w:r>
              <w:rPr>
                <w:b/>
              </w:rPr>
              <w:t>本课题拟验证的表现</w:t>
            </w:r>
          </w:p>
        </w:tc>
      </w:tr>
      <w:tr>
        <w:tc>
          <w:tcPr>
            <w:tcW w:w="4148" w:type="dxa"/>
          </w:tcPr>
          <w:p>
            <w:pPr>
              <w:pStyle w:val="a"/>
              <w:jc w:val="left"/>
              <w:ind w:firstLine="0"/>
            </w:pPr>
            <w:r>
              <w:t>KL 方向/广义散度</w:t>
            </w:r>
          </w:p>
        </w:tc>
        <w:tc>
          <w:tcPr>
            <w:tcW w:w="4148" w:type="dxa"/>
          </w:tcPr>
          <w:p>
            <w:pPr>
              <w:pStyle w:val="a"/>
              <w:jc w:val="left"/>
              <w:ind w:firstLine="0"/>
            </w:pPr>
            <w:r>
              <w:t>mode-covering、mode-seeking、混合目标和样本方差</w:t>
            </w:r>
          </w:p>
        </w:tc>
        <w:tc>
          <w:tcPr>
            <w:tcW w:w="4148" w:type="dxa"/>
          </w:tcPr>
          <w:p>
            <w:pPr>
              <w:pStyle w:val="a"/>
              <w:jc w:val="left"/>
              <w:ind w:firstLine="0"/>
            </w:pPr>
            <w:r>
              <w:t>工具选择、参数生成、熵和训练稳定性</w:t>
            </w:r>
          </w:p>
        </w:tc>
      </w:tr>
      <w:tr>
        <w:tc>
          <w:tcPr>
            <w:tcW w:w="4148" w:type="dxa"/>
          </w:tcPr>
          <w:p>
            <w:pPr>
              <w:pStyle w:val="a"/>
              <w:jc w:val="left"/>
              <w:ind w:firstLine="0"/>
            </w:pPr>
            <w:r>
              <w:t>教师监督信息/估计方式</w:t>
            </w:r>
          </w:p>
        </w:tc>
        <w:tc>
          <w:tcPr>
            <w:tcW w:w="4148" w:type="dxa"/>
          </w:tcPr>
          <w:p>
            <w:pPr>
              <w:pStyle w:val="a"/>
              <w:jc w:val="left"/>
              <w:ind w:firstLine="0"/>
            </w:pPr>
            <w:r>
              <w:t>全词表信息完整、Top-K 反馈压缩、K1 单样本估计</w:t>
            </w:r>
          </w:p>
        </w:tc>
        <w:tc>
          <w:tcPr>
            <w:tcW w:w="4148" w:type="dxa"/>
          </w:tcPr>
          <w:p>
            <w:pPr>
              <w:pStyle w:val="a"/>
              <w:jc w:val="left"/>
              <w:ind w:firstLine="0"/>
            </w:pPr>
            <w:r>
              <w:t>反馈量、显存/时延、任务指标和失败类型</w:t>
            </w:r>
          </w:p>
        </w:tc>
      </w:tr>
      <w:tr>
        <w:tc>
          <w:tcPr>
            <w:tcW w:w="4148" w:type="dxa"/>
          </w:tcPr>
          <w:p>
            <w:pPr>
              <w:pStyle w:val="a"/>
              <w:jc w:val="left"/>
              <w:ind w:firstLine="0"/>
            </w:pPr>
            <w:r>
              <w:t>学生 on-policy 状态</w:t>
            </w:r>
          </w:p>
        </w:tc>
        <w:tc>
          <w:tcPr>
            <w:tcW w:w="4148" w:type="dxa"/>
          </w:tcPr>
          <w:p>
            <w:pPr>
              <w:pStyle w:val="a"/>
              <w:jc w:val="left"/>
              <w:ind w:firstLine="0"/>
            </w:pPr>
            <w:r>
              <w:t>自生成错误、前缀漂移和状态覆盖</w:t>
            </w:r>
          </w:p>
        </w:tc>
        <w:tc>
          <w:tcPr>
            <w:tcW w:w="4148" w:type="dxa"/>
          </w:tcPr>
          <w:p>
            <w:pPr>
              <w:pStyle w:val="a"/>
              <w:jc w:val="left"/>
              <w:ind w:firstLine="0"/>
            </w:pPr>
            <w:r>
              <w:t>非法结构、恢复能力、Agent 轨迹</w:t>
            </w:r>
          </w:p>
        </w:tc>
      </w:tr>
      <w:tr>
        <w:tc>
          <w:tcPr>
            <w:tcW w:w="4148" w:type="dxa"/>
          </w:tcPr>
          <w:p>
            <w:pPr>
              <w:pStyle w:val="a"/>
              <w:jc w:val="left"/>
              <w:ind w:firstLine="0"/>
            </w:pPr>
            <w:r>
              <w:t>任务接口</w:t>
            </w:r>
          </w:p>
        </w:tc>
        <w:tc>
          <w:tcPr>
            <w:tcW w:w="4148" w:type="dxa"/>
          </w:tcPr>
          <w:p>
            <w:pPr>
              <w:pStyle w:val="a"/>
              <w:jc w:val="left"/>
              <w:ind w:firstLine="0"/>
            </w:pPr>
            <w:r>
              <w:t>schema、工具执行和多轮交互</w:t>
            </w:r>
          </w:p>
        </w:tc>
        <w:tc>
          <w:tcPr>
            <w:tcW w:w="4148" w:type="dxa"/>
          </w:tcPr>
          <w:p>
            <w:pPr>
              <w:pStyle w:val="a"/>
              <w:jc w:val="left"/>
              <w:ind w:firstLine="0"/>
            </w:pPr>
            <w:r>
              <w:t>格式、函数、参数、执行和端到端成功</w:t>
            </w:r>
          </w:p>
        </w:tc>
      </w:tr>
    </w:tbl>
    <w:p>
      <w:pPr>
        <w:pStyle w:val="a"/>
        <w:jc w:val="both"/>
        <w:ind w:firstLine="420"/>
      </w:pPr>
      <w:r>
        <w:t>该表不是结果预测，而是把文献中的方法变量映射到本课题可观测证据，便于后续实验和论文分析保持一致。</w:t>
      </w:r>
    </w:p>
    <w:p>
      <w:pPr>
        <w:pStyle w:val="1"/>
      </w:pPr>
      <w:r>
        <w:t>3．主要研究内容</w:t>
      </w:r>
    </w:p>
    <w:p>
      <w:pPr>
        <w:pStyle w:val="2"/>
      </w:pPr>
      <w:r>
        <w:t>3.1 统一的在线策略蒸馏研究流程</w:t>
      </w:r>
    </w:p>
    <w:p>
      <w:pPr>
        <w:pStyle w:val="a"/>
        <w:jc w:val="both"/>
        <w:ind w:firstLine="420"/>
      </w:pPr>
      <w:r>
        <w:t>研究流程以学生自身生成的 Function Calling 轨迹为中心：学生在 LoRA 参数下生成函数调用或响应，冻结教师在学生访问到的前缀上提供 token 级分布反馈，学生依据所选散度和监督信息粒度/估计方式更新 LoRA。数据、模型模板、训练预算和评测规则在不同比较方案之间保持一致，具体训练脚本和缓存方式以后续接口设计为准。该流程借鉴 GKD、MiniLLM 对学生状态与教师反馈的讨论，并参考 Thinking Machines Lab 技术文章中的工程实现[7][8][10]。</w:t>
      </w:r>
    </w:p>
    <w:p>
      <w:pPr>
        <w:pStyle w:val="2"/>
      </w:pPr>
      <w:r>
        <w:t>3.2 三类散度目标</w:t>
      </w:r>
    </w:p>
    <w:p>
      <w:pPr>
        <w:pStyle w:val="a"/>
        <w:jc w:val="both"/>
        <w:ind w:firstLine="420"/>
      </w:pPr>
      <w:r>
        <w:t>研究内容一是比较 Forward KL、Reverse KL 和一种广义散度。Forward KL 研究教师分布对学生覆盖的要求，Reverse KL 研究学生实际生成模式与教师分布的匹配，广义散度用于考察二者之间的折中。广义散度的具体选择、参数和梯度估计器待定；若某种散度在某一种监督信息粒度/估计方式下无法建立公平估计，需要如实记录方法限制。</w:t>
      </w:r>
    </w:p>
    <w:p>
      <w:pPr>
        <w:pStyle w:val="2"/>
      </w:pPr>
      <w:r>
        <w:t>3.3 三种监督信息粒度/估计方式</w:t>
      </w:r>
    </w:p>
    <w:p>
      <w:pPr>
        <w:pStyle w:val="a"/>
        <w:jc w:val="both"/>
        <w:ind w:firstLine="420"/>
      </w:pPr>
      <w:r>
        <w:t>研究内容二是统一比较三种监督信息粒度/估计方式：</w:t>
      </w:r>
    </w:p>
    <w:p>
      <w:pPr>
        <w:pStyle w:val="a8"/>
        <w:jc w:val="left"/>
        <w:ind w:firstLine="420"/>
      </w:pPr>
      <w:r>
        <w:t xml:space="preserve">• </w:t>
      </w:r>
      <w:r>
        <w:rPr>
          <w:b/>
        </w:rPr>
        <w:t>全词表：</w:t>
      </w:r>
      <w:r>
        <w:t xml:space="preserve"> 使用教师完整词表分布进行比较，作为信息完整的参照。</w:t>
      </w:r>
    </w:p>
    <w:p>
      <w:pPr>
        <w:pStyle w:val="a8"/>
        <w:jc w:val="left"/>
        <w:ind w:firstLine="420"/>
      </w:pPr>
      <w:r>
        <w:t xml:space="preserve">• </w:t>
      </w:r>
      <w:r>
        <w:rPr>
          <w:b/>
        </w:rPr>
        <w:t>Top-K：</w:t>
      </w:r>
      <w:r>
        <w:t xml:space="preserve"> 使用指定支持集中的教师高概率 token，考察压缩教师反馈后的效果与资源变化。</w:t>
      </w:r>
    </w:p>
    <w:p>
      <w:pPr>
        <w:pStyle w:val="a8"/>
        <w:jc w:val="left"/>
        <w:ind w:firstLine="420"/>
      </w:pPr>
      <w:r>
        <w:t xml:space="preserve">• </w:t>
      </w:r>
      <w:r>
        <w:rPr>
          <w:b/>
        </w:rPr>
        <w:t>K1 sampled-token：</w:t>
      </w:r>
      <w:r>
        <w:t xml:space="preserve"> 使用一个采样 token 的教师和学生信息估计监督信号；它是对相应期望的单样本采样估计器，不是普通意义上的监督粒度，也不等于 Top-1 argmax，需要分析其估计方差。</w:t>
      </w:r>
    </w:p>
    <w:p>
      <w:pPr>
        <w:pStyle w:val="a"/>
        <w:jc w:val="both"/>
        <w:ind w:firstLine="420"/>
      </w:pPr>
      <w:r>
        <w:t>Top-K 的支持集、归一化和支持集外处理，K1 的 proposal、梯度和方差控制，均属于待冻结实验协议。比较重点不是预设某种粒度最优，而是分析不同粒度在 Function Calling 中对格式、选择、参数和执行的影响。</w:t>
      </w:r>
    </w:p>
    <w:p>
      <w:pPr>
        <w:pStyle w:val="2"/>
      </w:pPr>
      <w:r>
        <w:t>3.4 LoRA 后训练与教师—学生关系</w:t>
      </w:r>
    </w:p>
    <w:p>
      <w:pPr>
        <w:pStyle w:val="a"/>
        <w:jc w:val="both"/>
        <w:ind w:firstLine="420"/>
      </w:pPr>
      <w:r>
        <w:t>LoRA 将基座权重写为低秩增量形式[19]：</w:t>
      </w:r>
    </w:p>
    <w:p>
      <w:pPr>
        <w:pStyle w:val="a"/>
        <w:jc w:val="center"/>
        <w:ind w:firstLine="0"/>
      </w:pPr>
      <w:r>
        <w:rPr>
          <w:rFonts w:ascii="Cambria Math" w:hAnsi="Cambria Math" w:eastAsia="Cambria Math"/>
        </w:rPr>
        <w:t>W = W₀ + ΔW = W₀ + (α/r)BA.</w:t>
      </w:r>
    </w:p>
    <w:p>
      <w:pPr>
        <w:pStyle w:val="a"/>
        <w:jc w:val="both"/>
        <w:ind w:firstLine="420"/>
      </w:pPr>
      <w:r>
        <w:t>本课题只确定采用 LoRA 后训练，具体插入位置、秩、缩放、学习率、序列长度和其他参数待根据 Qwen3 结构、数据质量和算力确定；主比较应共享同一 LoRA 配置。Qwen3-0.6B 学生和 Qwen3-4B 教师的 tokenizer、特殊 token 和 Function Calling 模板需要实际审计，不能仅凭模型名称假设完全一致。</w:t>
      </w:r>
    </w:p>
    <w:p>
      <w:pPr>
        <w:pStyle w:val="a"/>
        <w:jc w:val="both"/>
        <w:ind w:firstLine="420"/>
      </w:pPr>
      <w:r>
        <w:t>采用 LoRA 的直接目的不是提出新的参数高效微调算法，而是在本科毕业设计的资源条件下控制可训练参数规模，使多个蒸馏方案能够从相同的学生基座出发。LoRA adapter 的保存、加载和合并方式也可能影响最终服务，因此需要把“训练参数变化”和“部署加载方式”分开记录。若后续采用量化或其他压缩设置，应将其作为资源条件，而不是隐含到某一种监督信息粒度/估计方式的效果中。</w:t>
      </w:r>
    </w:p>
    <w:p>
      <w:pPr>
        <w:pStyle w:val="2"/>
      </w:pPr>
      <w:r>
        <w:t>3.5 Function Calling 评测与最终 Agent 验证</w:t>
      </w:r>
    </w:p>
    <w:p>
      <w:pPr>
        <w:pStyle w:val="a"/>
        <w:jc w:val="both"/>
        <w:ind w:firstLine="420"/>
      </w:pPr>
      <w:r>
        <w:t>离线评测拟分层记录：格式是否可解析、函数名是否正确、参数键和值是否匹配、schema 是否通过、单步调用是否可执行，以及多轮任务是否完成。对允许多个等价表达的参数，需要先定义规范化规则。拟将代表性 checkpoint 放入一种候选后端（vLLM 或自建 Agent），在统一输入、工具 schema 和评测规则下进行验证；教师和学生基座模型是否作为对照一并加载、实际后端、模型加载方式和 Agent 交互轮数待确认。vLLM 的 PagedAttention 工作可作为服务效率背景[20]。</w:t>
      </w:r>
    </w:p>
    <w:p>
      <w:pPr>
        <w:pStyle w:val="2"/>
      </w:pPr>
      <w:r>
        <w:t>3.6 研究问题</w:t>
      </w:r>
    </w:p>
    <w:p>
      <w:pPr>
        <w:pStyle w:val="a"/>
        <w:jc w:val="both"/>
        <w:ind w:firstLine="420"/>
      </w:pPr>
      <w:r>
        <w:t>本课题拟回答以下问题：</w:t>
      </w:r>
    </w:p>
    <w:p>
      <w:pPr>
        <w:pStyle w:val="a8"/>
        <w:jc w:val="left"/>
        <w:ind w:firstLine="420"/>
      </w:pPr>
      <w:r>
        <w:t>1. 在 Qwen3 Function Calling 条件下，三类散度是否表现出可解释的工具选择、参数生成或格式差异？</w:t>
      </w:r>
    </w:p>
    <w:p>
      <w:pPr>
        <w:pStyle w:val="a8"/>
        <w:jc w:val="left"/>
        <w:ind w:firstLine="420"/>
      </w:pPr>
      <w:r>
        <w:t>2. 全词表、Top-K 和 K1 在效果、稳定性和教师反馈开销之间如何权衡？</w:t>
      </w:r>
    </w:p>
    <w:p>
      <w:pPr>
        <w:pStyle w:val="a8"/>
        <w:jc w:val="left"/>
        <w:ind w:firstLine="420"/>
      </w:pPr>
      <w:r>
        <w:t>3. 支持集外 token、前缀偏移、熵变化和格式错误能否解释 Top-K/K1 的失败模式？</w:t>
      </w:r>
    </w:p>
    <w:p>
      <w:pPr>
        <w:pStyle w:val="a8"/>
        <w:jc w:val="left"/>
        <w:ind w:firstLine="420"/>
      </w:pPr>
      <w:r>
        <w:t>4. token 级指标的变化是否与 Agent 端到端成功率一致？</w:t>
      </w:r>
    </w:p>
    <w:p>
      <w:pPr>
        <w:pStyle w:val="a"/>
        <w:jc w:val="both"/>
        <w:ind w:firstLine="420"/>
      </w:pPr>
      <w:r>
        <w:t>以上问题和假设均待实验验证，不能在开题阶段写成排序、提升比例或已完成结论。</w:t>
      </w:r>
    </w:p>
    <w:p>
      <w:pPr>
        <w:pStyle w:val="2"/>
      </w:pPr>
      <w:r>
        <w:t>3.7 各研究内容之间的关系</w:t>
      </w:r>
    </w:p>
    <w:p>
      <w:pPr>
        <w:pStyle w:val="a"/>
        <w:jc w:val="both"/>
        <w:ind w:firstLine="420"/>
      </w:pPr>
      <w:r>
        <w:t>三类研究内容具有递进关系。首先，数据和模板决定学生到底在什么任务接口上生成轨迹；其次，学生轨迹和教师前缀反馈决定 OPD 的状态分布；再次，散度方向和监督信息粒度/估计方式决定教师信息如何转化为学生更新；最后，离线结构指标和 Agent 执行指标检验这种更新是否具有实际意义。若跳过中间的分布和稳定性分析，只比较最终成功率，就很难解释某种方法失败的原因。</w:t>
      </w:r>
    </w:p>
    <w:p>
      <w:pPr>
        <w:pStyle w:val="a"/>
        <w:jc w:val="both"/>
        <w:ind w:firstLine="420"/>
      </w:pPr>
      <w:r>
        <w:t>本课题还需要区分“能力学习”和“服务工程”两个层面。LoRA 后训练关注学生参数如何吸收教师反馈，vLLM 或自建 Agent 关注模型如何被加载、调用和评测。部署后端的差异可能影响延迟、吞吐和输出；因此最终测试需要固定输入、工具 schema、采样、停止条件和精度等条件，若仍有差异则作为环境因素报告。</w:t>
      </w:r>
    </w:p>
    <w:p>
      <w:pPr>
        <w:pStyle w:val="1"/>
      </w:pPr>
      <w:r>
        <w:t>4．研究方案</w:t>
      </w:r>
    </w:p>
    <w:p>
      <w:pPr>
        <w:pStyle w:val="2"/>
      </w:pPr>
      <w:r>
        <w:t>4.1 总体技术路线</w:t>
      </w:r>
    </w:p>
    <w:p>
      <w:pPr>
        <w:pStyle w:val="a"/>
        <w:jc w:val="both"/>
        <w:ind w:firstLine="420"/>
      </w:pPr>
      <w:r>
        <w:t>研究路线如下：</w:t>
      </w:r>
    </w:p>
    <w:p>
      <w:pPr>
        <w:pStyle w:val="a"/>
        <w:jc w:val="both"/>
        <w:ind w:firstLine="420"/>
      </w:pPr>
      <w:r>
        <w:t>该路线确定研究对象、比较关系，以及 Qwen3-0.6B/Qwen3-4B、LoRA、Function Calling 和 vLLM/自建 Agent 的研究方向；具体数据规模、超参数、硬件、后端实现和模型 revision 仍待确认，不预先确定具体软件模块。正式实验前需要将模型 revision、数据版本、损失定义、支持集协议和评测脚本记录在配置文件中。</w:t>
      </w:r>
    </w:p>
    <w:p>
      <w:pPr>
        <w:pStyle w:val="a"/>
        <w:jc w:val="both"/>
        <w:ind w:firstLine="420"/>
      </w:pPr>
      <w:r>
        <w:t>从实验可追溯性看，每个实际运行的方案至少需要关联四类信息：研究定义（散度、粒度、支持集和 mask）、数据定义（来源、版本、划分和过滤）、模型定义（基座、教师、LoRA 和模板）以及运行定义（随机种子、资源、依赖和命令）。这些信息构成结果解释的上下文；如果缺少其中任何一项，后续很难判断方法差异来自算法、数据还是环境。</w:t>
      </w:r>
    </w:p>
    <w:p>
      <w:pPr>
        <w:pStyle w:val="2"/>
      </w:pPr>
      <w:r>
        <w:t>4.2 模型和数据准备</w:t>
      </w:r>
    </w:p>
    <w:p>
      <w:pPr>
        <w:pStyle w:val="a"/>
        <w:jc w:val="both"/>
        <w:ind w:firstLine="420"/>
      </w:pPr>
      <w:r>
        <w:t>模型方面，当前拟定基线为 Qwen3-0.6B 学生和 Qwen3-4B 教师；教师不参与参数更新，学生拟采用 LoRA。Qwen3 技术报告用于说明模型家族背景[16]。开始训练前检查师生 tokenizer 的词表、特殊 token、消息模板和函数调用格式；如果不能建立可靠的 token 对齐，应重新评估所有依赖 token 分布对齐的比较（包括全词表、Top-K 和 K1），并把限制写入报告。</w:t>
      </w:r>
    </w:p>
    <w:p>
      <w:pPr>
        <w:pStyle w:val="a"/>
        <w:jc w:val="both"/>
        <w:ind w:firstLine="420"/>
      </w:pPr>
      <w:r>
        <w:t>数据方面，先核验公开 Function Calling 数据的来源、许可证、字段含义和版本，再根据实际字段构造统一的用户消息、工具 schema、调用响应和工具结果表示。训练、验证和测试数据严格隔离，具体划分比例、子集范围和去重规则待根据数据质量确定。APIGen、ToolACE、API-Bank 和 ToolBench 仅作为候选的相关数据构造来源[23][24][25][26]，不会默认全部使用，也不替代最终数据选择。</w:t>
      </w:r>
    </w:p>
    <w:p>
      <w:pPr>
        <w:pStyle w:val="a"/>
        <w:jc w:val="both"/>
        <w:ind w:firstLine="420"/>
      </w:pPr>
      <w:r>
        <w:t>数据审计应特别关注三类异常：一是 schema 语法存在错误，导致模型输出即使符合目标文本也无法被解析；二是参数标签与用户意图不一致，导致字符串匹配无法代表真实调用正确；三是工具返回结果缺失或格式不统一，导致多轮 Agent 的失败被误算为模型失败。后续评测器需要保存原始样本、规范化样本和失败原因，必要时对自动规则进行人工抽查。这里的审计与清洗属于数据准备，不等于已经完成训练。</w:t>
      </w:r>
    </w:p>
    <w:p>
      <w:pPr>
        <w:pStyle w:val="2"/>
      </w:pPr>
      <w:r>
        <w:t>4.3 学生 rollout 和教师反馈</w:t>
      </w:r>
    </w:p>
    <w:p>
      <w:pPr>
        <w:pStyle w:val="a"/>
        <w:jc w:val="both"/>
        <w:ind w:firstLine="420"/>
      </w:pPr>
      <w:r>
        <w:t>学生 rollout 的采样策略属于实验控制变量，温度、停止条件、最大生成长度和其他具体参数待根据数据分布与算力确定，所有比较组保持一致。是否采用贪心、如何处理非法格式轨迹以及是否重试，统一作为实验协议中预先固定的 rollout 处理规则；不得在不同方法之间使用不同的后处理规则。</w:t>
      </w:r>
    </w:p>
    <w:p>
      <w:pPr>
        <w:pStyle w:val="a"/>
        <w:jc w:val="both"/>
        <w:ind w:firstLine="420"/>
      </w:pPr>
      <w:r>
        <w:t>教师在学生已经访问到的前缀上提供分布或局部 token 信息。学生依据相同前缀重新计算可训练的蒸馏目标，教师保持冻结。全词表、Top-K 和 K1 只改变教师信息的保留或估计方式，不应改变数据划分、rollout 条件和总训练预算。</w:t>
      </w:r>
    </w:p>
    <w:tbl>
      <w:tblPr>
        <w:tblStyle w:val="a9"/>
        <w:tblW w:w="0" w:type="auto"/>
        <w:tblLook w:val="04A0" w:firstRow="1" w:lastRow="0" w:firstColumn="1" w:lastColumn="0" w:noHBand="0" w:noVBand="1"/>
      </w:tblPr>
      <w:tblGrid>
        <w:gridCol w:w="2765"/>
        <w:gridCol w:w="2765"/>
        <w:gridCol w:w="2765"/>
      </w:tblGrid>
      <w:tr>
        <w:trPr>
          <w:tblHeader/>
        </w:trPr>
        <w:tc>
          <w:tcPr>
            <w:tcW w:w="4148" w:type="dxa"/>
            <w:shd w:val="clear" w:color="auto" w:fill="C5E0B3" w:themeFill="accent6" w:themeFillTint="66"/>
          </w:tcPr>
          <w:p>
            <w:pPr>
              <w:pStyle w:val="a"/>
              <w:jc w:val="left"/>
              <w:ind w:firstLine="0"/>
            </w:pPr>
            <w:r>
              <w:rPr>
                <w:b/>
              </w:rPr>
              <w:t>环节</w:t>
            </w:r>
          </w:p>
        </w:tc>
        <w:tc>
          <w:tcPr>
            <w:tcW w:w="4148" w:type="dxa"/>
            <w:shd w:val="clear" w:color="auto" w:fill="C5E0B3" w:themeFill="accent6" w:themeFillTint="66"/>
          </w:tcPr>
          <w:p>
            <w:pPr>
              <w:pStyle w:val="a"/>
              <w:jc w:val="left"/>
              <w:ind w:firstLine="0"/>
            </w:pPr>
            <w:r>
              <w:rPr>
                <w:b/>
              </w:rPr>
              <w:t>需要统一的对象</w:t>
            </w:r>
          </w:p>
        </w:tc>
        <w:tc>
          <w:tcPr>
            <w:tcW w:w="4148" w:type="dxa"/>
            <w:shd w:val="clear" w:color="auto" w:fill="C5E0B3" w:themeFill="accent6" w:themeFillTint="66"/>
          </w:tcPr>
          <w:p>
            <w:pPr>
              <w:pStyle w:val="a"/>
              <w:jc w:val="left"/>
              <w:ind w:firstLine="0"/>
            </w:pPr>
            <w:r>
              <w:rPr>
                <w:b/>
              </w:rPr>
              <w:t>需要单独记录的内容</w:t>
            </w:r>
          </w:p>
        </w:tc>
      </w:tr>
      <w:tr>
        <w:tc>
          <w:tcPr>
            <w:tcW w:w="4148" w:type="dxa"/>
          </w:tcPr>
          <w:p>
            <w:pPr>
              <w:pStyle w:val="a"/>
              <w:jc w:val="left"/>
              <w:ind w:firstLine="0"/>
            </w:pPr>
            <w:r>
              <w:t>学生生成</w:t>
            </w:r>
          </w:p>
        </w:tc>
        <w:tc>
          <w:tcPr>
            <w:tcW w:w="4148" w:type="dxa"/>
          </w:tcPr>
          <w:p>
            <w:pPr>
              <w:pStyle w:val="a"/>
              <w:jc w:val="left"/>
              <w:ind w:firstLine="0"/>
            </w:pPr>
            <w:r>
              <w:t>输入消息、工具 schema、停止条件和采样规则</w:t>
            </w:r>
          </w:p>
        </w:tc>
        <w:tc>
          <w:tcPr>
            <w:tcW w:w="4148" w:type="dxa"/>
          </w:tcPr>
          <w:p>
            <w:pPr>
              <w:pStyle w:val="a"/>
              <w:jc w:val="left"/>
              <w:ind w:firstLine="0"/>
            </w:pPr>
            <w:r>
              <w:t>生成长度、结束原因、格式解析状态</w:t>
            </w:r>
          </w:p>
        </w:tc>
      </w:tr>
      <w:tr>
        <w:tc>
          <w:tcPr>
            <w:tcW w:w="4148" w:type="dxa"/>
          </w:tcPr>
          <w:p>
            <w:pPr>
              <w:pStyle w:val="a"/>
              <w:jc w:val="left"/>
              <w:ind w:firstLine="0"/>
            </w:pPr>
            <w:r>
              <w:t>教师反馈</w:t>
            </w:r>
          </w:p>
        </w:tc>
        <w:tc>
          <w:tcPr>
            <w:tcW w:w="4148" w:type="dxa"/>
          </w:tcPr>
          <w:p>
            <w:pPr>
              <w:pStyle w:val="a"/>
              <w:jc w:val="left"/>
              <w:ind w:firstLine="0"/>
            </w:pPr>
            <w:r>
              <w:t>学生前缀、教师模型和 token 对齐</w:t>
            </w:r>
          </w:p>
        </w:tc>
        <w:tc>
          <w:tcPr>
            <w:tcW w:w="4148" w:type="dxa"/>
          </w:tcPr>
          <w:p>
            <w:pPr>
              <w:pStyle w:val="a"/>
              <w:jc w:val="left"/>
              <w:ind w:firstLine="0"/>
            </w:pPr>
            <w:r>
              <w:t>反馈粒度、支持集、教师计算量</w:t>
            </w:r>
          </w:p>
        </w:tc>
      </w:tr>
      <w:tr>
        <w:tc>
          <w:tcPr>
            <w:tcW w:w="4148" w:type="dxa"/>
          </w:tcPr>
          <w:p>
            <w:pPr>
              <w:pStyle w:val="a"/>
              <w:jc w:val="left"/>
              <w:ind w:firstLine="0"/>
            </w:pPr>
            <w:r>
              <w:t>学生更新</w:t>
            </w:r>
          </w:p>
        </w:tc>
        <w:tc>
          <w:tcPr>
            <w:tcW w:w="4148" w:type="dxa"/>
          </w:tcPr>
          <w:p>
            <w:pPr>
              <w:pStyle w:val="a"/>
              <w:jc w:val="left"/>
              <w:ind w:firstLine="0"/>
            </w:pPr>
            <w:r>
              <w:t>学生 logits、LoRA 参数和 mask</w:t>
            </w:r>
          </w:p>
        </w:tc>
        <w:tc>
          <w:tcPr>
            <w:tcW w:w="4148" w:type="dxa"/>
          </w:tcPr>
          <w:p>
            <w:pPr>
              <w:pStyle w:val="a"/>
              <w:jc w:val="left"/>
              <w:ind w:firstLine="0"/>
            </w:pPr>
            <w:r>
              <w:t>散度、梯度处理、异常 loss</w:t>
            </w:r>
          </w:p>
        </w:tc>
      </w:tr>
      <w:tr>
        <w:tc>
          <w:tcPr>
            <w:tcW w:w="4148" w:type="dxa"/>
          </w:tcPr>
          <w:p>
            <w:pPr>
              <w:pStyle w:val="a"/>
              <w:jc w:val="left"/>
              <w:ind w:firstLine="0"/>
            </w:pPr>
            <w:r>
              <w:t>最终评测</w:t>
            </w:r>
          </w:p>
        </w:tc>
        <w:tc>
          <w:tcPr>
            <w:tcW w:w="4148" w:type="dxa"/>
          </w:tcPr>
          <w:p>
            <w:pPr>
              <w:pStyle w:val="a"/>
              <w:jc w:val="left"/>
              <w:ind w:firstLine="0"/>
            </w:pPr>
            <w:r>
              <w:t>输入、工具和解析规则</w:t>
            </w:r>
          </w:p>
        </w:tc>
        <w:tc>
          <w:tcPr>
            <w:tcW w:w="4148" w:type="dxa"/>
          </w:tcPr>
          <w:p>
            <w:pPr>
              <w:pStyle w:val="a"/>
              <w:jc w:val="left"/>
              <w:ind w:firstLine="0"/>
            </w:pPr>
            <w:r>
              <w:t>函数、参数、执行和 Agent 结果</w:t>
            </w:r>
          </w:p>
        </w:tc>
      </w:tr>
    </w:tbl>
    <w:p>
      <w:pPr>
        <w:pStyle w:val="a"/>
        <w:jc w:val="both"/>
        <w:ind w:firstLine="420"/>
      </w:pPr>
      <w:r>
        <w:t>该表强调的是比较边界，而不是已经确定的软件实现。实现优化不得改变教师看到的学生前缀、可见信息和训练预算，也不能使某一方法额外获得测试集标签。</w:t>
      </w:r>
    </w:p>
    <w:p>
      <w:pPr>
        <w:pStyle w:val="2"/>
      </w:pPr>
      <w:r>
        <w:t>4.4 损失与监督信息粒度/估计方式的定义原则</w:t>
      </w:r>
    </w:p>
    <w:p>
      <w:pPr>
        <w:pStyle w:val="a"/>
        <w:jc w:val="both"/>
        <w:ind w:firstLine="420"/>
      </w:pPr>
      <w:r>
        <w:t>在全词表和 Top-K 的分布形式下，令 (pᵀ) 和 (pˢ) 分别表示教师与学生在有效位置的概率分布，通用 token 级目标可以写为</w:t>
      </w:r>
    </w:p>
    <w:p>
      <w:pPr>
        <w:pStyle w:val="a"/>
        <w:jc w:val="center"/>
        <w:ind w:firstLine="0"/>
      </w:pPr>
      <w:r>
        <w:rPr>
          <w:rFonts w:ascii="Cambria Math" w:hAnsi="Cambria Math" w:eastAsia="Cambria Math"/>
        </w:rPr>
        <w:t>L = [Σ(b,t) m(b,t) D(pᵀ(b,t), pˢ(b,t))] / [Σ(b,t) m(b,t) + ε].</w:t>
      </w:r>
    </w:p>
    <w:p>
      <w:pPr>
        <w:pStyle w:val="a"/>
        <w:jc w:val="both"/>
        <w:ind w:firstLine="420"/>
      </w:pPr>
      <w:r>
        <w:t>其中 (m(b,t)) 是由消息、工具边界和响应位置共同决定的有效 token mask。概率计算应避免零概率和数值溢出，具体精度和稳定化方式待实现验证。K1 sampled-token 不直接等同于上述散度的精确计算，而应在正式协议中另行定义采样估计器。</w:t>
      </w:r>
    </w:p>
    <w:p>
      <w:pPr>
        <w:pStyle w:val="a"/>
        <w:jc w:val="both"/>
        <w:ind w:firstLine="420"/>
      </w:pPr>
      <w:r>
        <w:t>候选监督信息粒度/估计方式矩阵如下，表中“广义散度”代表后续选择并冻结的一种具体目标：</w:t>
      </w:r>
    </w:p>
    <w:tbl>
      <w:tblPr>
        <w:tblStyle w:val="a9"/>
        <w:tblW w:w="0" w:type="auto"/>
        <w:tblLook w:val="04A0" w:firstRow="1" w:lastRow="0" w:firstColumn="1" w:lastColumn="0" w:noHBand="0" w:noVBand="1"/>
      </w:tblPr>
      <w:tblGrid>
        <w:gridCol w:w="1659"/>
        <w:gridCol w:w="1659"/>
        <w:gridCol w:w="1659"/>
        <w:gridCol w:w="1659"/>
        <w:gridCol w:w="1659"/>
      </w:tblGrid>
      <w:tr>
        <w:trPr>
          <w:tblHeader/>
        </w:trPr>
        <w:tc>
          <w:tcPr>
            <w:tcW w:w="4148" w:type="dxa"/>
            <w:shd w:val="clear" w:color="auto" w:fill="C5E0B3" w:themeFill="accent6" w:themeFillTint="66"/>
          </w:tcPr>
          <w:p>
            <w:pPr>
              <w:pStyle w:val="a"/>
              <w:jc w:val="left"/>
              <w:ind w:firstLine="0"/>
            </w:pPr>
            <w:r>
              <w:rPr>
                <w:b/>
              </w:rPr>
              <w:t>监督信息粒度/估计方式</w:t>
            </w:r>
          </w:p>
        </w:tc>
        <w:tc>
          <w:tcPr>
            <w:tcW w:w="4148" w:type="dxa"/>
            <w:shd w:val="clear" w:color="auto" w:fill="C5E0B3" w:themeFill="accent6" w:themeFillTint="66"/>
          </w:tcPr>
          <w:p>
            <w:pPr>
              <w:pStyle w:val="a"/>
              <w:jc w:val="left"/>
              <w:ind w:firstLine="0"/>
            </w:pPr>
            <w:r>
              <w:rPr>
                <w:b/>
              </w:rPr>
              <w:t>Forward KL</w:t>
            </w:r>
          </w:p>
        </w:tc>
        <w:tc>
          <w:tcPr>
            <w:tcW w:w="4148" w:type="dxa"/>
            <w:shd w:val="clear" w:color="auto" w:fill="C5E0B3" w:themeFill="accent6" w:themeFillTint="66"/>
          </w:tcPr>
          <w:p>
            <w:pPr>
              <w:pStyle w:val="a"/>
              <w:jc w:val="left"/>
              <w:ind w:firstLine="0"/>
            </w:pPr>
            <w:r>
              <w:rPr>
                <w:b/>
              </w:rPr>
              <w:t>Reverse KL</w:t>
            </w:r>
          </w:p>
        </w:tc>
        <w:tc>
          <w:tcPr>
            <w:tcW w:w="4148" w:type="dxa"/>
            <w:shd w:val="clear" w:color="auto" w:fill="C5E0B3" w:themeFill="accent6" w:themeFillTint="66"/>
          </w:tcPr>
          <w:p>
            <w:pPr>
              <w:pStyle w:val="a"/>
              <w:jc w:val="left"/>
              <w:ind w:firstLine="0"/>
            </w:pPr>
            <w:r>
              <w:rPr>
                <w:b/>
              </w:rPr>
              <w:t>广义散度</w:t>
            </w:r>
          </w:p>
        </w:tc>
        <w:tc>
          <w:tcPr>
            <w:tcW w:w="4148" w:type="dxa"/>
            <w:shd w:val="clear" w:color="auto" w:fill="C5E0B3" w:themeFill="accent6" w:themeFillTint="66"/>
          </w:tcPr>
          <w:p>
            <w:pPr>
              <w:pStyle w:val="a"/>
              <w:jc w:val="left"/>
              <w:ind w:firstLine="0"/>
            </w:pPr>
            <w:r>
              <w:rPr>
                <w:b/>
              </w:rPr>
              <w:t>状态</w:t>
            </w:r>
          </w:p>
        </w:tc>
      </w:tr>
      <w:tr>
        <w:tc>
          <w:tcPr>
            <w:tcW w:w="4148" w:type="dxa"/>
          </w:tcPr>
          <w:p>
            <w:pPr>
              <w:pStyle w:val="a"/>
              <w:jc w:val="left"/>
              <w:ind w:firstLine="0"/>
            </w:pPr>
            <w:r>
              <w:t>全词表</w:t>
            </w:r>
          </w:p>
        </w:tc>
        <w:tc>
          <w:tcPr>
            <w:tcW w:w="4148" w:type="dxa"/>
          </w:tcPr>
          <w:p>
            <w:pPr>
              <w:pStyle w:val="a"/>
              <w:jc w:val="left"/>
              <w:ind w:firstLine="0"/>
            </w:pPr>
            <w:r>
              <w:t>E01</w:t>
            </w:r>
          </w:p>
        </w:tc>
        <w:tc>
          <w:tcPr>
            <w:tcW w:w="4148" w:type="dxa"/>
          </w:tcPr>
          <w:p>
            <w:pPr>
              <w:pStyle w:val="a"/>
              <w:jc w:val="left"/>
              <w:ind w:firstLine="0"/>
            </w:pPr>
            <w:r>
              <w:t>E04</w:t>
            </w:r>
          </w:p>
        </w:tc>
        <w:tc>
          <w:tcPr>
            <w:tcW w:w="4148" w:type="dxa"/>
          </w:tcPr>
          <w:p>
            <w:pPr>
              <w:pStyle w:val="a"/>
              <w:jc w:val="left"/>
              <w:ind w:firstLine="0"/>
            </w:pPr>
            <w:r>
              <w:t>E07</w:t>
            </w:r>
          </w:p>
        </w:tc>
        <w:tc>
          <w:tcPr>
            <w:tcW w:w="4148" w:type="dxa"/>
          </w:tcPr>
          <w:p>
            <w:pPr>
              <w:pStyle w:val="a"/>
              <w:jc w:val="left"/>
              <w:ind w:firstLine="0"/>
            </w:pPr>
            <w:r>
              <w:t>候选，待验证</w:t>
            </w:r>
          </w:p>
        </w:tc>
      </w:tr>
      <w:tr>
        <w:tc>
          <w:tcPr>
            <w:tcW w:w="4148" w:type="dxa"/>
          </w:tcPr>
          <w:p>
            <w:pPr>
              <w:pStyle w:val="a"/>
              <w:jc w:val="left"/>
              <w:ind w:firstLine="0"/>
            </w:pPr>
            <w:r>
              <w:t>Top-K</w:t>
            </w:r>
          </w:p>
        </w:tc>
        <w:tc>
          <w:tcPr>
            <w:tcW w:w="4148" w:type="dxa"/>
          </w:tcPr>
          <w:p>
            <w:pPr>
              <w:pStyle w:val="a"/>
              <w:jc w:val="left"/>
              <w:ind w:firstLine="0"/>
            </w:pPr>
            <w:r>
              <w:t>E02</w:t>
            </w:r>
          </w:p>
        </w:tc>
        <w:tc>
          <w:tcPr>
            <w:tcW w:w="4148" w:type="dxa"/>
          </w:tcPr>
          <w:p>
            <w:pPr>
              <w:pStyle w:val="a"/>
              <w:jc w:val="left"/>
              <w:ind w:firstLine="0"/>
            </w:pPr>
            <w:r>
              <w:t>E05</w:t>
            </w:r>
          </w:p>
        </w:tc>
        <w:tc>
          <w:tcPr>
            <w:tcW w:w="4148" w:type="dxa"/>
          </w:tcPr>
          <w:p>
            <w:pPr>
              <w:pStyle w:val="a"/>
              <w:jc w:val="left"/>
              <w:ind w:firstLine="0"/>
            </w:pPr>
            <w:r>
              <w:t>E08</w:t>
            </w:r>
          </w:p>
        </w:tc>
        <w:tc>
          <w:tcPr>
            <w:tcW w:w="4148" w:type="dxa"/>
          </w:tcPr>
          <w:p>
            <w:pPr>
              <w:pStyle w:val="a"/>
              <w:jc w:val="left"/>
              <w:ind w:firstLine="0"/>
            </w:pPr>
            <w:r>
              <w:t>候选，待验证</w:t>
            </w:r>
          </w:p>
        </w:tc>
      </w:tr>
      <w:tr>
        <w:tc>
          <w:tcPr>
            <w:tcW w:w="4148" w:type="dxa"/>
          </w:tcPr>
          <w:p>
            <w:pPr>
              <w:pStyle w:val="a"/>
              <w:jc w:val="left"/>
              <w:ind w:firstLine="0"/>
            </w:pPr>
            <w:r>
              <w:t>K1 sampled-token</w:t>
            </w:r>
          </w:p>
        </w:tc>
        <w:tc>
          <w:tcPr>
            <w:tcW w:w="4148" w:type="dxa"/>
          </w:tcPr>
          <w:p>
            <w:pPr>
              <w:pStyle w:val="a"/>
              <w:jc w:val="left"/>
              <w:ind w:firstLine="0"/>
            </w:pPr>
            <w:r>
              <w:t>E03</w:t>
            </w:r>
          </w:p>
        </w:tc>
        <w:tc>
          <w:tcPr>
            <w:tcW w:w="4148" w:type="dxa"/>
          </w:tcPr>
          <w:p>
            <w:pPr>
              <w:pStyle w:val="a"/>
              <w:jc w:val="left"/>
              <w:ind w:firstLine="0"/>
            </w:pPr>
            <w:r>
              <w:t>E06</w:t>
            </w:r>
          </w:p>
        </w:tc>
        <w:tc>
          <w:tcPr>
            <w:tcW w:w="4148" w:type="dxa"/>
          </w:tcPr>
          <w:p>
            <w:pPr>
              <w:pStyle w:val="a"/>
              <w:jc w:val="left"/>
              <w:ind w:firstLine="0"/>
            </w:pPr>
            <w:r>
              <w:t>E09</w:t>
            </w:r>
          </w:p>
        </w:tc>
        <w:tc>
          <w:tcPr>
            <w:tcW w:w="4148" w:type="dxa"/>
          </w:tcPr>
          <w:p>
            <w:pPr>
              <w:pStyle w:val="a"/>
              <w:jc w:val="left"/>
              <w:ind w:firstLine="0"/>
            </w:pPr>
            <w:r>
              <w:t>候选，待验证</w:t>
            </w:r>
          </w:p>
        </w:tc>
      </w:tr>
    </w:tbl>
    <w:p>
      <w:pPr>
        <w:pStyle w:val="a"/>
        <w:jc w:val="both"/>
        <w:ind w:firstLine="420"/>
      </w:pPr>
      <w:r>
        <w:t>该表是任务要求的候选研究矩阵，不是已运行的实验清单。广义散度、K 值、支持集来源、重归一化、支持集外 token、K1 proposal 和梯度估计器在正式实验前冻结。若某一组合无法形成公平的数学估计，应将其标记为方法限制，不用邻近结果替代。</w:t>
      </w:r>
    </w:p>
    <w:p>
      <w:pPr>
        <w:pStyle w:val="a"/>
        <w:jc w:val="both"/>
        <w:ind w:firstLine="420"/>
      </w:pPr>
      <w:r>
        <w:t>为了避免概念混淆，实验记录中应分别保存以下名称：</w:t>
      </w:r>
    </w:p>
    <w:p>
      <w:pPr>
        <w:pStyle w:val="a8"/>
        <w:jc w:val="left"/>
        <w:ind w:firstLine="420"/>
      </w:pPr>
      <w:r>
        <w:t>• “全词表”表示教师完整输出在规定有效位置上参与分布匹配，不表示一定保存所有中间张量；</w:t>
      </w:r>
    </w:p>
    <w:p>
      <w:pPr>
        <w:pStyle w:val="a8"/>
        <w:jc w:val="left"/>
        <w:ind w:firstLine="420"/>
      </w:pPr>
      <w:r>
        <w:t>• “Top-K”表示只使用某个明确支持集，不表示自动采用教师 Top-1，也不表示学生和教师都在同一全集上重归一化；</w:t>
      </w:r>
    </w:p>
    <w:p>
      <w:pPr>
        <w:pStyle w:val="a8"/>
        <w:jc w:val="left"/>
        <w:ind w:firstLine="420"/>
      </w:pPr>
      <w:r>
        <w:t>• “K1 sampled-token”表示每个位置使用一个采样 token 的估计，不表示选择概率最大的 token；</w:t>
      </w:r>
    </w:p>
    <w:p>
      <w:pPr>
        <w:pStyle w:val="a8"/>
        <w:jc w:val="left"/>
        <w:ind w:firstLine="420"/>
      </w:pPr>
      <w:r>
        <w:t>• “广义散度”表示拟从经过文献核验的 JSD、skew KL 或其他候选目标中选择的一种具体目标，正式实验前必须把名称和公式写入配置。</w:t>
      </w:r>
    </w:p>
    <w:p>
      <w:pPr>
        <w:pStyle w:val="a"/>
        <w:jc w:val="both"/>
        <w:ind w:firstLine="420"/>
      </w:pPr>
      <w:r>
        <w:t>如果教师和学生的词表、token 边界或特殊 token 不一致，分布差异可能失去可比性。此时应先解决对齐问题，或者重新评估所有依赖 token 分布对齐的比较（包括全词表、Top-K 和 K1），而不能通过静默删除不匹配 token 的方式制造可比结果。对数概率的数值计算、mask 和梯度处理应由单元测试验证，但测试细节不在开题阶段预先写成已经完成的实现。</w:t>
      </w:r>
    </w:p>
    <w:p>
      <w:pPr>
        <w:pStyle w:val="2"/>
      </w:pPr>
      <w:r>
        <w:t>4.5 评价指标和公平性</w:t>
      </w:r>
    </w:p>
    <w:p>
      <w:pPr>
        <w:pStyle w:val="a"/>
        <w:jc w:val="both"/>
        <w:ind w:firstLine="420"/>
      </w:pPr>
      <w:r>
        <w:t>评价指标拟分为核心指标和资源允许时的扩展指标：</w:t>
      </w:r>
    </w:p>
    <w:tbl>
      <w:tblPr>
        <w:tblStyle w:val="a9"/>
        <w:tblW w:w="0" w:type="auto"/>
        <w:tblLook w:val="04A0" w:firstRow="1" w:lastRow="0" w:firstColumn="1" w:lastColumn="0" w:noHBand="0" w:noVBand="1"/>
      </w:tblPr>
      <w:tblGrid>
        <w:gridCol w:w="4148"/>
        <w:gridCol w:w="4148"/>
      </w:tblGrid>
      <w:tr>
        <w:trPr>
          <w:tblHeader/>
        </w:trPr>
        <w:tc>
          <w:tcPr>
            <w:tcW w:w="4148" w:type="dxa"/>
            <w:shd w:val="clear" w:color="auto" w:fill="C5E0B3" w:themeFill="accent6" w:themeFillTint="66"/>
          </w:tcPr>
          <w:p>
            <w:pPr>
              <w:pStyle w:val="a"/>
              <w:jc w:val="left"/>
              <w:ind w:firstLine="0"/>
            </w:pPr>
            <w:r>
              <w:rPr>
                <w:b/>
              </w:rPr>
              <w:t>类别</w:t>
            </w:r>
          </w:p>
        </w:tc>
        <w:tc>
          <w:tcPr>
            <w:tcW w:w="4148" w:type="dxa"/>
            <w:shd w:val="clear" w:color="auto" w:fill="C5E0B3" w:themeFill="accent6" w:themeFillTint="66"/>
          </w:tcPr>
          <w:p>
            <w:pPr>
              <w:pStyle w:val="a"/>
              <w:jc w:val="left"/>
              <w:ind w:firstLine="0"/>
            </w:pPr>
            <w:r>
              <w:rPr>
                <w:b/>
              </w:rPr>
              <w:t>关注内容</w:t>
            </w:r>
          </w:p>
        </w:tc>
      </w:tr>
      <w:tr>
        <w:tc>
          <w:tcPr>
            <w:tcW w:w="4148" w:type="dxa"/>
          </w:tcPr>
          <w:p>
            <w:pPr>
              <w:pStyle w:val="a"/>
              <w:jc w:val="left"/>
              <w:ind w:firstLine="0"/>
            </w:pPr>
            <w:r>
              <w:t>核心任务效果</w:t>
            </w:r>
          </w:p>
        </w:tc>
        <w:tc>
          <w:tcPr>
            <w:tcW w:w="4148" w:type="dxa"/>
          </w:tcPr>
          <w:p>
            <w:pPr>
              <w:pStyle w:val="a"/>
              <w:jc w:val="left"/>
              <w:ind w:firstLine="0"/>
            </w:pPr>
            <w:r>
              <w:t>JSON/结构化格式合法性、函数名、参数键和值、schema 通过率、调用执行成功率、Agent 任务完成率</w:t>
            </w:r>
          </w:p>
        </w:tc>
      </w:tr>
      <w:tr>
        <w:tc>
          <w:tcPr>
            <w:tcW w:w="4148" w:type="dxa"/>
          </w:tcPr>
          <w:p>
            <w:pPr>
              <w:pStyle w:val="a"/>
              <w:jc w:val="left"/>
              <w:ind w:firstLine="0"/>
            </w:pPr>
            <w:r>
              <w:t>核心稳定性与分布</w:t>
            </w:r>
          </w:p>
        </w:tc>
        <w:tc>
          <w:tcPr>
            <w:tcW w:w="4148" w:type="dxa"/>
          </w:tcPr>
          <w:p>
            <w:pPr>
              <w:pStyle w:val="a"/>
              <w:jc w:val="left"/>
              <w:ind w:firstLine="0"/>
            </w:pPr>
            <w:r>
              <w:t>蒸馏损失、熵变化、师生分布差异、Top-K overlap、支持集外比例、非法输出和重复率</w:t>
            </w:r>
          </w:p>
        </w:tc>
      </w:tr>
      <w:tr>
        <w:tc>
          <w:tcPr>
            <w:tcW w:w="4148" w:type="dxa"/>
          </w:tcPr>
          <w:p>
            <w:pPr>
              <w:pStyle w:val="a"/>
              <w:jc w:val="left"/>
              <w:ind w:firstLine="0"/>
            </w:pPr>
            <w:r>
              <w:t>核心训练资源</w:t>
            </w:r>
          </w:p>
        </w:tc>
        <w:tc>
          <w:tcPr>
            <w:tcW w:w="4148" w:type="dxa"/>
          </w:tcPr>
          <w:p>
            <w:pPr>
              <w:pStyle w:val="a"/>
              <w:jc w:val="left"/>
              <w:ind w:firstLine="0"/>
            </w:pPr>
            <w:r>
              <w:t>教师反馈量、教师推理开销、学生 rollout 开销、训练时间和显存</w:t>
            </w:r>
          </w:p>
        </w:tc>
      </w:tr>
      <w:tr>
        <w:tc>
          <w:tcPr>
            <w:tcW w:w="4148" w:type="dxa"/>
          </w:tcPr>
          <w:p>
            <w:pPr>
              <w:pStyle w:val="a"/>
              <w:jc w:val="left"/>
              <w:ind w:firstLine="0"/>
            </w:pPr>
            <w:r>
              <w:t>扩展服务评测</w:t>
            </w:r>
          </w:p>
        </w:tc>
        <w:tc>
          <w:tcPr>
            <w:tcW w:w="4148" w:type="dxa"/>
          </w:tcPr>
          <w:p>
            <w:pPr>
              <w:pStyle w:val="a"/>
              <w:jc w:val="left"/>
              <w:ind w:firstLine="0"/>
            </w:pPr>
            <w:r>
              <w:t>吞吐、首 token 延迟、完整响应延迟和端到端任务成功率</w:t>
            </w:r>
          </w:p>
        </w:tc>
      </w:tr>
    </w:tbl>
    <w:p>
      <w:pPr>
        <w:pStyle w:val="a"/>
        <w:jc w:val="both"/>
        <w:ind w:firstLine="420"/>
      </w:pPr>
      <w:r>
        <w:t>BFCL 可为结构化函数调用和 Agent 评测提供参考[27]；AgentBench 可为多轮环境交互提供背景[28]。本项目自定义指标需给出明确的操作定义，不能把项目指标写成 BFCL 的官方指标。若纳入部署/服务评测，再记录吞吐、首 token 延迟、完整响应延迟和端到端任务成功率，具体测量环境待填写。</w:t>
      </w:r>
    </w:p>
    <w:p>
      <w:pPr>
        <w:pStyle w:val="a"/>
        <w:jc w:val="both"/>
        <w:ind w:firstLine="420"/>
      </w:pPr>
      <w:r>
        <w:t>在操作层面，函数名准确率应比较规范化后的函数标识；参数键准确率应检查字段集合或字段级匹配；参数值准确率应依据 schema 和任务允许的等价规则比较；schema 合法率应检查类型、必填字段和枚举约束；执行成功率应以模拟工具返回的结果为准；端到端成功率则需要检查规定交互范围内是否完成目标。各指标不能互相替代，例如 JSON 可以解析不代表函数正确，函数和参数正确也不一定代表工具结果被正确利用。</w:t>
      </w:r>
    </w:p>
    <w:p>
      <w:pPr>
        <w:pStyle w:val="a"/>
        <w:jc w:val="both"/>
        <w:ind w:firstLine="420"/>
      </w:pPr>
      <w:r>
        <w:t>在资源与重复运行条件允许时，稳定性分析应关注完整训练过程而不只是最终 checkpoint。可以记录损失变化、有效 token 数、学生和教师熵、师生 Top-K overlap、格式错误和支持集外比例；如果资源允许，再记录梯度范数、异常值和不同随机种子之间的方差。资源分析至少区分学生 rollout、教师前向和最终服务三个阶段，以免将部署吞吐误作蒸馏训练效率。</w:t>
      </w:r>
    </w:p>
    <w:p>
      <w:pPr>
        <w:pStyle w:val="a"/>
        <w:jc w:val="both"/>
        <w:ind w:firstLine="420"/>
      </w:pPr>
      <w:r>
        <w:t>公平性原则是固定学生、教师、公开数据、数据划分、LoRA 配置、训练预算、生成条件和评测脚本；具体序列长度、批处理、优化器、学习率、随机种子数量和硬件由算力确定。如果某方法无法使用完全相同的资源设置，应报告差异，分别讨论等预算、等时间或等训练量的结果。正式实验需保存配置、代码提交号、模型 revision、数据版本、依赖版本和原始指标，但本开题报告不填写尚未得到的值。</w:t>
      </w:r>
    </w:p>
    <w:p>
      <w:pPr>
        <w:pStyle w:val="a"/>
        <w:jc w:val="both"/>
        <w:ind w:firstLine="420"/>
      </w:pPr>
      <w:r>
        <w:t>在资源与重复运行条件允许时，结果分析不只保留每个方法的最高分，而是拟同时报告完整训练曲线、最终验证/测试统计、重复运行之间的波动和资源消耗；如果重复次数或测试规模不足以支持显著性判断，只报告差异方向和不确定性，不把小幅差异表述为稳定优势。失败案例按工具选择、结构解析、参数字段、参数值、上下文和执行环节分类，随后比较不同散度和监督信息粒度/估计方式的错误分布。</w:t>
      </w:r>
    </w:p>
    <w:p>
      <w:pPr>
        <w:pStyle w:val="2"/>
      </w:pPr>
      <w:r>
        <w:t>4.6 可行性和风险控制</w:t>
      </w:r>
    </w:p>
    <w:p>
      <w:pPr>
        <w:pStyle w:val="a"/>
        <w:jc w:val="both"/>
        <w:ind w:firstLine="420"/>
      </w:pPr>
      <w:r>
        <w:t>模型规模和 LoRA 方式预计使学生后训练具有可行性，但仍需通过环境盘点和最小试运行验证；教师 Qwen3-4B 的前向反馈和全词表分布可能带来较高资源压力，需在环境盘点后确定批处理和精度方案。LoRA 原始工作为参数高效适配提供了方法依据[19]。量化或其他压缩方式不纳入主比较矩阵，除非后续资源风险迫使方案调整。</w:t>
      </w:r>
    </w:p>
    <w:p>
      <w:pPr>
        <w:pStyle w:val="a"/>
        <w:jc w:val="both"/>
        <w:ind w:firstLine="420"/>
      </w:pPr>
      <w:r>
        <w:t>主要风险及对策如下：</w:t>
      </w:r>
    </w:p>
    <w:tbl>
      <w:tblPr>
        <w:tblStyle w:val="a9"/>
        <w:tblW w:w="0" w:type="auto"/>
        <w:tblLook w:val="04A0" w:firstRow="1" w:lastRow="0" w:firstColumn="1" w:lastColumn="0" w:noHBand="0" w:noVBand="1"/>
      </w:tblPr>
      <w:tblGrid>
        <w:gridCol w:w="4148"/>
        <w:gridCol w:w="4148"/>
      </w:tblGrid>
      <w:tr>
        <w:trPr>
          <w:tblHeader/>
        </w:trPr>
        <w:tc>
          <w:tcPr>
            <w:tcW w:w="4148" w:type="dxa"/>
            <w:shd w:val="clear" w:color="auto" w:fill="C5E0B3" w:themeFill="accent6" w:themeFillTint="66"/>
          </w:tcPr>
          <w:p>
            <w:pPr>
              <w:pStyle w:val="a"/>
              <w:jc w:val="left"/>
              <w:ind w:firstLine="0"/>
            </w:pPr>
            <w:r>
              <w:rPr>
                <w:b/>
              </w:rPr>
              <w:t>风险</w:t>
            </w:r>
          </w:p>
        </w:tc>
        <w:tc>
          <w:tcPr>
            <w:tcW w:w="4148" w:type="dxa"/>
            <w:shd w:val="clear" w:color="auto" w:fill="C5E0B3" w:themeFill="accent6" w:themeFillTint="66"/>
          </w:tcPr>
          <w:p>
            <w:pPr>
              <w:pStyle w:val="a"/>
              <w:jc w:val="left"/>
              <w:ind w:firstLine="0"/>
            </w:pPr>
            <w:r>
              <w:rPr>
                <w:b/>
              </w:rPr>
              <w:t>拟采取的原则性措施</w:t>
            </w:r>
          </w:p>
        </w:tc>
      </w:tr>
      <w:tr>
        <w:tc>
          <w:tcPr>
            <w:tcW w:w="4148" w:type="dxa"/>
          </w:tcPr>
          <w:p>
            <w:pPr>
              <w:pStyle w:val="a"/>
              <w:jc w:val="left"/>
              <w:ind w:firstLine="0"/>
            </w:pPr>
            <w:r>
              <w:t>师生 tokenizer、模板或特殊 token 不兼容</w:t>
            </w:r>
          </w:p>
        </w:tc>
        <w:tc>
          <w:tcPr>
            <w:tcW w:w="4148" w:type="dxa"/>
          </w:tcPr>
          <w:p>
            <w:pPr>
              <w:pStyle w:val="a"/>
              <w:jc w:val="left"/>
              <w:ind w:firstLine="0"/>
            </w:pPr>
            <w:r>
              <w:t>训练前审计并记录版本；不能直接对不对齐的词表计算分布差异。</w:t>
            </w:r>
          </w:p>
        </w:tc>
      </w:tr>
      <w:tr>
        <w:tc>
          <w:tcPr>
            <w:tcW w:w="4148" w:type="dxa"/>
          </w:tcPr>
          <w:p>
            <w:pPr>
              <w:pStyle w:val="a"/>
              <w:jc w:val="left"/>
              <w:ind w:firstLine="0"/>
            </w:pPr>
            <w:r>
              <w:t>教师全词表反馈开销过高</w:t>
            </w:r>
          </w:p>
        </w:tc>
        <w:tc>
          <w:tcPr>
            <w:tcW w:w="4148" w:type="dxa"/>
          </w:tcPr>
          <w:p>
            <w:pPr>
              <w:pStyle w:val="a"/>
              <w:jc w:val="left"/>
              <w:ind w:firstLine="0"/>
            </w:pPr>
            <w:r>
              <w:t>比较全词表、Top-K、K1 的反馈量；具体节省资源方式根据算力确定。</w:t>
            </w:r>
          </w:p>
        </w:tc>
      </w:tr>
      <w:tr>
        <w:tc>
          <w:tcPr>
            <w:tcW w:w="4148" w:type="dxa"/>
          </w:tcPr>
          <w:p>
            <w:pPr>
              <w:pStyle w:val="a"/>
              <w:jc w:val="left"/>
              <w:ind w:firstLine="0"/>
            </w:pPr>
            <w:r>
              <w:t>Top-K/K1 估计不稳定</w:t>
            </w:r>
          </w:p>
        </w:tc>
        <w:tc>
          <w:tcPr>
            <w:tcW w:w="4148" w:type="dxa"/>
          </w:tcPr>
          <w:p>
            <w:pPr>
              <w:pStyle w:val="a"/>
              <w:jc w:val="left"/>
              <w:ind w:firstLine="0"/>
            </w:pPr>
            <w:r>
              <w:t>记录支持集外比例、熵和异常 loss；稳定化扩展只在主方案可运行后考虑。</w:t>
            </w:r>
          </w:p>
        </w:tc>
      </w:tr>
      <w:tr>
        <w:tc>
          <w:tcPr>
            <w:tcW w:w="4148" w:type="dxa"/>
          </w:tcPr>
          <w:p>
            <w:pPr>
              <w:pStyle w:val="a"/>
              <w:jc w:val="left"/>
              <w:ind w:firstLine="0"/>
            </w:pPr>
            <w:r>
              <w:t>数据格式、许可证或训练测试泄漏</w:t>
            </w:r>
          </w:p>
        </w:tc>
        <w:tc>
          <w:tcPr>
            <w:tcW w:w="4148" w:type="dxa"/>
          </w:tcPr>
          <w:p>
            <w:pPr>
              <w:pStyle w:val="a"/>
              <w:jc w:val="left"/>
              <w:ind w:firstLine="0"/>
            </w:pPr>
            <w:r>
              <w:t>核验数据卡和许可证，去重并隔离测试集，保存版本和过滤规则。</w:t>
            </w:r>
          </w:p>
        </w:tc>
      </w:tr>
      <w:tr>
        <w:tc>
          <w:tcPr>
            <w:tcW w:w="4148" w:type="dxa"/>
          </w:tcPr>
          <w:p>
            <w:pPr>
              <w:pStyle w:val="a"/>
              <w:jc w:val="left"/>
              <w:ind w:firstLine="0"/>
            </w:pPr>
            <w:r>
              <w:t>离线 token 指标与 Agent 行为不一致</w:t>
            </w:r>
          </w:p>
        </w:tc>
        <w:tc>
          <w:tcPr>
            <w:tcW w:w="4148" w:type="dxa"/>
          </w:tcPr>
          <w:p>
            <w:pPr>
              <w:pStyle w:val="a"/>
              <w:jc w:val="left"/>
              <w:ind w:firstLine="0"/>
            </w:pPr>
            <w:r>
              <w:t>分层报告格式、函数、参数、执行和端到端任务指标，保留失败轨迹。</w:t>
            </w:r>
          </w:p>
        </w:tc>
      </w:tr>
      <w:tr>
        <w:tc>
          <w:tcPr>
            <w:tcW w:w="4148" w:type="dxa"/>
          </w:tcPr>
          <w:p>
            <w:pPr>
              <w:pStyle w:val="a"/>
              <w:jc w:val="left"/>
              <w:ind w:firstLine="0"/>
            </w:pPr>
            <w:r>
              <w:t>vLLM 或 Agent 后端不兼容</w:t>
            </w:r>
          </w:p>
        </w:tc>
        <w:tc>
          <w:tcPr>
            <w:tcW w:w="4148" w:type="dxa"/>
          </w:tcPr>
          <w:p>
            <w:pPr>
              <w:pStyle w:val="a"/>
              <w:jc w:val="left"/>
              <w:ind w:firstLine="0"/>
            </w:pPr>
            <w:r>
              <w:t>先做最小服务验证；最终从 vLLM 或自建 Agent 候选后端中选择可复现的后端，并记录版本。</w:t>
            </w:r>
          </w:p>
        </w:tc>
      </w:tr>
    </w:tbl>
    <w:p>
      <w:pPr>
        <w:pStyle w:val="2"/>
      </w:pPr>
      <w:r>
        <w:t>4.7 可选的 Top-K 稳定化拓展</w:t>
      </w:r>
    </w:p>
    <w:p>
      <w:pPr>
        <w:pStyle w:val="a"/>
        <w:jc w:val="both"/>
        <w:ind w:firstLine="420"/>
      </w:pPr>
      <w:r>
        <w:t>如果主比较显示 Top-K 具有研究价值但存在明显不稳定，可进一步考察若干可选稳定化策略，例如支持集修复或损失截断。该拓展不属于主实验因素，不进入 3×3 主比较矩阵；是否实施待后续资源和协议条件确定。</w:t>
      </w:r>
    </w:p>
    <w:p>
      <w:pPr>
        <w:pStyle w:val="a5"/>
      </w:pPr>
      <w:r>
        <w:t>5．进度安排，预期达到的目标</w:t>
      </w:r>
    </w:p>
    <w:p>
      <w:pPr>
        <w:pStyle w:val="2"/>
      </w:pPr>
      <w:r>
        <w:t>5.1 进度安排</w:t>
      </w:r>
    </w:p>
    <w:p>
      <w:pPr>
        <w:pStyle w:val="a"/>
        <w:jc w:val="both"/>
        <w:ind w:firstLine="420"/>
      </w:pPr>
      <w:r>
        <w:t>时间以开题通过后的阶段为准，具体日期待填写。</w:t>
      </w:r>
    </w:p>
    <w:tbl>
      <w:tblPr>
        <w:tblStyle w:val="a9"/>
        <w:tblW w:w="0" w:type="auto"/>
        <w:tblLook w:val="04A0" w:firstRow="1" w:lastRow="0" w:firstColumn="1" w:lastColumn="0" w:noHBand="0" w:noVBand="1"/>
      </w:tblPr>
      <w:tblGrid>
        <w:gridCol w:w="2765"/>
        <w:gridCol w:w="2765"/>
        <w:gridCol w:w="2765"/>
      </w:tblGrid>
      <w:tr>
        <w:trPr>
          <w:tblHeader/>
        </w:trPr>
        <w:tc>
          <w:tcPr>
            <w:tcW w:w="4148" w:type="dxa"/>
            <w:shd w:val="clear" w:color="auto" w:fill="C5E0B3" w:themeFill="accent6" w:themeFillTint="66"/>
          </w:tcPr>
          <w:p>
            <w:pPr>
              <w:pStyle w:val="a"/>
              <w:jc w:val="left"/>
              <w:ind w:firstLine="0"/>
            </w:pPr>
            <w:r>
              <w:rPr>
                <w:b/>
              </w:rPr>
              <w:t>阶段</w:t>
            </w:r>
          </w:p>
        </w:tc>
        <w:tc>
          <w:tcPr>
            <w:tcW w:w="4148" w:type="dxa"/>
            <w:shd w:val="clear" w:color="auto" w:fill="C5E0B3" w:themeFill="accent6" w:themeFillTint="66"/>
          </w:tcPr>
          <w:p>
            <w:pPr>
              <w:pStyle w:val="a"/>
              <w:jc w:val="left"/>
              <w:ind w:firstLine="0"/>
            </w:pPr>
            <w:r>
              <w:rPr>
                <w:b/>
              </w:rPr>
              <w:t>计划内容</w:t>
            </w:r>
          </w:p>
        </w:tc>
        <w:tc>
          <w:tcPr>
            <w:tcW w:w="4148" w:type="dxa"/>
            <w:shd w:val="clear" w:color="auto" w:fill="C5E0B3" w:themeFill="accent6" w:themeFillTint="66"/>
          </w:tcPr>
          <w:p>
            <w:pPr>
              <w:pStyle w:val="a"/>
              <w:jc w:val="left"/>
              <w:ind w:firstLine="0"/>
            </w:pPr>
            <w:r>
              <w:rPr>
                <w:b/>
              </w:rPr>
              <w:t>预期材料</w:t>
            </w:r>
          </w:p>
        </w:tc>
      </w:tr>
      <w:tr>
        <w:tc>
          <w:tcPr>
            <w:tcW w:w="4148" w:type="dxa"/>
          </w:tcPr>
          <w:p>
            <w:pPr>
              <w:pStyle w:val="a"/>
              <w:jc w:val="left"/>
              <w:ind w:firstLine="0"/>
            </w:pPr>
            <w:r>
              <w:t>第一阶段</w:t>
            </w:r>
          </w:p>
        </w:tc>
        <w:tc>
          <w:tcPr>
            <w:tcW w:w="4148" w:type="dxa"/>
          </w:tcPr>
          <w:p>
            <w:pPr>
              <w:pStyle w:val="a"/>
              <w:jc w:val="left"/>
              <w:ind w:firstLine="0"/>
            </w:pPr>
            <w:r>
              <w:t>精读 OPD、KL 散度、LoRA、Function Calling 和 Agent 评测文献，核验数据来源</w:t>
            </w:r>
          </w:p>
        </w:tc>
        <w:tc>
          <w:tcPr>
            <w:tcW w:w="4148" w:type="dxa"/>
          </w:tcPr>
          <w:p>
            <w:pPr>
              <w:pStyle w:val="a"/>
              <w:jc w:val="left"/>
              <w:ind w:firstLine="0"/>
            </w:pPr>
            <w:r>
              <w:t>文献导读、数据和模型核验记录</w:t>
            </w:r>
          </w:p>
        </w:tc>
      </w:tr>
      <w:tr>
        <w:tc>
          <w:tcPr>
            <w:tcW w:w="4148" w:type="dxa"/>
          </w:tcPr>
          <w:p>
            <w:pPr>
              <w:pStyle w:val="a"/>
              <w:jc w:val="left"/>
              <w:ind w:firstLine="0"/>
            </w:pPr>
            <w:r>
              <w:t>第二阶段</w:t>
            </w:r>
          </w:p>
        </w:tc>
        <w:tc>
          <w:tcPr>
            <w:tcW w:w="4148" w:type="dxa"/>
          </w:tcPr>
          <w:p>
            <w:pPr>
              <w:pStyle w:val="a"/>
              <w:jc w:val="left"/>
              <w:ind w:firstLine="0"/>
            </w:pPr>
            <w:r>
              <w:t>盘点软件、计算环境和模型接口，审计 tokenizer、模板和 schema</w:t>
            </w:r>
          </w:p>
        </w:tc>
        <w:tc>
          <w:tcPr>
            <w:tcW w:w="4148" w:type="dxa"/>
          </w:tcPr>
          <w:p>
            <w:pPr>
              <w:pStyle w:val="a"/>
              <w:jc w:val="left"/>
              <w:ind w:firstLine="0"/>
            </w:pPr>
            <w:r>
              <w:t>环境记录、兼容性分析</w:t>
            </w:r>
          </w:p>
        </w:tc>
      </w:tr>
      <w:tr>
        <w:tc>
          <w:tcPr>
            <w:tcW w:w="4148" w:type="dxa"/>
          </w:tcPr>
          <w:p>
            <w:pPr>
              <w:pStyle w:val="a"/>
              <w:jc w:val="left"/>
              <w:ind w:firstLine="0"/>
            </w:pPr>
            <w:r>
              <w:t>第三阶段</w:t>
            </w:r>
          </w:p>
        </w:tc>
        <w:tc>
          <w:tcPr>
            <w:tcW w:w="4148" w:type="dxa"/>
          </w:tcPr>
          <w:p>
            <w:pPr>
              <w:pStyle w:val="a"/>
              <w:jc w:val="left"/>
              <w:ind w:firstLine="0"/>
            </w:pPr>
            <w:r>
              <w:t>完成数据清洗、划分原则、评测器和 OPD 接口设计</w:t>
            </w:r>
          </w:p>
        </w:tc>
        <w:tc>
          <w:tcPr>
            <w:tcW w:w="4148" w:type="dxa"/>
          </w:tcPr>
          <w:p>
            <w:pPr>
              <w:pStyle w:val="a"/>
              <w:jc w:val="left"/>
              <w:ind w:firstLine="0"/>
            </w:pPr>
            <w:r>
              <w:t>数据说明、接口草案、测试设计</w:t>
            </w:r>
          </w:p>
        </w:tc>
      </w:tr>
      <w:tr>
        <w:tc>
          <w:tcPr>
            <w:tcW w:w="4148" w:type="dxa"/>
          </w:tcPr>
          <w:p>
            <w:pPr>
              <w:pStyle w:val="a"/>
              <w:jc w:val="left"/>
              <w:ind w:firstLine="0"/>
            </w:pPr>
            <w:r>
              <w:t>第四阶段</w:t>
            </w:r>
          </w:p>
        </w:tc>
        <w:tc>
          <w:tcPr>
            <w:tcW w:w="4148" w:type="dxa"/>
          </w:tcPr>
          <w:p>
            <w:pPr>
              <w:pStyle w:val="a"/>
              <w:jc w:val="left"/>
              <w:ind w:firstLine="0"/>
            </w:pPr>
            <w:r>
              <w:t>实现并验证三类散度和三种监督信息粒度/估计方式的候选流程</w:t>
            </w:r>
          </w:p>
        </w:tc>
        <w:tc>
          <w:tcPr>
            <w:tcW w:w="4148" w:type="dxa"/>
          </w:tcPr>
          <w:p>
            <w:pPr>
              <w:pStyle w:val="a"/>
              <w:jc w:val="left"/>
              <w:ind w:firstLine="0"/>
            </w:pPr>
            <w:r>
              <w:t>数值/梯度测试和可行性日志</w:t>
            </w:r>
          </w:p>
        </w:tc>
      </w:tr>
      <w:tr>
        <w:tc>
          <w:tcPr>
            <w:tcW w:w="4148" w:type="dxa"/>
          </w:tcPr>
          <w:p>
            <w:pPr>
              <w:pStyle w:val="a"/>
              <w:jc w:val="left"/>
              <w:ind w:firstLine="0"/>
            </w:pPr>
            <w:r>
              <w:t>第五阶段</w:t>
            </w:r>
          </w:p>
        </w:tc>
        <w:tc>
          <w:tcPr>
            <w:tcW w:w="4148" w:type="dxa"/>
          </w:tcPr>
          <w:p>
            <w:pPr>
              <w:pStyle w:val="a"/>
              <w:jc w:val="left"/>
              <w:ind w:firstLine="0"/>
            </w:pPr>
            <w:r>
              <w:t>根据冻结协议进行主比较，记录效果、稳定性和资源指标</w:t>
            </w:r>
          </w:p>
        </w:tc>
        <w:tc>
          <w:tcPr>
            <w:tcW w:w="4148" w:type="dxa"/>
          </w:tcPr>
          <w:p>
            <w:pPr>
              <w:pStyle w:val="a"/>
              <w:jc w:val="left"/>
              <w:ind w:firstLine="0"/>
            </w:pPr>
            <w:r>
              <w:t>配置、原始日志、checkpoint 和指标</w:t>
            </w:r>
          </w:p>
        </w:tc>
      </w:tr>
      <w:tr>
        <w:tc>
          <w:tcPr>
            <w:tcW w:w="4148" w:type="dxa"/>
          </w:tcPr>
          <w:p>
            <w:pPr>
              <w:pStyle w:val="a"/>
              <w:jc w:val="left"/>
              <w:ind w:firstLine="0"/>
            </w:pPr>
            <w:r>
              <w:t>第六阶段</w:t>
            </w:r>
          </w:p>
        </w:tc>
        <w:tc>
          <w:tcPr>
            <w:tcW w:w="4148" w:type="dxa"/>
          </w:tcPr>
          <w:p>
            <w:pPr>
              <w:pStyle w:val="a"/>
              <w:jc w:val="left"/>
              <w:ind w:firstLine="0"/>
            </w:pPr>
            <w:r>
              <w:t>使用一种候选后端（vLLM 或自建 Agent）进行最终测试，分析失败样本并撰写论文</w:t>
            </w:r>
          </w:p>
        </w:tc>
        <w:tc>
          <w:tcPr>
            <w:tcW w:w="4148" w:type="dxa"/>
          </w:tcPr>
          <w:p>
            <w:pPr>
              <w:pStyle w:val="a"/>
              <w:jc w:val="left"/>
              <w:ind w:firstLine="0"/>
            </w:pPr>
            <w:r>
              <w:t>Agent 轨迹、图表、论文和演示材料</w:t>
            </w:r>
          </w:p>
        </w:tc>
      </w:tr>
    </w:tbl>
    <w:p>
      <w:pPr>
        <w:pStyle w:val="a"/>
        <w:jc w:val="both"/>
        <w:ind w:firstLine="420"/>
      </w:pPr>
      <w:r>
        <w:t>进度安排以“先核验、后实现；先小规模验证、后正式比较；先离线指标、后 Agent 部署”为原则。若数据清洗、模型兼容或算力条件出现阻塞，应先记录问题并调整后续范围，不应跳过协议定义直接运行无法解释的结果。正式结果需要能够追溯到配置和代码版本，探索性结果则单独标记。</w:t>
      </w:r>
    </w:p>
    <w:p>
      <w:pPr>
        <w:pStyle w:val="2"/>
      </w:pPr>
      <w:r>
        <w:t>5.2 预期达到的目标</w:t>
      </w:r>
    </w:p>
    <w:p>
      <w:pPr>
        <w:pStyle w:val="a8"/>
        <w:jc w:val="left"/>
        <w:ind w:firstLine="420"/>
      </w:pPr>
      <w:r>
        <w:t>1. 拟完成 Qwen3-0.6B 学生的 LoRA 在线策略蒸馏研究流程，教师拟采用冻结的 Qwen3-4B。</w:t>
      </w:r>
    </w:p>
    <w:p>
      <w:pPr>
        <w:pStyle w:val="a8"/>
        <w:jc w:val="left"/>
        <w:ind w:firstLine="420"/>
      </w:pPr>
      <w:r>
        <w:t>2. 拟在公开 Function Calling 数据上，按任务要求比较 Forward KL、Reverse KL、广义散度，以及全词表、Top-K、K1 sampled-token。</w:t>
      </w:r>
    </w:p>
    <w:p>
      <w:pPr>
        <w:pStyle w:val="a8"/>
        <w:jc w:val="left"/>
        <w:ind w:firstLine="420"/>
      </w:pPr>
      <w:r>
        <w:t>3. 拟建立分层评测方法，分别分析格式、函数选择、参数生成、工具执行和 Agent 任务完成。</w:t>
      </w:r>
    </w:p>
    <w:p>
      <w:pPr>
        <w:pStyle w:val="a8"/>
        <w:jc w:val="left"/>
        <w:ind w:firstLine="420"/>
      </w:pPr>
      <w:r>
        <w:t>4. 拟记录不同方法的训练稳定性、教师反馈量、训练资源和部署表现，不预先填写结果。</w:t>
      </w:r>
    </w:p>
    <w:p>
      <w:pPr>
        <w:pStyle w:val="a8"/>
        <w:jc w:val="left"/>
        <w:ind w:firstLine="420"/>
      </w:pPr>
      <w:r>
        <w:t>5. 拟通过一种候选后端（vLLM 或自建 Agent）完成最终模型验证，并形成可追溯的配置、日志和分析文档。</w:t>
      </w:r>
    </w:p>
    <w:p>
      <w:pPr>
        <w:pStyle w:val="a8"/>
        <w:jc w:val="left"/>
        <w:ind w:firstLine="420"/>
      </w:pPr>
      <w:r>
        <w:t>6. 拟形成中文项目文档、实验记录、论文正文和答辩所需材料。</w:t>
      </w:r>
    </w:p>
    <w:p>
      <w:pPr>
        <w:pStyle w:val="a"/>
        <w:jc w:val="both"/>
        <w:ind w:firstLine="420"/>
      </w:pPr>
      <w:r>
        <w:t>拟达到的最低成果形式是：一套可说明的 OPD 方法定义、一份公开数据和模型版本记录、一组能够解释方法差异的指标表，以及一个可重复调用的最终测试流程。若部分扩展方法因资源或协议限制无法完成，应在成果中报告限制和原因，不以缺失实验推断结论。</w:t>
      </w:r>
    </w:p>
    <w:p>
      <w:pPr>
        <w:pStyle w:val="1"/>
      </w:pPr>
      <w:r>
        <w:t>6．课题已具备和所需的条件、经费</w:t>
      </w:r>
    </w:p>
    <w:p>
      <w:pPr>
        <w:pStyle w:val="2"/>
      </w:pPr>
      <w:r>
        <w:t>6.1 已具备条件</w:t>
      </w:r>
    </w:p>
    <w:p>
      <w:pPr>
        <w:pStyle w:val="a"/>
        <w:jc w:val="both"/>
        <w:ind w:firstLine="420"/>
      </w:pPr>
      <w:r>
        <w:t>目前已经具备的是明确的研究方向、拟定模型组合、LoRA 后训练路线、公开 Function Calling 应用领域，以及本报告第8节列出的28条已核验参考文献和相应核验记录。Qwen3 技术报告和相关模型资料可用于模型背景研究[16]；公开工具调用数据集以及 BFCL/AgentBench 等评测基准可作为候选来源[23][25][27][28]。本报告已整理自身的引用清单，但本项目的训练、评测和 Agent 部署尚未完成。</w:t>
      </w:r>
    </w:p>
    <w:p>
      <w:pPr>
        <w:pStyle w:val="2"/>
      </w:pPr>
      <w:r>
        <w:t>6.2 所需条件</w:t>
      </w:r>
    </w:p>
    <w:p>
      <w:pPr>
        <w:pStyle w:val="a"/>
        <w:jc w:val="both"/>
        <w:ind w:firstLine="420"/>
      </w:pPr>
      <w:r>
        <w:t>需要能够加载拟定的 Qwen3-0.6B 学生和 Qwen3-4B 教师，并完成学生 rollout、教师前向反馈和 LoRA 更新。软件方面拟采用常见深度学习、参数高效训练、数据处理和推理服务组件；最终版本待环境检查。硬件型号、显存、驱动、可用时长、数据存储和服务配置均待确认。若资源不足，将优先保证任务要求的核心比较，并将量化、额外 K 值或稳定化方法作为可选扩展。</w:t>
      </w:r>
    </w:p>
    <w:p>
      <w:pPr>
        <w:pStyle w:val="2"/>
      </w:pPr>
      <w:r>
        <w:t>6.3 经费</w:t>
      </w:r>
    </w:p>
    <w:p>
      <w:pPr>
        <w:pStyle w:val="a"/>
        <w:jc w:val="both"/>
        <w:ind w:firstLine="420"/>
      </w:pPr>
      <w:r>
        <w:t>本课题拟优先使用可获得的计算设备和公开软件、模型、数据。若需要实验室或云计算资源，费用取决于设备、时间、存储和网络条件，当前不填写具体金额。无论使用何种资源，都应记录环境和实际消耗，不能把未发生的租用或训练费用写入报告。</w:t>
      </w:r>
    </w:p>
    <w:p>
      <w:pPr>
        <w:pStyle w:val="a"/>
        <w:jc w:val="both"/>
        <w:ind w:firstLine="420"/>
      </w:pPr>
      <w:r>
        <w:t>资源安排需要服务于公平比较。首先完成 tokenizer、模板、数据解析和损失定义的低成本检查，再根据实际显存和吞吐确定可运行的序列长度、有效批处理和重复次数；全词表方案若占用资源过多，可通过分批反馈或减少中间结果保存量进行工程调整，但调整后的训练预算和精度必须与其他方案对照记录；若无法保持同一预算，则仅作探索性结果，不纳入主比较结论。只有在主比较可解释的前提下，才考虑额外稳定化或量化拓展。</w:t>
      </w:r>
    </w:p>
    <w:p>
      <w:pPr>
        <w:pStyle w:val="1"/>
      </w:pPr>
      <w:r>
        <w:t>7．研究过程中可能遇到的困难和问题，解决的措施</w:t>
      </w:r>
    </w:p>
    <w:p>
      <w:pPr>
        <w:pStyle w:val="a"/>
        <w:jc w:val="both"/>
        <w:ind w:firstLine="420"/>
      </w:pPr>
      <w:r>
        <w:t>Function Calling 数据的来源、许可证、字段质量和测试集泄漏需要先核验；模型模板或 tokenizer 不一致会直接影响 token 级蒸馏；全词表教师反馈可能带来较高资源开销；Top-K 和 K1 的局部或单样本估计可能出现方差、熵坍缩和 loss 尖峰；离线格式指标与实际 Agent 成功率可能不一致；vLLM 或自建 Agent 的接口兼容性也需要验证。</w:t>
      </w:r>
    </w:p>
    <w:p>
      <w:pPr>
        <w:pStyle w:val="a"/>
        <w:jc w:val="both"/>
        <w:ind w:firstLine="420"/>
      </w:pPr>
      <w:r>
        <w:t>针对上述问题，拟采取以下措施：在训练前完成数据、模型和模板审计；在统一预算下记录教师反馈量、学生 rollout 和资源指标；为三类监督信息粒度/估计方式明确支持集、采样和 mask 协议；对异常 loss、非法结构和失败工具调用保存可追溯样本；使用分层指标区分解析、选择、参数和执行错误；最终只在实际验证过的候选后端（vLLM 或自建 Agent）上报告部署结果。</w:t>
      </w:r>
    </w:p>
    <w:p>
      <w:pPr>
        <w:pStyle w:val="a"/>
        <w:jc w:val="both"/>
        <w:ind w:firstLine="420"/>
      </w:pPr>
      <w:r>
        <w:t>困难分析需要区分三类原因。第一类是数据或接口原因，例如 schema 错误、模板不匹配和测试泄漏；第二类是蒸馏估计原因，例如教师支持集截断、K1 方差或散度数值不稳定；第三类是模型和服务原因，例如 LoRA 容量、后端加载和 Agent 状态管理。遇到性能下降时，应先按这三类进行定位，再决定是否增加稳定化方法；否则可能把数据修复或服务重试造成的改善误写成算法收益。</w:t>
      </w:r>
    </w:p>
    <w:p>
      <w:pPr>
        <w:pStyle w:val="a"/>
        <w:jc w:val="both"/>
        <w:ind w:firstLine="420"/>
      </w:pPr>
      <w:r>
        <w:t>项目还需要遵守模型和数据许可证，避免将私密工具定义、API key 或真实用户信息写入仓库。Agent 测试优先使用本地或沙箱工具，不允许未经确认的模型输出直接执行危险操作。上述是研究与工程约束，不代表相关测试已经完成。</w:t>
      </w:r>
    </w:p>
    <w:p>
      <w:pPr>
        <w:pStyle w:val="a5"/>
      </w:pPr>
      <w:r>
        <w:t>8．主要参考文献</w:t>
      </w:r>
    </w:p>
    <w:p>
      <w:pPr>
        <w:pStyle w:val="a8"/>
        <w:jc w:val="left"/>
        <w:ind w:firstLine="420"/>
        <w:numPr>
          <w:ilvl w:val="0"/>
          <w:numId w:val="2"/>
        </w:numPr>
      </w:pPr>
      <w:r>
        <w:t>Hinton G, Vinyals O, Dean J. Distilling the Knowledge in a Neural Network[EB/OL]. arXiv:1503.02531, 2015.</w:t>
      </w:r>
    </w:p>
    <w:p>
      <w:pPr>
        <w:pStyle w:val="a8"/>
        <w:jc w:val="left"/>
        <w:ind w:firstLine="420"/>
        <w:numPr>
          <w:ilvl w:val="0"/>
          <w:numId w:val="2"/>
        </w:numPr>
      </w:pPr>
      <w:r>
        <w:t>Kim Y, Rush A M. Sequence-Level Knowledge Distillation[C]//Proceedings of the 2016 Conference on Empirical Methods in Natural Language Processing. ACL, 2016: 1317-1327. DOI:10.18653/v1/D16-1139.</w:t>
      </w:r>
    </w:p>
    <w:p>
      <w:pPr>
        <w:pStyle w:val="a8"/>
        <w:jc w:val="left"/>
        <w:ind w:firstLine="420"/>
        <w:numPr>
          <w:ilvl w:val="0"/>
          <w:numId w:val="2"/>
        </w:numPr>
      </w:pPr>
      <w:r>
        <w:t>Ross S, Gordon G J, Bagnell J A. A Reduction of Imitation Learning and Structured Prediction to No-Regret Online Learning[C]//Proceedings of the Fourteenth International Conference on Artificial Intelligence and Statistics. PMLR, 2011, 15: 627-635.</w:t>
      </w:r>
    </w:p>
    <w:p>
      <w:pPr>
        <w:pStyle w:val="a8"/>
        <w:jc w:val="left"/>
        <w:ind w:firstLine="420"/>
        <w:numPr>
          <w:ilvl w:val="0"/>
          <w:numId w:val="2"/>
        </w:numPr>
      </w:pPr>
      <w:r>
        <w:t>Lin A, Wohlwend J, Chen H, et al. Autoregressive Knowledge Distillation through Imitation Learning[C]//Proceedings of the 2020 Conference on Empirical Methods in Natural Language Processing. ACL, 2020: 6121-6133. DOI:10.18653/v1/2020.emnlp-main.494.</w:t>
      </w:r>
    </w:p>
    <w:p>
      <w:pPr>
        <w:pStyle w:val="a8"/>
        <w:jc w:val="left"/>
        <w:ind w:firstLine="420"/>
        <w:numPr>
          <w:ilvl w:val="0"/>
          <w:numId w:val="2"/>
        </w:numPr>
      </w:pPr>
      <w:r>
        <w:t>Huszár F. How (not) to Train your Generative Model: Scheduled Sampling, Likelihood, Adversary?[EB/OL]. arXiv:1511.05101, 2015.</w:t>
      </w:r>
    </w:p>
    <w:p>
      <w:pPr>
        <w:pStyle w:val="a8"/>
        <w:jc w:val="left"/>
        <w:ind w:firstLine="420"/>
        <w:numPr>
          <w:ilvl w:val="0"/>
          <w:numId w:val="2"/>
        </w:numPr>
      </w:pPr>
      <w:r>
        <w:t>Wen Y, Li Z, Du W, et al. f-Divergence Minimization for Sequence-Level Knowledge Distillation[C]//Proceedings of the 61st Annual Meeting of the Association for Computational Linguistics. ACL, 2023: 10817-10834. DOI:10.18653/v1/2023.acl-long.605.</w:t>
      </w:r>
    </w:p>
    <w:p>
      <w:pPr>
        <w:pStyle w:val="a8"/>
        <w:jc w:val="left"/>
        <w:ind w:firstLine="420"/>
        <w:numPr>
          <w:ilvl w:val="0"/>
          <w:numId w:val="2"/>
        </w:numPr>
      </w:pPr>
      <w:r>
        <w:t>Agarwal R, Vieillard N, Zhou Y, et al. On-Policy Distillation of Language Models: Learning from Self-Generated Mistakes[C]//International Conference on Learning Representations. 2024. arXiv:2306.13649.</w:t>
      </w:r>
    </w:p>
    <w:p>
      <w:pPr>
        <w:pStyle w:val="a8"/>
        <w:jc w:val="left"/>
        <w:ind w:firstLine="420"/>
        <w:numPr>
          <w:ilvl w:val="0"/>
          <w:numId w:val="2"/>
        </w:numPr>
      </w:pPr>
      <w:r>
        <w:t>Gu Y, Dong L, Wei F, et al. MiniLLM: Knowledge Distillation of Large Language Models[C]//International Conference on Learning Representations. 2024. arXiv:2306.08543.</w:t>
      </w:r>
    </w:p>
    <w:p>
      <w:pPr>
        <w:pStyle w:val="a8"/>
        <w:jc w:val="left"/>
        <w:ind w:firstLine="420"/>
        <w:numPr>
          <w:ilvl w:val="0"/>
          <w:numId w:val="2"/>
        </w:numPr>
      </w:pPr>
      <w:r>
        <w:t>Ko J, Kim S, Chen T, et al. DistiLLM: Towards Streamlined Distillation for Large Language Models[C]//Proceedings of the 41st International Conference on Machine Learning. PMLR, 2024, 235: 24872-24895.</w:t>
      </w:r>
    </w:p>
    <w:p>
      <w:pPr>
        <w:pStyle w:val="a8"/>
        <w:jc w:val="left"/>
        <w:ind w:firstLine="420"/>
        <w:numPr>
          <w:ilvl w:val="0"/>
          <w:numId w:val="2"/>
        </w:numPr>
      </w:pPr>
      <w:r>
        <w:t>Lu K, Thinking Machines Lab. On-Policy Distillation[EB/OL]. Thinking Machines Lab: Connectionism, 2025（技术博客）. DOI:10.64434/tml.20251026.</w:t>
      </w:r>
    </w:p>
    <w:p>
      <w:pPr>
        <w:pStyle w:val="a8"/>
        <w:jc w:val="left"/>
        <w:ind w:firstLine="420"/>
        <w:numPr>
          <w:ilvl w:val="0"/>
          <w:numId w:val="2"/>
        </w:numPr>
      </w:pPr>
      <w:r>
        <w:t>Li Y, Zuo Y, He B, et al. Rethinking On-Policy Distillation of Large Language Models: Phenomenology, Mechanism, and Recipe[EB/OL]. arXiv:2604.13016v2, 2026. DOI:10.48550/arXiv.2604.13016.</w:t>
      </w:r>
    </w:p>
    <w:p>
      <w:pPr>
        <w:pStyle w:val="a8"/>
        <w:jc w:val="left"/>
        <w:ind w:firstLine="420"/>
        <w:numPr>
          <w:ilvl w:val="0"/>
          <w:numId w:val="2"/>
        </w:numPr>
      </w:pPr>
      <w:r>
        <w:t>Fu Z, He B, Zuo Y, et al. Rethinking On-Policy Distillation of Large Language Models II: One Training Example[EB/OL]. arXiv:2609.04172v1, 2026. DOI:10.48550/arXiv.2609.04172.</w:t>
      </w:r>
    </w:p>
    <w:p>
      <w:pPr>
        <w:pStyle w:val="a8"/>
        <w:jc w:val="left"/>
        <w:ind w:firstLine="420"/>
        <w:numPr>
          <w:ilvl w:val="0"/>
          <w:numId w:val="2"/>
        </w:numPr>
      </w:pPr>
      <w:r>
        <w:t>Fu Y, Huang H, Jiang K, et al. Revisiting On-Policy Distillation: Empirical Failure Modes and Simple Fixes[EB/OL]. arXiv:2603.25562v2, 2026. DOI:10.48550/arXiv.2603.25562.</w:t>
      </w:r>
    </w:p>
    <w:p>
      <w:pPr>
        <w:pStyle w:val="a8"/>
        <w:jc w:val="left"/>
        <w:ind w:firstLine="420"/>
        <w:numPr>
          <w:ilvl w:val="0"/>
          <w:numId w:val="2"/>
        </w:numPr>
      </w:pPr>
      <w:r>
        <w:t>Zhu W, Xie R, Wang R, et al. Hybrid Policy Distillation for LLMs[EB/OL]. arXiv:2604.20244v2, 2026. DOI:10.48550/arXiv.2604.20244.</w:t>
      </w:r>
    </w:p>
    <w:p>
      <w:pPr>
        <w:pStyle w:val="a8"/>
        <w:jc w:val="left"/>
        <w:ind w:firstLine="420"/>
        <w:numPr>
          <w:ilvl w:val="0"/>
          <w:numId w:val="2"/>
        </w:numPr>
      </w:pPr>
      <w:r>
        <w:t>Song M, Zheng M. A Survey of On-Policy Distillation for Large Language Models[EB/OL]. arXiv:2604.00626v4, 2026. DOI:10.48550/arXiv.2604.00626.</w:t>
      </w:r>
    </w:p>
    <w:p>
      <w:pPr>
        <w:pStyle w:val="a8"/>
        <w:jc w:val="left"/>
        <w:ind w:firstLine="420"/>
        <w:numPr>
          <w:ilvl w:val="0"/>
          <w:numId w:val="2"/>
        </w:numPr>
      </w:pPr>
      <w:r>
        <w:t>Qwen Team. Qwen3 Technical Report[EB/OL]. arXiv:2505.09388, 2025. DOI:10.48550/arXiv.2505.09388.</w:t>
      </w:r>
    </w:p>
    <w:p>
      <w:pPr>
        <w:pStyle w:val="a8"/>
        <w:jc w:val="left"/>
        <w:ind w:firstLine="420"/>
        <w:numPr>
          <w:ilvl w:val="0"/>
          <w:numId w:val="2"/>
        </w:numPr>
      </w:pPr>
      <w:r>
        <w:t>Kullback S, Leibler R A. On Information and Sufficiency[J]. The Annals of Mathematical Statistics, 1951, 22(1): 79-86. DOI:10.1214/aoms/1177729694.</w:t>
      </w:r>
    </w:p>
    <w:p>
      <w:pPr>
        <w:pStyle w:val="a8"/>
        <w:jc w:val="left"/>
        <w:ind w:firstLine="420"/>
        <w:numPr>
          <w:ilvl w:val="0"/>
          <w:numId w:val="2"/>
        </w:numPr>
      </w:pPr>
      <w:r>
        <w:t>Lin J. Divergence Measures Based on the Shannon Entropy[J]. IEEE Transactions on Information Theory, 1991, 37(1): 145-151.</w:t>
      </w:r>
    </w:p>
    <w:p>
      <w:pPr>
        <w:pStyle w:val="a8"/>
        <w:jc w:val="left"/>
        <w:ind w:firstLine="420"/>
        <w:numPr>
          <w:ilvl w:val="0"/>
          <w:numId w:val="2"/>
        </w:numPr>
      </w:pPr>
      <w:r>
        <w:t>Hu E J, Shen Y, Wallis P, et al. LoRA: Low-Rank Adaptation of Large Language Models[C]//International Conference on Learning Representations. 2022. arXiv:2106.09685.</w:t>
      </w:r>
    </w:p>
    <w:p>
      <w:pPr>
        <w:pStyle w:val="a8"/>
        <w:jc w:val="left"/>
        <w:ind w:firstLine="420"/>
        <w:numPr>
          <w:ilvl w:val="0"/>
          <w:numId w:val="2"/>
        </w:numPr>
      </w:pPr>
      <w:r>
        <w:t>Kwon W, Li Z, Zhuang S, et al. Efficient Memory Management for Large Language Model Serving with PagedAttention[C]//Proceedings of the 29th Symposium on Operating Systems Principles. ACM, 2023: 611-626. DOI:10.1145/3600006.3613165.</w:t>
      </w:r>
    </w:p>
    <w:p>
      <w:pPr>
        <w:pStyle w:val="a8"/>
        <w:jc w:val="left"/>
        <w:ind w:firstLine="420"/>
        <w:numPr>
          <w:ilvl w:val="0"/>
          <w:numId w:val="2"/>
        </w:numPr>
      </w:pPr>
      <w:r>
        <w:t>Yao S, Zhao J, Yu D, et al. ReAct: Synergizing Reasoning and Acting in Language Models[C]//International Conference on Learning Representations. 2023. arXiv:2210.03629.</w:t>
      </w:r>
    </w:p>
    <w:p>
      <w:pPr>
        <w:pStyle w:val="a8"/>
        <w:jc w:val="left"/>
        <w:ind w:firstLine="420"/>
        <w:numPr>
          <w:ilvl w:val="0"/>
          <w:numId w:val="2"/>
        </w:numPr>
      </w:pPr>
      <w:r>
        <w:t>Patil S G, Zhang T, Wang X, et al. Gorilla: Large Language Model Connected with Massive APIs[EB/OL]. arXiv:2305.15334, 2023.</w:t>
      </w:r>
    </w:p>
    <w:p>
      <w:pPr>
        <w:pStyle w:val="a8"/>
        <w:jc w:val="left"/>
        <w:ind w:firstLine="420"/>
        <w:numPr>
          <w:ilvl w:val="0"/>
          <w:numId w:val="2"/>
        </w:numPr>
      </w:pPr>
      <w:r>
        <w:t>Li M, Zhao Y, Yu B, et al. API-Bank: A Comprehensive Benchmark for Tool-Augmented LLMs[C]//Proceedings of the 2023 Conference on Empirical Methods in Natural Language Processing. ACL, 2023: 3102-3116. DOI:10.18653/v1/2023.emnlp-main.187.</w:t>
      </w:r>
    </w:p>
    <w:p>
      <w:pPr>
        <w:pStyle w:val="a8"/>
        <w:jc w:val="left"/>
        <w:ind w:firstLine="420"/>
        <w:numPr>
          <w:ilvl w:val="0"/>
          <w:numId w:val="2"/>
        </w:numPr>
      </w:pPr>
      <w:r>
        <w:t>Qin Y, Liang S, Ye Y, et al. ToolLLM: Facilitating Large Language Models to Master 16000+ Real-world APIs[EB/OL]. arXiv:2307.16789, 2023.</w:t>
      </w:r>
    </w:p>
    <w:p>
      <w:pPr>
        <w:pStyle w:val="a8"/>
        <w:jc w:val="left"/>
        <w:ind w:firstLine="420"/>
        <w:numPr>
          <w:ilvl w:val="0"/>
          <w:numId w:val="2"/>
        </w:numPr>
      </w:pPr>
      <w:r>
        <w:t>Liu Z, Hoang T, Zhang J, et al. APIGen: Automated Pipeline for Generating Verifiable and Diverse Function-Calling Datasets[C]//Advances in Neural Information Processing Systems. 2024. DOI:10.52202/079017-1725.</w:t>
      </w:r>
    </w:p>
    <w:p>
      <w:pPr>
        <w:pStyle w:val="a8"/>
        <w:jc w:val="left"/>
        <w:ind w:firstLine="420"/>
        <w:numPr>
          <w:ilvl w:val="0"/>
          <w:numId w:val="2"/>
        </w:numPr>
      </w:pPr>
      <w:r>
        <w:t>Liu W, Huang X, Zeng X, et al. ToolACE: Winning the Points of LLM Function Calling[C]//International Conference on Learning Representations. 2025. arXiv:2409.00920.</w:t>
      </w:r>
    </w:p>
    <w:p>
      <w:pPr>
        <w:pStyle w:val="a8"/>
        <w:jc w:val="left"/>
        <w:ind w:firstLine="420"/>
        <w:numPr>
          <w:ilvl w:val="0"/>
          <w:numId w:val="2"/>
        </w:numPr>
      </w:pPr>
      <w:r>
        <w:t>Patil S G, Mao H, Yan F, et al. The Berkeley Function Calling Leaderboard (BFCL): From Tool Use to Agentic Evaluation of Large Language Models[C]//Proceedings of the 42nd International Conference on Machine Learning. PMLR, 2025, 267: 48371-48392.</w:t>
      </w:r>
    </w:p>
    <w:p>
      <w:pPr>
        <w:pStyle w:val="a8"/>
        <w:jc w:val="left"/>
        <w:ind w:firstLine="420"/>
        <w:numPr>
          <w:ilvl w:val="0"/>
          <w:numId w:val="2"/>
        </w:numPr>
      </w:pPr>
      <w:r>
        <w:t>Liu X, Yu H, Zhang H, et al. AgentBench: Evaluating LLMs as Agents[C]//International Conference on Learning Representations. 2024. arXiv:2308.03688.</w:t>
      </w:r>
    </w:p>
    <w:sectPr w:rsidR="00C914EC" w:rsidRPr="00A847C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884D99" w14:textId="77777777" w:rsidR="00341B2C" w:rsidRDefault="00341B2C" w:rsidP="00737F6A">
      <w:pPr>
        <w:spacing w:line="240" w:lineRule="auto"/>
      </w:pPr>
      <w:r>
        <w:separator/>
      </w:r>
    </w:p>
  </w:endnote>
  <w:endnote w:type="continuationSeparator" w:id="0">
    <w:p w14:paraId="610E68BD" w14:textId="77777777" w:rsidR="00341B2C" w:rsidRDefault="00341B2C" w:rsidP="00737F6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TimesNewRomanPSMT">
    <w:altName w:val="Times New Roman"/>
    <w:panose1 w:val="00000000000000000000"/>
    <w:charset w:val="00"/>
    <w:family w:val="roman"/>
    <w:notTrueType/>
    <w:pitch w:val="default"/>
  </w:font>
  <w:font w:name="楷体_GB2312">
    <w:altName w:val="微软雅黑"/>
    <w:charset w:val="86"/>
    <w:family w:val="modern"/>
    <w:pitch w:val="fixed"/>
    <w:sig w:usb0="00000000" w:usb1="080E0000" w:usb2="00000010" w:usb3="00000000" w:csb0="00040000" w:csb1="00000000"/>
  </w:font>
  <w:font w:name="Roman PS">
    <w:altName w:val="Times New Roman"/>
    <w:panose1 w:val="00000000000000000000"/>
    <w:charset w:val="00"/>
    <w:family w:val="roman"/>
    <w:notTrueTyp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8E4405" w14:textId="77777777" w:rsidR="00341B2C" w:rsidRDefault="00341B2C" w:rsidP="00737F6A">
      <w:pPr>
        <w:spacing w:line="240" w:lineRule="auto"/>
      </w:pPr>
      <w:r>
        <w:separator/>
      </w:r>
    </w:p>
  </w:footnote>
  <w:footnote w:type="continuationSeparator" w:id="0">
    <w:p w14:paraId="21EB17C7" w14:textId="77777777" w:rsidR="00341B2C" w:rsidRDefault="00341B2C" w:rsidP="00737F6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62AD8"/>
    <w:multiLevelType w:val="hybridMultilevel"/>
    <w:tmpl w:val="BE5A1B14"/>
    <w:lvl w:ilvl="0" w:tplc="0409000F">
      <w:start w:val="1"/>
      <w:numFmt w:val="decimal"/>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1CB75F7"/>
    <w:multiLevelType w:val="hybridMultilevel"/>
    <w:tmpl w:val="A7BA0C28"/>
    <w:lvl w:ilvl="0" w:tplc="7A42AF48">
      <w:start w:val="1"/>
      <w:numFmt w:val="decimal"/>
      <w:lvlText w:val="图%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A9761D5"/>
    <w:multiLevelType w:val="hybridMultilevel"/>
    <w:tmpl w:val="7452CD10"/>
    <w:lvl w:ilvl="0" w:tplc="0B36638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D7C4D94"/>
    <w:multiLevelType w:val="hybridMultilevel"/>
    <w:tmpl w:val="D5D62522"/>
    <w:lvl w:ilvl="0" w:tplc="5518F35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21696281"/>
    <w:multiLevelType w:val="hybridMultilevel"/>
    <w:tmpl w:val="8B9C80AC"/>
    <w:lvl w:ilvl="0" w:tplc="7A42AF48">
      <w:start w:val="1"/>
      <w:numFmt w:val="decimal"/>
      <w:lvlText w:val="图%1"/>
      <w:lvlJc w:val="left"/>
      <w:pPr>
        <w:ind w:left="840" w:hanging="420"/>
      </w:pPr>
      <w:rPr>
        <w:rFonts w:hint="eastAsia"/>
      </w:rPr>
    </w:lvl>
    <w:lvl w:ilvl="1" w:tplc="DF2AEC06">
      <w:start w:val="1"/>
      <w:numFmt w:val="decimal"/>
      <w:lvlText w:val="%2."/>
      <w:lvlJc w:val="left"/>
      <w:pPr>
        <w:ind w:left="1200" w:hanging="360"/>
      </w:pPr>
      <w:rPr>
        <w:rFonts w:hint="default"/>
      </w:r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453F55D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15:restartNumberingAfterBreak="0">
    <w:nsid w:val="528F7678"/>
    <w:multiLevelType w:val="hybridMultilevel"/>
    <w:tmpl w:val="71F2C0A4"/>
    <w:lvl w:ilvl="0" w:tplc="7A42AF48">
      <w:start w:val="1"/>
      <w:numFmt w:val="decimal"/>
      <w:lvlText w:val="图%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59931E0F"/>
    <w:multiLevelType w:val="hybridMultilevel"/>
    <w:tmpl w:val="B650B31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5F7562B4"/>
    <w:multiLevelType w:val="hybridMultilevel"/>
    <w:tmpl w:val="E3667968"/>
    <w:lvl w:ilvl="0" w:tplc="0409000B">
      <w:start w:val="1"/>
      <w:numFmt w:val="bullet"/>
      <w:lvlText w:val=""/>
      <w:lvlJc w:val="left"/>
      <w:pPr>
        <w:ind w:left="845" w:hanging="420"/>
      </w:pPr>
      <w:rPr>
        <w:rFonts w:ascii="Wingdings" w:hAnsi="Wingdings" w:hint="default"/>
      </w:rPr>
    </w:lvl>
    <w:lvl w:ilvl="1" w:tplc="04090003" w:tentative="1">
      <w:start w:val="1"/>
      <w:numFmt w:val="bullet"/>
      <w:lvlText w:val=""/>
      <w:lvlJc w:val="left"/>
      <w:pPr>
        <w:ind w:left="1265" w:hanging="420"/>
      </w:pPr>
      <w:rPr>
        <w:rFonts w:ascii="Wingdings" w:hAnsi="Wingdings" w:hint="default"/>
      </w:rPr>
    </w:lvl>
    <w:lvl w:ilvl="2" w:tplc="04090005" w:tentative="1">
      <w:start w:val="1"/>
      <w:numFmt w:val="bullet"/>
      <w:lvlText w:val=""/>
      <w:lvlJc w:val="left"/>
      <w:pPr>
        <w:ind w:left="1685" w:hanging="420"/>
      </w:pPr>
      <w:rPr>
        <w:rFonts w:ascii="Wingdings" w:hAnsi="Wingdings" w:hint="default"/>
      </w:rPr>
    </w:lvl>
    <w:lvl w:ilvl="3" w:tplc="04090001" w:tentative="1">
      <w:start w:val="1"/>
      <w:numFmt w:val="bullet"/>
      <w:lvlText w:val=""/>
      <w:lvlJc w:val="left"/>
      <w:pPr>
        <w:ind w:left="2105" w:hanging="420"/>
      </w:pPr>
      <w:rPr>
        <w:rFonts w:ascii="Wingdings" w:hAnsi="Wingdings" w:hint="default"/>
      </w:rPr>
    </w:lvl>
    <w:lvl w:ilvl="4" w:tplc="04090003" w:tentative="1">
      <w:start w:val="1"/>
      <w:numFmt w:val="bullet"/>
      <w:lvlText w:val=""/>
      <w:lvlJc w:val="left"/>
      <w:pPr>
        <w:ind w:left="2525" w:hanging="420"/>
      </w:pPr>
      <w:rPr>
        <w:rFonts w:ascii="Wingdings" w:hAnsi="Wingdings" w:hint="default"/>
      </w:rPr>
    </w:lvl>
    <w:lvl w:ilvl="5" w:tplc="04090005" w:tentative="1">
      <w:start w:val="1"/>
      <w:numFmt w:val="bullet"/>
      <w:lvlText w:val=""/>
      <w:lvlJc w:val="left"/>
      <w:pPr>
        <w:ind w:left="2945" w:hanging="420"/>
      </w:pPr>
      <w:rPr>
        <w:rFonts w:ascii="Wingdings" w:hAnsi="Wingdings" w:hint="default"/>
      </w:rPr>
    </w:lvl>
    <w:lvl w:ilvl="6" w:tplc="04090001" w:tentative="1">
      <w:start w:val="1"/>
      <w:numFmt w:val="bullet"/>
      <w:lvlText w:val=""/>
      <w:lvlJc w:val="left"/>
      <w:pPr>
        <w:ind w:left="3365" w:hanging="420"/>
      </w:pPr>
      <w:rPr>
        <w:rFonts w:ascii="Wingdings" w:hAnsi="Wingdings" w:hint="default"/>
      </w:rPr>
    </w:lvl>
    <w:lvl w:ilvl="7" w:tplc="04090003" w:tentative="1">
      <w:start w:val="1"/>
      <w:numFmt w:val="bullet"/>
      <w:lvlText w:val=""/>
      <w:lvlJc w:val="left"/>
      <w:pPr>
        <w:ind w:left="3785" w:hanging="420"/>
      </w:pPr>
      <w:rPr>
        <w:rFonts w:ascii="Wingdings" w:hAnsi="Wingdings" w:hint="default"/>
      </w:rPr>
    </w:lvl>
    <w:lvl w:ilvl="8" w:tplc="04090005" w:tentative="1">
      <w:start w:val="1"/>
      <w:numFmt w:val="bullet"/>
      <w:lvlText w:val=""/>
      <w:lvlJc w:val="left"/>
      <w:pPr>
        <w:ind w:left="4205" w:hanging="420"/>
      </w:pPr>
      <w:rPr>
        <w:rFonts w:ascii="Wingdings" w:hAnsi="Wingdings" w:hint="default"/>
      </w:rPr>
    </w:lvl>
  </w:abstractNum>
  <w:abstractNum w:abstractNumId="9" w15:restartNumberingAfterBreak="0">
    <w:nsid w:val="69A00027"/>
    <w:multiLevelType w:val="hybridMultilevel"/>
    <w:tmpl w:val="E81657AE"/>
    <w:lvl w:ilvl="0" w:tplc="7A42AF48">
      <w:start w:val="1"/>
      <w:numFmt w:val="decimal"/>
      <w:lvlText w:val="图%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6D2E3987"/>
    <w:multiLevelType w:val="hybridMultilevel"/>
    <w:tmpl w:val="DB029048"/>
    <w:lvl w:ilvl="0" w:tplc="FFFFFFFF">
      <w:start w:val="1"/>
      <w:numFmt w:val="decimal"/>
      <w:lvlText w:val="%1."/>
      <w:lvlJc w:val="left"/>
      <w:pPr>
        <w:ind w:left="420" w:hanging="420"/>
      </w:pPr>
    </w:lvl>
    <w:lvl w:ilvl="1" w:tplc="0409000F">
      <w:start w:val="1"/>
      <w:numFmt w:val="decimal"/>
      <w:lvlText w:val="%2."/>
      <w:lvlJc w:val="left"/>
      <w:pPr>
        <w:ind w:left="42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num w:numId="1" w16cid:durableId="602034600">
    <w:abstractNumId w:val="6"/>
  </w:num>
  <w:num w:numId="2" w16cid:durableId="1510412155">
    <w:abstractNumId w:val="3"/>
  </w:num>
  <w:num w:numId="3" w16cid:durableId="464666940">
    <w:abstractNumId w:val="9"/>
  </w:num>
  <w:num w:numId="4" w16cid:durableId="1719740891">
    <w:abstractNumId w:val="1"/>
  </w:num>
  <w:num w:numId="5" w16cid:durableId="1622999934">
    <w:abstractNumId w:val="4"/>
  </w:num>
  <w:num w:numId="6" w16cid:durableId="809707024">
    <w:abstractNumId w:val="8"/>
  </w:num>
  <w:num w:numId="7" w16cid:durableId="1165708377">
    <w:abstractNumId w:val="5"/>
  </w:num>
  <w:num w:numId="8" w16cid:durableId="438764842">
    <w:abstractNumId w:val="7"/>
  </w:num>
  <w:num w:numId="9" w16cid:durableId="1159884837">
    <w:abstractNumId w:val="2"/>
  </w:num>
  <w:num w:numId="10" w16cid:durableId="716779649">
    <w:abstractNumId w:val="0"/>
  </w:num>
  <w:num w:numId="11" w16cid:durableId="6078562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47C4"/>
    <w:rsid w:val="0002402A"/>
    <w:rsid w:val="00117620"/>
    <w:rsid w:val="001E5415"/>
    <w:rsid w:val="002C591E"/>
    <w:rsid w:val="00341B2C"/>
    <w:rsid w:val="003664A6"/>
    <w:rsid w:val="003A2072"/>
    <w:rsid w:val="004F07E7"/>
    <w:rsid w:val="004F5CCA"/>
    <w:rsid w:val="00737F6A"/>
    <w:rsid w:val="007C1F51"/>
    <w:rsid w:val="00866FFA"/>
    <w:rsid w:val="00871284"/>
    <w:rsid w:val="009800B0"/>
    <w:rsid w:val="00986FB1"/>
    <w:rsid w:val="00A847C4"/>
    <w:rsid w:val="00C914EC"/>
    <w:rsid w:val="00CA7789"/>
    <w:rsid w:val="00E816A5"/>
    <w:rsid w:val="00EB066F"/>
    <w:rsid w:val="00F04C38"/>
    <w:rsid w:val="00FD19E3"/>
    <w:rsid w:val="00FF692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512DBD"/>
  <w15:chartTrackingRefBased/>
  <w15:docId w15:val="{993D8398-9085-451C-94BE-401669A87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2072"/>
    <w:pPr>
      <w:widowControl w:val="0"/>
      <w:spacing w:line="360" w:lineRule="auto"/>
      <w:jc w:val="both"/>
    </w:pPr>
    <w:rPr>
      <w:rFonts w:ascii="Times New Roman" w:eastAsia="宋体" w:hAnsi="Times New Roman" w:cs="Times New Roman"/>
      <w:sz w:val="24"/>
      <w:szCs w:val="24"/>
    </w:rPr>
  </w:style>
  <w:style w:type="paragraph" w:styleId="1">
    <w:name w:val="heading 1"/>
    <w:basedOn w:val="a"/>
    <w:next w:val="a"/>
    <w:link w:val="10"/>
    <w:uiPriority w:val="9"/>
    <w:qFormat/>
    <w:rsid w:val="00F04C38"/>
    <w:pPr>
      <w:keepNext/>
      <w:keepLines/>
      <w:spacing w:before="340" w:after="330" w:line="578" w:lineRule="auto"/>
      <w:outlineLvl w:val="0"/>
    </w:pPr>
    <w:rPr>
      <w:b/>
      <w:bCs/>
      <w:kern w:val="44"/>
      <w:sz w:val="32"/>
      <w:szCs w:val="44"/>
    </w:rPr>
  </w:style>
  <w:style w:type="paragraph" w:styleId="2">
    <w:name w:val="heading 2"/>
    <w:basedOn w:val="a"/>
    <w:next w:val="a"/>
    <w:link w:val="20"/>
    <w:uiPriority w:val="9"/>
    <w:unhideWhenUsed/>
    <w:qFormat/>
    <w:rsid w:val="00F04C38"/>
    <w:pPr>
      <w:keepNext/>
      <w:keepLines/>
      <w:spacing w:before="260" w:after="260" w:line="416" w:lineRule="auto"/>
      <w:outlineLvl w:val="1"/>
    </w:pPr>
    <w:rPr>
      <w:rFonts w:asciiTheme="majorHAnsi" w:eastAsiaTheme="majorEastAsia" w:hAnsiTheme="majorHAnsi" w:cstheme="majorBidi"/>
      <w:b/>
      <w:bCs/>
      <w:sz w:val="30"/>
      <w:szCs w:val="32"/>
    </w:rPr>
  </w:style>
  <w:style w:type="paragraph" w:styleId="3">
    <w:name w:val="heading 3"/>
    <w:basedOn w:val="a"/>
    <w:next w:val="a"/>
    <w:link w:val="30"/>
    <w:uiPriority w:val="9"/>
    <w:unhideWhenUsed/>
    <w:qFormat/>
    <w:rsid w:val="00F04C38"/>
    <w:pPr>
      <w:keepNext/>
      <w:keepLines/>
      <w:spacing w:before="260" w:after="260" w:line="416" w:lineRule="auto"/>
      <w:outlineLvl w:val="2"/>
    </w:pPr>
    <w:rPr>
      <w:b/>
      <w:bCs/>
      <w:sz w:val="28"/>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样式 (中文) 黑体 小二 居中"/>
    <w:basedOn w:val="a"/>
    <w:rsid w:val="00A847C4"/>
    <w:pPr>
      <w:snapToGrid w:val="0"/>
      <w:spacing w:before="400" w:after="200" w:line="300" w:lineRule="auto"/>
      <w:jc w:val="center"/>
    </w:pPr>
    <w:rPr>
      <w:rFonts w:eastAsia="黑体" w:cs="宋体"/>
      <w:sz w:val="36"/>
      <w:szCs w:val="20"/>
    </w:rPr>
  </w:style>
  <w:style w:type="paragraph" w:customStyle="1" w:styleId="a4">
    <w:name w:val="节"/>
    <w:basedOn w:val="a"/>
    <w:rsid w:val="00A847C4"/>
    <w:pPr>
      <w:snapToGrid w:val="0"/>
      <w:spacing w:beforeLines="50" w:afterLines="50" w:line="300" w:lineRule="auto"/>
    </w:pPr>
    <w:rPr>
      <w:rFonts w:eastAsia="黑体"/>
      <w:sz w:val="30"/>
    </w:rPr>
  </w:style>
  <w:style w:type="paragraph" w:customStyle="1" w:styleId="a5">
    <w:name w:val="条"/>
    <w:basedOn w:val="a"/>
    <w:rsid w:val="00A847C4"/>
    <w:pPr>
      <w:snapToGrid w:val="0"/>
      <w:spacing w:beforeLines="50" w:afterLines="50" w:line="300" w:lineRule="auto"/>
    </w:pPr>
    <w:rPr>
      <w:rFonts w:eastAsia="黑体"/>
      <w:sz w:val="28"/>
    </w:rPr>
  </w:style>
  <w:style w:type="paragraph" w:customStyle="1" w:styleId="a6">
    <w:name w:val="款"/>
    <w:basedOn w:val="a"/>
    <w:rsid w:val="00A847C4"/>
    <w:pPr>
      <w:snapToGrid w:val="0"/>
      <w:spacing w:line="300" w:lineRule="auto"/>
    </w:pPr>
    <w:rPr>
      <w:rFonts w:eastAsia="黑体"/>
    </w:rPr>
  </w:style>
  <w:style w:type="paragraph" w:styleId="a7">
    <w:name w:val="Normal (Web)"/>
    <w:basedOn w:val="a"/>
    <w:uiPriority w:val="99"/>
    <w:semiHidden/>
    <w:unhideWhenUsed/>
    <w:rsid w:val="00FF6926"/>
    <w:pPr>
      <w:widowControl/>
      <w:spacing w:before="100" w:beforeAutospacing="1" w:after="100" w:afterAutospacing="1"/>
      <w:jc w:val="left"/>
    </w:pPr>
    <w:rPr>
      <w:rFonts w:ascii="宋体" w:hAnsi="宋体" w:cs="宋体"/>
      <w:kern w:val="0"/>
    </w:rPr>
  </w:style>
  <w:style w:type="paragraph" w:styleId="a8">
    <w:name w:val="List Paragraph"/>
    <w:basedOn w:val="a"/>
    <w:uiPriority w:val="34"/>
    <w:qFormat/>
    <w:rsid w:val="003A2072"/>
    <w:pPr>
      <w:ind w:firstLineChars="200" w:firstLine="420"/>
    </w:pPr>
  </w:style>
  <w:style w:type="character" w:customStyle="1" w:styleId="fontstyle01">
    <w:name w:val="fontstyle01"/>
    <w:basedOn w:val="a0"/>
    <w:rsid w:val="003A2072"/>
    <w:rPr>
      <w:rFonts w:ascii="宋体" w:eastAsia="宋体" w:hAnsi="宋体" w:hint="eastAsia"/>
      <w:b w:val="0"/>
      <w:bCs w:val="0"/>
      <w:i w:val="0"/>
      <w:iCs w:val="0"/>
      <w:color w:val="000000"/>
      <w:sz w:val="24"/>
      <w:szCs w:val="24"/>
    </w:rPr>
  </w:style>
  <w:style w:type="character" w:customStyle="1" w:styleId="fontstyle21">
    <w:name w:val="fontstyle21"/>
    <w:basedOn w:val="a0"/>
    <w:rsid w:val="003A2072"/>
    <w:rPr>
      <w:rFonts w:ascii="TimesNewRomanPSMT" w:hAnsi="TimesNewRomanPSMT" w:hint="default"/>
      <w:b w:val="0"/>
      <w:bCs w:val="0"/>
      <w:i w:val="0"/>
      <w:iCs w:val="0"/>
      <w:color w:val="000000"/>
      <w:sz w:val="24"/>
      <w:szCs w:val="24"/>
    </w:rPr>
  </w:style>
  <w:style w:type="table" w:styleId="a9">
    <w:name w:val="Table Grid"/>
    <w:basedOn w:val="a1"/>
    <w:uiPriority w:val="39"/>
    <w:rsid w:val="00F04C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标题 2 字符"/>
    <w:basedOn w:val="a0"/>
    <w:link w:val="2"/>
    <w:uiPriority w:val="9"/>
    <w:rsid w:val="00F04C38"/>
    <w:rPr>
      <w:rFonts w:asciiTheme="majorHAnsi" w:eastAsiaTheme="majorEastAsia" w:hAnsiTheme="majorHAnsi" w:cstheme="majorBidi"/>
      <w:b/>
      <w:bCs/>
      <w:sz w:val="30"/>
      <w:szCs w:val="32"/>
    </w:rPr>
  </w:style>
  <w:style w:type="character" w:customStyle="1" w:styleId="10">
    <w:name w:val="标题 1 字符"/>
    <w:basedOn w:val="a0"/>
    <w:link w:val="1"/>
    <w:uiPriority w:val="9"/>
    <w:rsid w:val="00F04C38"/>
    <w:rPr>
      <w:rFonts w:ascii="Times New Roman" w:eastAsia="宋体" w:hAnsi="Times New Roman" w:cs="Times New Roman"/>
      <w:b/>
      <w:bCs/>
      <w:kern w:val="44"/>
      <w:sz w:val="32"/>
      <w:szCs w:val="44"/>
    </w:rPr>
  </w:style>
  <w:style w:type="character" w:customStyle="1" w:styleId="30">
    <w:name w:val="标题 3 字符"/>
    <w:basedOn w:val="a0"/>
    <w:link w:val="3"/>
    <w:uiPriority w:val="9"/>
    <w:rsid w:val="00F04C38"/>
    <w:rPr>
      <w:rFonts w:ascii="Times New Roman" w:eastAsia="宋体" w:hAnsi="Times New Roman" w:cs="Times New Roman"/>
      <w:b/>
      <w:bCs/>
      <w:sz w:val="28"/>
      <w:szCs w:val="32"/>
    </w:rPr>
  </w:style>
  <w:style w:type="paragraph" w:styleId="aa">
    <w:name w:val="header"/>
    <w:basedOn w:val="a"/>
    <w:link w:val="ab"/>
    <w:uiPriority w:val="99"/>
    <w:unhideWhenUsed/>
    <w:rsid w:val="00737F6A"/>
    <w:pPr>
      <w:pBdr>
        <w:bottom w:val="single" w:sz="6" w:space="1" w:color="auto"/>
      </w:pBdr>
      <w:tabs>
        <w:tab w:val="center" w:pos="4153"/>
        <w:tab w:val="right" w:pos="8306"/>
      </w:tabs>
      <w:snapToGrid w:val="0"/>
      <w:spacing w:line="240" w:lineRule="auto"/>
      <w:jc w:val="center"/>
    </w:pPr>
    <w:rPr>
      <w:sz w:val="18"/>
      <w:szCs w:val="18"/>
    </w:rPr>
  </w:style>
  <w:style w:type="character" w:customStyle="1" w:styleId="ab">
    <w:name w:val="页眉 字符"/>
    <w:basedOn w:val="a0"/>
    <w:link w:val="aa"/>
    <w:uiPriority w:val="99"/>
    <w:rsid w:val="00737F6A"/>
    <w:rPr>
      <w:rFonts w:ascii="Times New Roman" w:eastAsia="宋体" w:hAnsi="Times New Roman" w:cs="Times New Roman"/>
      <w:sz w:val="18"/>
      <w:szCs w:val="18"/>
    </w:rPr>
  </w:style>
  <w:style w:type="paragraph" w:styleId="ac">
    <w:name w:val="footer"/>
    <w:basedOn w:val="a"/>
    <w:link w:val="ad"/>
    <w:uiPriority w:val="99"/>
    <w:unhideWhenUsed/>
    <w:rsid w:val="00737F6A"/>
    <w:pPr>
      <w:tabs>
        <w:tab w:val="center" w:pos="4153"/>
        <w:tab w:val="right" w:pos="8306"/>
      </w:tabs>
      <w:snapToGrid w:val="0"/>
      <w:spacing w:line="240" w:lineRule="auto"/>
      <w:jc w:val="left"/>
    </w:pPr>
    <w:rPr>
      <w:sz w:val="18"/>
      <w:szCs w:val="18"/>
    </w:rPr>
  </w:style>
  <w:style w:type="character" w:customStyle="1" w:styleId="ad">
    <w:name w:val="页脚 字符"/>
    <w:basedOn w:val="a0"/>
    <w:link w:val="ac"/>
    <w:uiPriority w:val="99"/>
    <w:rsid w:val="00737F6A"/>
    <w:rPr>
      <w:rFonts w:ascii="Times New Roman" w:eastAsia="宋体"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10405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4559</TotalTime>
  <Pages>9</Pages>
  <Words>735</Words>
  <Characters>4192</Characters>
  <Application>Microsoft Office Word</Application>
  <DocSecurity>0</DocSecurity>
  <Lines>34</Lines>
  <Paragraphs>9</Paragraphs>
  <ScaleCrop>false</ScaleCrop>
  <Company/>
  <LinksUpToDate>false</LinksUpToDate>
  <CharactersWithSpaces>4918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董 睿璞</dc:creator>
  <cp:keywords/>
  <dc:description/>
  <cp:lastModifiedBy>Hu Mengkang</cp:lastModifiedBy>
  <cp:revision>8</cp:revision>
  <dcterms:created xsi:type="dcterms:W3CDTF">2022-10-09T10:38:00Z</dcterms:created>
  <dcterms:modified xsi:type="dcterms:W3CDTF">2022-10-24T07:37:00Z</dcterms:modified>
</cp:coreProperties>
</file>