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ACA72">
      <w:pPr>
        <w:spacing w:before="78" w:after="78"/>
        <w:jc w:val="both"/>
        <w:rPr>
          <w:rFonts w:eastAsia="楷体_GB2312"/>
          <w:b/>
          <w:spacing w:val="40"/>
          <w:sz w:val="36"/>
        </w:rPr>
      </w:pPr>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lang w:val="en-US" w:eastAsia="zh-CN"/>
        </w:rPr>
        <w:t>计算机科学与技术</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lang w:val="en-US" w:eastAsia="zh-CN"/>
        </w:rPr>
        <w:t>张子琦</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Pr>
          <w:rFonts w:hint="eastAsia"/>
          <w:b/>
          <w:sz w:val="32"/>
          <w:u w:val="single"/>
          <w:lang w:val="en-US" w:eastAsia="zh-CN"/>
        </w:rPr>
        <w:t xml:space="preserve">   2023110966 </w:t>
      </w:r>
      <w:r>
        <w:rPr>
          <w:b/>
          <w:sz w:val="32"/>
          <w:u w:val="single"/>
        </w:rPr>
        <w:t xml:space="preserve"> </w:t>
      </w:r>
      <w:r>
        <w:rPr>
          <w:rFonts w:hint="eastAsia"/>
          <w:b/>
          <w:sz w:val="32"/>
          <w:u w:val="single"/>
          <w:lang w:val="en-US" w:eastAsia="zh-CN"/>
        </w:rPr>
        <w:t xml:space="preserve"> </w:t>
      </w:r>
      <w:r>
        <w:rPr>
          <w:b/>
          <w:sz w:val="32"/>
          <w:u w:val="single"/>
        </w:rPr>
        <w:t xml:space="preserve">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lang w:val="en-US" w:eastAsia="zh-CN"/>
        </w:rPr>
        <w:t xml:space="preserve"> </w:t>
      </w:r>
      <w:r>
        <w:rPr>
          <w:b/>
          <w:sz w:val="32"/>
          <w:u w:val="single"/>
        </w:rPr>
        <w:t xml:space="preserve">  </w:t>
      </w:r>
      <w:r>
        <w:rPr>
          <w:rFonts w:hint="eastAsia"/>
          <w:b/>
          <w:sz w:val="32"/>
          <w:u w:val="single"/>
          <w:lang w:val="en-US" w:eastAsia="zh-CN"/>
        </w:rPr>
        <w:t>徐冰</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Pr>
          <w:rFonts w:hint="eastAsia"/>
          <w:b/>
          <w:sz w:val="32"/>
          <w:u w:val="single"/>
          <w:lang w:val="en-US" w:eastAsia="zh-CN"/>
        </w:rPr>
        <w:t>2026/9/25</w:t>
      </w:r>
      <w:r>
        <w:rPr>
          <w:b/>
          <w:sz w:val="32"/>
          <w:u w:val="single"/>
        </w:rPr>
        <w:t xml:space="preserve">     </w:t>
      </w:r>
    </w:p>
    <w:p w14:paraId="72043E55">
      <w:pPr>
        <w:sectPr>
          <w:pgSz w:w="11906" w:h="16838"/>
          <w:pgMar w:top="1440" w:right="1800" w:bottom="1440" w:left="1800" w:header="851" w:footer="992" w:gutter="0"/>
          <w:cols w:space="425" w:num="1"/>
          <w:docGrid w:type="lines" w:linePitch="312" w:charSpace="0"/>
        </w:sectPr>
      </w:pPr>
    </w:p>
    <w:p w14:paraId="68E0725A">
      <w:pPr>
        <w:spacing w:after="160" w:line="240" w:lineRule="auto"/>
        <w:jc w:val="center"/>
      </w:pPr>
      <w:r>
        <w:rPr>
          <w:rFonts w:ascii="Times New Roman" w:hAnsi="Times New Roman" w:eastAsia="Heiti SC"/>
          <w:b/>
          <w:sz w:val="32"/>
        </w:rPr>
        <w:t>目  录</w:t>
      </w:r>
    </w:p>
    <w:p w14:paraId="3750A803">
      <w:pPr>
        <w:pStyle w:val="7"/>
        <w:tabs>
          <w:tab w:val="right" w:leader="dot" w:pos="8306"/>
        </w:tabs>
      </w:pPr>
      <w:r>
        <w:fldChar w:fldCharType="begin"/>
      </w:r>
      <w:r>
        <w:instrText xml:space="preserve"> TOC \o "1-2" \h \z \u </w:instrText>
      </w:r>
      <w:r>
        <w:fldChar w:fldCharType="separate"/>
      </w:r>
      <w:r>
        <w:fldChar w:fldCharType="begin"/>
      </w:r>
      <w:r>
        <w:instrText xml:space="preserve"> HYPERLINK \l _Toc1298162467 </w:instrText>
      </w:r>
      <w:r>
        <w:fldChar w:fldCharType="separate"/>
      </w:r>
      <w:r>
        <w:rPr>
          <w:rFonts w:ascii="黑体" w:hAnsi="黑体" w:eastAsia="黑体" w:cs="黑体"/>
        </w:rPr>
        <w:t>1．课题来源及研究的目的和意义</w:t>
      </w:r>
      <w:r>
        <w:tab/>
      </w:r>
      <w:r>
        <w:fldChar w:fldCharType="begin"/>
      </w:r>
      <w:r>
        <w:instrText xml:space="preserve"> PAGEREF _Toc1298162467 \h </w:instrText>
      </w:r>
      <w:r>
        <w:fldChar w:fldCharType="separate"/>
      </w:r>
      <w:r>
        <w:t>3</w:t>
      </w:r>
      <w:r>
        <w:fldChar w:fldCharType="end"/>
      </w:r>
      <w:r>
        <w:fldChar w:fldCharType="end"/>
      </w:r>
    </w:p>
    <w:p w14:paraId="5029DCF4">
      <w:pPr>
        <w:pStyle w:val="8"/>
        <w:tabs>
          <w:tab w:val="right" w:leader="dot" w:pos="8306"/>
        </w:tabs>
      </w:pPr>
      <w:r>
        <w:fldChar w:fldCharType="begin"/>
      </w:r>
      <w:r>
        <w:instrText xml:space="preserve"> HYPERLINK \l _Toc1930212996 </w:instrText>
      </w:r>
      <w:r>
        <w:fldChar w:fldCharType="separate"/>
      </w:r>
      <w:r>
        <w:rPr>
          <w:rFonts w:ascii="黑体" w:hAnsi="黑体" w:eastAsia="黑体" w:cs="黑体"/>
        </w:rPr>
        <w:t>1.1 课题来源</w:t>
      </w:r>
      <w:r>
        <w:tab/>
      </w:r>
      <w:r>
        <w:fldChar w:fldCharType="begin"/>
      </w:r>
      <w:r>
        <w:instrText xml:space="preserve"> PAGEREF _Toc1930212996 \h </w:instrText>
      </w:r>
      <w:r>
        <w:fldChar w:fldCharType="separate"/>
      </w:r>
      <w:r>
        <w:t>3</w:t>
      </w:r>
      <w:r>
        <w:fldChar w:fldCharType="end"/>
      </w:r>
      <w:r>
        <w:fldChar w:fldCharType="end"/>
      </w:r>
    </w:p>
    <w:p w14:paraId="3A043F7F">
      <w:pPr>
        <w:pStyle w:val="8"/>
        <w:tabs>
          <w:tab w:val="right" w:leader="dot" w:pos="8306"/>
        </w:tabs>
      </w:pPr>
      <w:r>
        <w:fldChar w:fldCharType="begin"/>
      </w:r>
      <w:r>
        <w:instrText xml:space="preserve"> HYPERLINK \l _Toc1201852190 </w:instrText>
      </w:r>
      <w:r>
        <w:fldChar w:fldCharType="separate"/>
      </w:r>
      <w:r>
        <w:rPr>
          <w:rFonts w:ascii="黑体" w:hAnsi="黑体" w:eastAsia="黑体" w:cs="黑体"/>
        </w:rPr>
        <w:t>1.2 研究背景</w:t>
      </w:r>
      <w:r>
        <w:tab/>
      </w:r>
      <w:r>
        <w:fldChar w:fldCharType="begin"/>
      </w:r>
      <w:r>
        <w:instrText xml:space="preserve"> PAGEREF _Toc1201852190 \h </w:instrText>
      </w:r>
      <w:r>
        <w:fldChar w:fldCharType="separate"/>
      </w:r>
      <w:r>
        <w:t>3</w:t>
      </w:r>
      <w:r>
        <w:fldChar w:fldCharType="end"/>
      </w:r>
      <w:r>
        <w:fldChar w:fldCharType="end"/>
      </w:r>
    </w:p>
    <w:p w14:paraId="780D083D">
      <w:pPr>
        <w:pStyle w:val="8"/>
        <w:tabs>
          <w:tab w:val="right" w:leader="dot" w:pos="8306"/>
        </w:tabs>
      </w:pPr>
      <w:r>
        <w:fldChar w:fldCharType="begin"/>
      </w:r>
      <w:r>
        <w:instrText xml:space="preserve"> HYPERLINK \l _Toc298573648 </w:instrText>
      </w:r>
      <w:r>
        <w:fldChar w:fldCharType="separate"/>
      </w:r>
      <w:r>
        <w:rPr>
          <w:rFonts w:ascii="黑体" w:hAnsi="黑体" w:eastAsia="黑体" w:cs="黑体"/>
        </w:rPr>
        <w:t>1.3 研究目的和意义</w:t>
      </w:r>
      <w:r>
        <w:tab/>
      </w:r>
      <w:r>
        <w:fldChar w:fldCharType="begin"/>
      </w:r>
      <w:r>
        <w:instrText xml:space="preserve"> PAGEREF _Toc298573648 \h </w:instrText>
      </w:r>
      <w:r>
        <w:fldChar w:fldCharType="separate"/>
      </w:r>
      <w:r>
        <w:t>4</w:t>
      </w:r>
      <w:r>
        <w:fldChar w:fldCharType="end"/>
      </w:r>
      <w:r>
        <w:fldChar w:fldCharType="end"/>
      </w:r>
    </w:p>
    <w:p w14:paraId="355112AD">
      <w:pPr>
        <w:pStyle w:val="7"/>
        <w:tabs>
          <w:tab w:val="right" w:leader="dot" w:pos="8306"/>
        </w:tabs>
      </w:pPr>
      <w:r>
        <w:fldChar w:fldCharType="begin"/>
      </w:r>
      <w:r>
        <w:instrText xml:space="preserve"> HYPERLINK \l _Toc1605502544 </w:instrText>
      </w:r>
      <w:r>
        <w:fldChar w:fldCharType="separate"/>
      </w:r>
      <w:r>
        <w:rPr>
          <w:rFonts w:ascii="黑体" w:hAnsi="黑体" w:eastAsia="黑体" w:cs="黑体"/>
        </w:rPr>
        <w:t>2．国内外在该方向的研究现状及分析</w:t>
      </w:r>
      <w:r>
        <w:tab/>
      </w:r>
      <w:r>
        <w:fldChar w:fldCharType="begin"/>
      </w:r>
      <w:r>
        <w:instrText xml:space="preserve"> PAGEREF _Toc1605502544 \h </w:instrText>
      </w:r>
      <w:r>
        <w:fldChar w:fldCharType="separate"/>
      </w:r>
      <w:r>
        <w:t>4</w:t>
      </w:r>
      <w:r>
        <w:fldChar w:fldCharType="end"/>
      </w:r>
      <w:r>
        <w:fldChar w:fldCharType="end"/>
      </w:r>
    </w:p>
    <w:p w14:paraId="7C9E9F61">
      <w:pPr>
        <w:pStyle w:val="8"/>
        <w:tabs>
          <w:tab w:val="right" w:leader="dot" w:pos="8306"/>
        </w:tabs>
      </w:pPr>
      <w:r>
        <w:fldChar w:fldCharType="begin"/>
      </w:r>
      <w:r>
        <w:instrText xml:space="preserve"> HYPERLINK \l _Toc549232453 </w:instrText>
      </w:r>
      <w:r>
        <w:fldChar w:fldCharType="separate"/>
      </w:r>
      <w:r>
        <w:rPr>
          <w:rFonts w:ascii="黑体" w:hAnsi="黑体" w:eastAsia="黑体" w:cs="黑体"/>
        </w:rPr>
        <w:t>2.1 大语言模型后训练和知识蒸馏</w:t>
      </w:r>
      <w:r>
        <w:tab/>
      </w:r>
      <w:r>
        <w:fldChar w:fldCharType="begin"/>
      </w:r>
      <w:r>
        <w:instrText xml:space="preserve"> PAGEREF _Toc549232453 \h </w:instrText>
      </w:r>
      <w:r>
        <w:fldChar w:fldCharType="separate"/>
      </w:r>
      <w:r>
        <w:t>4</w:t>
      </w:r>
      <w:r>
        <w:fldChar w:fldCharType="end"/>
      </w:r>
      <w:r>
        <w:fldChar w:fldCharType="end"/>
      </w:r>
    </w:p>
    <w:p w14:paraId="10FE873B">
      <w:pPr>
        <w:pStyle w:val="8"/>
        <w:tabs>
          <w:tab w:val="right" w:leader="dot" w:pos="8306"/>
        </w:tabs>
      </w:pPr>
      <w:r>
        <w:fldChar w:fldCharType="begin"/>
      </w:r>
      <w:r>
        <w:instrText xml:space="preserve"> HYPERLINK \l _Toc1065122765 </w:instrText>
      </w:r>
      <w:r>
        <w:fldChar w:fldCharType="separate"/>
      </w:r>
      <w:r>
        <w:rPr>
          <w:rFonts w:ascii="黑体" w:hAnsi="黑体" w:eastAsia="黑体" w:cs="黑体"/>
        </w:rPr>
        <w:t>2.2 分布偏移与在线策略蒸馏</w:t>
      </w:r>
      <w:r>
        <w:tab/>
      </w:r>
      <w:r>
        <w:fldChar w:fldCharType="begin"/>
      </w:r>
      <w:r>
        <w:instrText xml:space="preserve"> PAGEREF _Toc1065122765 \h </w:instrText>
      </w:r>
      <w:r>
        <w:fldChar w:fldCharType="separate"/>
      </w:r>
      <w:r>
        <w:t>6</w:t>
      </w:r>
      <w:r>
        <w:fldChar w:fldCharType="end"/>
      </w:r>
      <w:r>
        <w:fldChar w:fldCharType="end"/>
      </w:r>
    </w:p>
    <w:p w14:paraId="30C86F98">
      <w:pPr>
        <w:pStyle w:val="8"/>
        <w:tabs>
          <w:tab w:val="right" w:leader="dot" w:pos="8306"/>
        </w:tabs>
      </w:pPr>
      <w:r>
        <w:fldChar w:fldCharType="begin"/>
      </w:r>
      <w:r>
        <w:instrText xml:space="preserve"> HYPERLINK \l _Toc94629963 </w:instrText>
      </w:r>
      <w:r>
        <w:fldChar w:fldCharType="separate"/>
      </w:r>
      <w:r>
        <w:rPr>
          <w:rFonts w:ascii="黑体" w:hAnsi="黑体" w:eastAsia="黑体" w:cs="黑体"/>
        </w:rPr>
        <w:t>2.3 KL 散度方向与广义散度</w:t>
      </w:r>
      <w:r>
        <w:tab/>
      </w:r>
      <w:r>
        <w:fldChar w:fldCharType="begin"/>
      </w:r>
      <w:r>
        <w:instrText xml:space="preserve"> PAGEREF _Toc94629963 \h </w:instrText>
      </w:r>
      <w:r>
        <w:fldChar w:fldCharType="separate"/>
      </w:r>
      <w:r>
        <w:t>7</w:t>
      </w:r>
      <w:r>
        <w:fldChar w:fldCharType="end"/>
      </w:r>
      <w:r>
        <w:fldChar w:fldCharType="end"/>
      </w:r>
    </w:p>
    <w:p w14:paraId="4F0405AD">
      <w:pPr>
        <w:pStyle w:val="8"/>
        <w:tabs>
          <w:tab w:val="right" w:leader="dot" w:pos="8306"/>
        </w:tabs>
      </w:pPr>
      <w:r>
        <w:fldChar w:fldCharType="begin"/>
      </w:r>
      <w:r>
        <w:instrText xml:space="preserve"> HYPERLINK \l _Toc1307889361 </w:instrText>
      </w:r>
      <w:r>
        <w:fldChar w:fldCharType="separate"/>
      </w:r>
      <w:r>
        <w:rPr>
          <w:rFonts w:ascii="黑体" w:hAnsi="黑体" w:eastAsia="黑体" w:cs="黑体"/>
        </w:rPr>
        <w:t>2.4 监督信息粒度与资源效率</w:t>
      </w:r>
      <w:r>
        <w:tab/>
      </w:r>
      <w:r>
        <w:fldChar w:fldCharType="begin"/>
      </w:r>
      <w:r>
        <w:instrText xml:space="preserve"> PAGEREF _Toc1307889361 \h </w:instrText>
      </w:r>
      <w:r>
        <w:fldChar w:fldCharType="separate"/>
      </w:r>
      <w:r>
        <w:t>9</w:t>
      </w:r>
      <w:r>
        <w:fldChar w:fldCharType="end"/>
      </w:r>
      <w:r>
        <w:fldChar w:fldCharType="end"/>
      </w:r>
    </w:p>
    <w:p w14:paraId="3A8E76BA">
      <w:pPr>
        <w:pStyle w:val="8"/>
        <w:tabs>
          <w:tab w:val="right" w:leader="dot" w:pos="8306"/>
        </w:tabs>
      </w:pPr>
      <w:bookmarkStart w:id="44" w:name="_GoBack"/>
      <w:r>
        <w:fldChar w:fldCharType="begin"/>
      </w:r>
      <w:r>
        <w:instrText xml:space="preserve"> HYPERLINK \l _Toc53879635 </w:instrText>
      </w:r>
      <w:r>
        <w:fldChar w:fldCharType="separate"/>
      </w:r>
      <w:r>
        <w:rPr>
          <w:rFonts w:ascii="黑体" w:hAnsi="黑体" w:eastAsia="黑体" w:cs="黑体"/>
        </w:rPr>
        <w:t>2.5 Function Calling 数据与评测研究</w:t>
      </w:r>
      <w:r>
        <w:tab/>
      </w:r>
      <w:r>
        <w:fldChar w:fldCharType="begin"/>
      </w:r>
      <w:r>
        <w:instrText xml:space="preserve"> PAGEREF _Toc53879635 \h </w:instrText>
      </w:r>
      <w:r>
        <w:fldChar w:fldCharType="separate"/>
      </w:r>
      <w:r>
        <w:t>9</w:t>
      </w:r>
      <w:r>
        <w:fldChar w:fldCharType="end"/>
      </w:r>
      <w:r>
        <w:fldChar w:fldCharType="end"/>
      </w:r>
    </w:p>
    <w:bookmarkEnd w:id="44"/>
    <w:p w14:paraId="7D2E781D">
      <w:pPr>
        <w:pStyle w:val="8"/>
        <w:tabs>
          <w:tab w:val="right" w:leader="dot" w:pos="8306"/>
        </w:tabs>
      </w:pPr>
      <w:r>
        <w:fldChar w:fldCharType="begin"/>
      </w:r>
      <w:r>
        <w:instrText xml:space="preserve"> HYPERLINK \l _Toc1464410058 </w:instrText>
      </w:r>
      <w:r>
        <w:fldChar w:fldCharType="separate"/>
      </w:r>
      <w:r>
        <w:rPr>
          <w:rFonts w:ascii="黑体" w:hAnsi="黑体" w:eastAsia="黑体" w:cs="黑体"/>
        </w:rPr>
        <w:t>2.6 现有方法的问题与本文的研究切入点</w:t>
      </w:r>
      <w:r>
        <w:tab/>
      </w:r>
      <w:r>
        <w:fldChar w:fldCharType="begin"/>
      </w:r>
      <w:r>
        <w:instrText xml:space="preserve"> PAGEREF _Toc1464410058 \h </w:instrText>
      </w:r>
      <w:r>
        <w:fldChar w:fldCharType="separate"/>
      </w:r>
      <w:r>
        <w:t>11</w:t>
      </w:r>
      <w:r>
        <w:fldChar w:fldCharType="end"/>
      </w:r>
      <w:r>
        <w:fldChar w:fldCharType="end"/>
      </w:r>
    </w:p>
    <w:p w14:paraId="62F40714">
      <w:pPr>
        <w:pStyle w:val="7"/>
        <w:tabs>
          <w:tab w:val="right" w:leader="dot" w:pos="8306"/>
        </w:tabs>
      </w:pPr>
      <w:r>
        <w:fldChar w:fldCharType="begin"/>
      </w:r>
      <w:r>
        <w:instrText xml:space="preserve"> HYPERLINK \l _Toc29766539 </w:instrText>
      </w:r>
      <w:r>
        <w:fldChar w:fldCharType="separate"/>
      </w:r>
      <w:r>
        <w:rPr>
          <w:rFonts w:ascii="黑体" w:hAnsi="黑体" w:eastAsia="黑体" w:cs="黑体"/>
        </w:rPr>
        <w:t>3．主要研究内容</w:t>
      </w:r>
      <w:r>
        <w:tab/>
      </w:r>
      <w:r>
        <w:fldChar w:fldCharType="begin"/>
      </w:r>
      <w:r>
        <w:instrText xml:space="preserve"> PAGEREF _Toc29766539 \h </w:instrText>
      </w:r>
      <w:r>
        <w:fldChar w:fldCharType="separate"/>
      </w:r>
      <w:r>
        <w:t>12</w:t>
      </w:r>
      <w:r>
        <w:fldChar w:fldCharType="end"/>
      </w:r>
      <w:r>
        <w:fldChar w:fldCharType="end"/>
      </w:r>
    </w:p>
    <w:p w14:paraId="3B86A809">
      <w:pPr>
        <w:pStyle w:val="8"/>
        <w:tabs>
          <w:tab w:val="right" w:leader="dot" w:pos="8306"/>
        </w:tabs>
      </w:pPr>
      <w:r>
        <w:fldChar w:fldCharType="begin"/>
      </w:r>
      <w:r>
        <w:instrText xml:space="preserve"> HYPERLINK \l _Toc2070014869 </w:instrText>
      </w:r>
      <w:r>
        <w:fldChar w:fldCharType="separate"/>
      </w:r>
      <w:r>
        <w:rPr>
          <w:rFonts w:ascii="黑体" w:hAnsi="黑体" w:eastAsia="黑体" w:cs="黑体"/>
        </w:rPr>
        <w:t>3.1 研究问题概述</w:t>
      </w:r>
      <w:r>
        <w:tab/>
      </w:r>
      <w:r>
        <w:fldChar w:fldCharType="begin"/>
      </w:r>
      <w:r>
        <w:instrText xml:space="preserve"> PAGEREF _Toc2070014869 \h </w:instrText>
      </w:r>
      <w:r>
        <w:fldChar w:fldCharType="separate"/>
      </w:r>
      <w:r>
        <w:t>12</w:t>
      </w:r>
      <w:r>
        <w:fldChar w:fldCharType="end"/>
      </w:r>
      <w:r>
        <w:fldChar w:fldCharType="end"/>
      </w:r>
    </w:p>
    <w:p w14:paraId="4061DC3D">
      <w:pPr>
        <w:pStyle w:val="8"/>
        <w:tabs>
          <w:tab w:val="right" w:leader="dot" w:pos="8306"/>
        </w:tabs>
      </w:pPr>
      <w:r>
        <w:fldChar w:fldCharType="begin"/>
      </w:r>
      <w:r>
        <w:instrText xml:space="preserve"> HYPERLINK \l _Toc1504821883 </w:instrText>
      </w:r>
      <w:r>
        <w:fldChar w:fldCharType="separate"/>
      </w:r>
      <w:r>
        <w:rPr>
          <w:rFonts w:ascii="黑体" w:hAnsi="黑体" w:eastAsia="黑体" w:cs="黑体"/>
        </w:rPr>
        <w:t>3.2 学生状态分布上的有效教师监督</w:t>
      </w:r>
      <w:r>
        <w:tab/>
      </w:r>
      <w:r>
        <w:fldChar w:fldCharType="begin"/>
      </w:r>
      <w:r>
        <w:instrText xml:space="preserve"> PAGEREF _Toc1504821883 \h </w:instrText>
      </w:r>
      <w:r>
        <w:fldChar w:fldCharType="separate"/>
      </w:r>
      <w:r>
        <w:t>12</w:t>
      </w:r>
      <w:r>
        <w:fldChar w:fldCharType="end"/>
      </w:r>
      <w:r>
        <w:fldChar w:fldCharType="end"/>
      </w:r>
    </w:p>
    <w:p w14:paraId="3437760D">
      <w:pPr>
        <w:pStyle w:val="8"/>
        <w:tabs>
          <w:tab w:val="right" w:leader="dot" w:pos="8306"/>
        </w:tabs>
      </w:pPr>
      <w:r>
        <w:fldChar w:fldCharType="begin"/>
      </w:r>
      <w:r>
        <w:instrText xml:space="preserve"> HYPERLINK \l _Toc626476862 </w:instrText>
      </w:r>
      <w:r>
        <w:fldChar w:fldCharType="separate"/>
      </w:r>
      <w:r>
        <w:rPr>
          <w:rFonts w:ascii="黑体" w:hAnsi="黑体" w:eastAsia="黑体" w:cs="黑体"/>
        </w:rPr>
        <w:t>3.3 不同散度目标的优化偏好</w:t>
      </w:r>
      <w:r>
        <w:tab/>
      </w:r>
      <w:r>
        <w:fldChar w:fldCharType="begin"/>
      </w:r>
      <w:r>
        <w:instrText xml:space="preserve"> PAGEREF _Toc626476862 \h </w:instrText>
      </w:r>
      <w:r>
        <w:fldChar w:fldCharType="separate"/>
      </w:r>
      <w:r>
        <w:t>12</w:t>
      </w:r>
      <w:r>
        <w:fldChar w:fldCharType="end"/>
      </w:r>
      <w:r>
        <w:fldChar w:fldCharType="end"/>
      </w:r>
    </w:p>
    <w:p w14:paraId="31B30951">
      <w:pPr>
        <w:pStyle w:val="8"/>
        <w:tabs>
          <w:tab w:val="right" w:leader="dot" w:pos="8306"/>
        </w:tabs>
      </w:pPr>
      <w:r>
        <w:fldChar w:fldCharType="begin"/>
      </w:r>
      <w:r>
        <w:instrText xml:space="preserve"> HYPERLINK \l _Toc84298393 </w:instrText>
      </w:r>
      <w:r>
        <w:fldChar w:fldCharType="separate"/>
      </w:r>
      <w:r>
        <w:rPr>
          <w:rFonts w:ascii="黑体" w:hAnsi="黑体" w:eastAsia="黑体" w:cs="黑体"/>
        </w:rPr>
        <w:t>3.4 监督信息粒度与资源效率</w:t>
      </w:r>
      <w:r>
        <w:tab/>
      </w:r>
      <w:r>
        <w:fldChar w:fldCharType="begin"/>
      </w:r>
      <w:r>
        <w:instrText xml:space="preserve"> PAGEREF _Toc84298393 \h </w:instrText>
      </w:r>
      <w:r>
        <w:fldChar w:fldCharType="separate"/>
      </w:r>
      <w:r>
        <w:t>13</w:t>
      </w:r>
      <w:r>
        <w:fldChar w:fldCharType="end"/>
      </w:r>
      <w:r>
        <w:fldChar w:fldCharType="end"/>
      </w:r>
    </w:p>
    <w:p w14:paraId="3EA26BD5">
      <w:pPr>
        <w:pStyle w:val="8"/>
        <w:tabs>
          <w:tab w:val="right" w:leader="dot" w:pos="8306"/>
        </w:tabs>
      </w:pPr>
      <w:r>
        <w:fldChar w:fldCharType="begin"/>
      </w:r>
      <w:r>
        <w:instrText xml:space="preserve"> HYPERLINK \l _Toc1611367778 </w:instrText>
      </w:r>
      <w:r>
        <w:fldChar w:fldCharType="separate"/>
      </w:r>
      <w:r>
        <w:rPr>
          <w:rFonts w:ascii="黑体" w:hAnsi="黑体" w:eastAsia="黑体" w:cs="黑体"/>
        </w:rPr>
        <w:t>3.5 三个研究问题之间的关系</w:t>
      </w:r>
      <w:r>
        <w:tab/>
      </w:r>
      <w:r>
        <w:fldChar w:fldCharType="begin"/>
      </w:r>
      <w:r>
        <w:instrText xml:space="preserve"> PAGEREF _Toc1611367778 \h </w:instrText>
      </w:r>
      <w:r>
        <w:fldChar w:fldCharType="separate"/>
      </w:r>
      <w:r>
        <w:t>13</w:t>
      </w:r>
      <w:r>
        <w:fldChar w:fldCharType="end"/>
      </w:r>
      <w:r>
        <w:fldChar w:fldCharType="end"/>
      </w:r>
    </w:p>
    <w:p w14:paraId="5C5C2153">
      <w:pPr>
        <w:pStyle w:val="7"/>
        <w:tabs>
          <w:tab w:val="right" w:leader="dot" w:pos="8306"/>
        </w:tabs>
      </w:pPr>
      <w:r>
        <w:fldChar w:fldCharType="begin"/>
      </w:r>
      <w:r>
        <w:instrText xml:space="preserve"> HYPERLINK \l _Toc341972529 </w:instrText>
      </w:r>
      <w:r>
        <w:fldChar w:fldCharType="separate"/>
      </w:r>
      <w:r>
        <w:rPr>
          <w:rFonts w:ascii="黑体" w:hAnsi="黑体" w:eastAsia="黑体" w:cs="黑体"/>
        </w:rPr>
        <w:t>4．研究方案</w:t>
      </w:r>
      <w:r>
        <w:tab/>
      </w:r>
      <w:r>
        <w:fldChar w:fldCharType="begin"/>
      </w:r>
      <w:r>
        <w:instrText xml:space="preserve"> PAGEREF _Toc341972529 \h </w:instrText>
      </w:r>
      <w:r>
        <w:fldChar w:fldCharType="separate"/>
      </w:r>
      <w:r>
        <w:t>13</w:t>
      </w:r>
      <w:r>
        <w:fldChar w:fldCharType="end"/>
      </w:r>
      <w:r>
        <w:fldChar w:fldCharType="end"/>
      </w:r>
    </w:p>
    <w:p w14:paraId="21B6C2DB">
      <w:pPr>
        <w:pStyle w:val="8"/>
        <w:tabs>
          <w:tab w:val="right" w:leader="dot" w:pos="8306"/>
        </w:tabs>
      </w:pPr>
      <w:r>
        <w:fldChar w:fldCharType="begin"/>
      </w:r>
      <w:r>
        <w:instrText xml:space="preserve"> HYPERLINK \l _Toc866055531 </w:instrText>
      </w:r>
      <w:r>
        <w:fldChar w:fldCharType="separate"/>
      </w:r>
      <w:r>
        <w:rPr>
          <w:rFonts w:ascii="黑体" w:hAnsi="黑体" w:eastAsia="黑体" w:cs="黑体"/>
        </w:rPr>
        <w:t>4.1 总体技术路线</w:t>
      </w:r>
      <w:r>
        <w:tab/>
      </w:r>
      <w:r>
        <w:fldChar w:fldCharType="begin"/>
      </w:r>
      <w:r>
        <w:instrText xml:space="preserve"> PAGEREF _Toc866055531 \h </w:instrText>
      </w:r>
      <w:r>
        <w:fldChar w:fldCharType="separate"/>
      </w:r>
      <w:r>
        <w:t>13</w:t>
      </w:r>
      <w:r>
        <w:fldChar w:fldCharType="end"/>
      </w:r>
      <w:r>
        <w:fldChar w:fldCharType="end"/>
      </w:r>
    </w:p>
    <w:p w14:paraId="45C89C20">
      <w:pPr>
        <w:pStyle w:val="8"/>
        <w:tabs>
          <w:tab w:val="right" w:leader="dot" w:pos="8306"/>
        </w:tabs>
      </w:pPr>
      <w:r>
        <w:fldChar w:fldCharType="begin"/>
      </w:r>
      <w:r>
        <w:instrText xml:space="preserve"> HYPERLINK \l _Toc151150151 </w:instrText>
      </w:r>
      <w:r>
        <w:fldChar w:fldCharType="separate"/>
      </w:r>
      <w:r>
        <w:rPr>
          <w:rFonts w:ascii="黑体" w:hAnsi="黑体" w:eastAsia="黑体" w:cs="黑体"/>
        </w:rPr>
        <w:t>4.2 模型和数据准备</w:t>
      </w:r>
      <w:r>
        <w:tab/>
      </w:r>
      <w:r>
        <w:fldChar w:fldCharType="begin"/>
      </w:r>
      <w:r>
        <w:instrText xml:space="preserve"> PAGEREF _Toc151150151 \h </w:instrText>
      </w:r>
      <w:r>
        <w:fldChar w:fldCharType="separate"/>
      </w:r>
      <w:r>
        <w:t>14</w:t>
      </w:r>
      <w:r>
        <w:fldChar w:fldCharType="end"/>
      </w:r>
      <w:r>
        <w:fldChar w:fldCharType="end"/>
      </w:r>
    </w:p>
    <w:p w14:paraId="0A64B66B">
      <w:pPr>
        <w:pStyle w:val="8"/>
        <w:tabs>
          <w:tab w:val="right" w:leader="dot" w:pos="8306"/>
        </w:tabs>
      </w:pPr>
      <w:r>
        <w:fldChar w:fldCharType="begin"/>
      </w:r>
      <w:r>
        <w:instrText xml:space="preserve"> HYPERLINK \l _Toc2054917103 </w:instrText>
      </w:r>
      <w:r>
        <w:fldChar w:fldCharType="separate"/>
      </w:r>
      <w:r>
        <w:rPr>
          <w:rFonts w:ascii="黑体" w:hAnsi="黑体" w:eastAsia="黑体" w:cs="黑体"/>
        </w:rPr>
        <w:t>4.3 学生 rollout 和教师反馈</w:t>
      </w:r>
      <w:r>
        <w:tab/>
      </w:r>
      <w:r>
        <w:fldChar w:fldCharType="begin"/>
      </w:r>
      <w:r>
        <w:instrText xml:space="preserve"> PAGEREF _Toc2054917103 \h </w:instrText>
      </w:r>
      <w:r>
        <w:fldChar w:fldCharType="separate"/>
      </w:r>
      <w:r>
        <w:t>15</w:t>
      </w:r>
      <w:r>
        <w:fldChar w:fldCharType="end"/>
      </w:r>
      <w:r>
        <w:fldChar w:fldCharType="end"/>
      </w:r>
    </w:p>
    <w:p w14:paraId="1966E35B">
      <w:pPr>
        <w:pStyle w:val="8"/>
        <w:tabs>
          <w:tab w:val="right" w:leader="dot" w:pos="8306"/>
        </w:tabs>
      </w:pPr>
      <w:r>
        <w:fldChar w:fldCharType="begin"/>
      </w:r>
      <w:r>
        <w:instrText xml:space="preserve"> HYPERLINK \l _Toc1159739067 </w:instrText>
      </w:r>
      <w:r>
        <w:fldChar w:fldCharType="separate"/>
      </w:r>
      <w:r>
        <w:rPr>
          <w:rFonts w:ascii="黑体" w:hAnsi="黑体" w:eastAsia="黑体" w:cs="黑体"/>
        </w:rPr>
        <w:t>4.4 损失与监督信息粒度/估计方式的定义原则</w:t>
      </w:r>
      <w:r>
        <w:tab/>
      </w:r>
      <w:r>
        <w:fldChar w:fldCharType="begin"/>
      </w:r>
      <w:r>
        <w:instrText xml:space="preserve"> PAGEREF _Toc1159739067 \h </w:instrText>
      </w:r>
      <w:r>
        <w:fldChar w:fldCharType="separate"/>
      </w:r>
      <w:r>
        <w:t>16</w:t>
      </w:r>
      <w:r>
        <w:fldChar w:fldCharType="end"/>
      </w:r>
      <w:r>
        <w:fldChar w:fldCharType="end"/>
      </w:r>
    </w:p>
    <w:p w14:paraId="6694BFD0">
      <w:pPr>
        <w:pStyle w:val="8"/>
        <w:tabs>
          <w:tab w:val="right" w:leader="dot" w:pos="8306"/>
        </w:tabs>
      </w:pPr>
      <w:r>
        <w:fldChar w:fldCharType="begin"/>
      </w:r>
      <w:r>
        <w:instrText xml:space="preserve"> HYPERLINK \l _Toc1172918897 </w:instrText>
      </w:r>
      <w:r>
        <w:fldChar w:fldCharType="separate"/>
      </w:r>
      <w:r>
        <w:rPr>
          <w:rFonts w:ascii="黑体" w:hAnsi="黑体" w:eastAsia="黑体" w:cs="黑体"/>
        </w:rPr>
        <w:t>4.5 评价指标和公平性</w:t>
      </w:r>
      <w:r>
        <w:tab/>
      </w:r>
      <w:r>
        <w:fldChar w:fldCharType="begin"/>
      </w:r>
      <w:r>
        <w:instrText xml:space="preserve"> PAGEREF _Toc1172918897 \h </w:instrText>
      </w:r>
      <w:r>
        <w:fldChar w:fldCharType="separate"/>
      </w:r>
      <w:r>
        <w:t>17</w:t>
      </w:r>
      <w:r>
        <w:fldChar w:fldCharType="end"/>
      </w:r>
      <w:r>
        <w:fldChar w:fldCharType="end"/>
      </w:r>
    </w:p>
    <w:p w14:paraId="6D8977BF">
      <w:pPr>
        <w:pStyle w:val="8"/>
        <w:tabs>
          <w:tab w:val="right" w:leader="dot" w:pos="8306"/>
        </w:tabs>
      </w:pPr>
      <w:r>
        <w:fldChar w:fldCharType="begin"/>
      </w:r>
      <w:r>
        <w:instrText xml:space="preserve"> HYPERLINK \l _Toc1495506066 </w:instrText>
      </w:r>
      <w:r>
        <w:fldChar w:fldCharType="separate"/>
      </w:r>
      <w:r>
        <w:rPr>
          <w:rFonts w:ascii="黑体" w:hAnsi="黑体" w:eastAsia="黑体" w:cs="黑体"/>
        </w:rPr>
        <w:t>4.6 可行性分析</w:t>
      </w:r>
      <w:r>
        <w:tab/>
      </w:r>
      <w:r>
        <w:fldChar w:fldCharType="begin"/>
      </w:r>
      <w:r>
        <w:instrText xml:space="preserve"> PAGEREF _Toc1495506066 \h </w:instrText>
      </w:r>
      <w:r>
        <w:fldChar w:fldCharType="separate"/>
      </w:r>
      <w:r>
        <w:t>18</w:t>
      </w:r>
      <w:r>
        <w:fldChar w:fldCharType="end"/>
      </w:r>
      <w:r>
        <w:fldChar w:fldCharType="end"/>
      </w:r>
    </w:p>
    <w:p w14:paraId="2640DDF1">
      <w:pPr>
        <w:pStyle w:val="7"/>
        <w:tabs>
          <w:tab w:val="right" w:leader="dot" w:pos="8306"/>
        </w:tabs>
      </w:pPr>
      <w:r>
        <w:fldChar w:fldCharType="begin"/>
      </w:r>
      <w:r>
        <w:instrText xml:space="preserve"> HYPERLINK \l _Toc821846774 </w:instrText>
      </w:r>
      <w:r>
        <w:fldChar w:fldCharType="separate"/>
      </w:r>
      <w:r>
        <w:rPr>
          <w:rFonts w:ascii="黑体" w:hAnsi="黑体" w:eastAsia="黑体" w:cs="黑体"/>
        </w:rPr>
        <w:t>5．进度安排，预期达到的目标</w:t>
      </w:r>
      <w:r>
        <w:tab/>
      </w:r>
      <w:r>
        <w:fldChar w:fldCharType="begin"/>
      </w:r>
      <w:r>
        <w:instrText xml:space="preserve"> PAGEREF _Toc821846774 \h </w:instrText>
      </w:r>
      <w:r>
        <w:fldChar w:fldCharType="separate"/>
      </w:r>
      <w:r>
        <w:t>19</w:t>
      </w:r>
      <w:r>
        <w:fldChar w:fldCharType="end"/>
      </w:r>
      <w:r>
        <w:fldChar w:fldCharType="end"/>
      </w:r>
    </w:p>
    <w:p w14:paraId="4D6D6B39">
      <w:pPr>
        <w:pStyle w:val="8"/>
        <w:tabs>
          <w:tab w:val="right" w:leader="dot" w:pos="8306"/>
        </w:tabs>
      </w:pPr>
      <w:r>
        <w:fldChar w:fldCharType="begin"/>
      </w:r>
      <w:r>
        <w:instrText xml:space="preserve"> HYPERLINK \l _Toc163913114 </w:instrText>
      </w:r>
      <w:r>
        <w:fldChar w:fldCharType="separate"/>
      </w:r>
      <w:r>
        <w:rPr>
          <w:rFonts w:ascii="黑体" w:hAnsi="黑体" w:eastAsia="黑体" w:cs="黑体"/>
        </w:rPr>
        <w:t>5.1 进度安排</w:t>
      </w:r>
      <w:r>
        <w:tab/>
      </w:r>
      <w:r>
        <w:fldChar w:fldCharType="begin"/>
      </w:r>
      <w:r>
        <w:instrText xml:space="preserve"> PAGEREF _Toc163913114 \h </w:instrText>
      </w:r>
      <w:r>
        <w:fldChar w:fldCharType="separate"/>
      </w:r>
      <w:r>
        <w:t>19</w:t>
      </w:r>
      <w:r>
        <w:fldChar w:fldCharType="end"/>
      </w:r>
      <w:r>
        <w:fldChar w:fldCharType="end"/>
      </w:r>
    </w:p>
    <w:p w14:paraId="6E727E42">
      <w:pPr>
        <w:pStyle w:val="8"/>
        <w:tabs>
          <w:tab w:val="right" w:leader="dot" w:pos="8306"/>
        </w:tabs>
      </w:pPr>
      <w:r>
        <w:fldChar w:fldCharType="begin"/>
      </w:r>
      <w:r>
        <w:instrText xml:space="preserve"> HYPERLINK \l _Toc1813671544 </w:instrText>
      </w:r>
      <w:r>
        <w:fldChar w:fldCharType="separate"/>
      </w:r>
      <w:r>
        <w:rPr>
          <w:rFonts w:ascii="黑体" w:hAnsi="黑体" w:eastAsia="黑体" w:cs="黑体"/>
        </w:rPr>
        <w:t>5.2 预期达到的目标</w:t>
      </w:r>
      <w:r>
        <w:tab/>
      </w:r>
      <w:r>
        <w:fldChar w:fldCharType="begin"/>
      </w:r>
      <w:r>
        <w:instrText xml:space="preserve"> PAGEREF _Toc1813671544 \h </w:instrText>
      </w:r>
      <w:r>
        <w:fldChar w:fldCharType="separate"/>
      </w:r>
      <w:r>
        <w:t>20</w:t>
      </w:r>
      <w:r>
        <w:fldChar w:fldCharType="end"/>
      </w:r>
      <w:r>
        <w:fldChar w:fldCharType="end"/>
      </w:r>
    </w:p>
    <w:p w14:paraId="47EFACF6">
      <w:pPr>
        <w:pStyle w:val="7"/>
        <w:tabs>
          <w:tab w:val="right" w:leader="dot" w:pos="8306"/>
        </w:tabs>
      </w:pPr>
      <w:r>
        <w:fldChar w:fldCharType="begin"/>
      </w:r>
      <w:r>
        <w:instrText xml:space="preserve"> HYPERLINK \l _Toc994754490 </w:instrText>
      </w:r>
      <w:r>
        <w:fldChar w:fldCharType="separate"/>
      </w:r>
      <w:r>
        <w:rPr>
          <w:rFonts w:ascii="黑体" w:hAnsi="黑体" w:eastAsia="黑体" w:cs="黑体"/>
        </w:rPr>
        <w:t>6．课题已具备和所需的条件、经费</w:t>
      </w:r>
      <w:r>
        <w:tab/>
      </w:r>
      <w:r>
        <w:fldChar w:fldCharType="begin"/>
      </w:r>
      <w:r>
        <w:instrText xml:space="preserve"> PAGEREF _Toc994754490 \h </w:instrText>
      </w:r>
      <w:r>
        <w:fldChar w:fldCharType="separate"/>
      </w:r>
      <w:r>
        <w:t>21</w:t>
      </w:r>
      <w:r>
        <w:fldChar w:fldCharType="end"/>
      </w:r>
      <w:r>
        <w:fldChar w:fldCharType="end"/>
      </w:r>
    </w:p>
    <w:p w14:paraId="49AAA6E0">
      <w:pPr>
        <w:pStyle w:val="8"/>
        <w:tabs>
          <w:tab w:val="right" w:leader="dot" w:pos="8306"/>
        </w:tabs>
      </w:pPr>
      <w:r>
        <w:fldChar w:fldCharType="begin"/>
      </w:r>
      <w:r>
        <w:instrText xml:space="preserve"> HYPERLINK \l _Toc678521535 </w:instrText>
      </w:r>
      <w:r>
        <w:fldChar w:fldCharType="separate"/>
      </w:r>
      <w:r>
        <w:rPr>
          <w:rFonts w:ascii="黑体" w:hAnsi="黑体" w:eastAsia="黑体" w:cs="黑体"/>
        </w:rPr>
        <w:t>6.1 已具备条件</w:t>
      </w:r>
      <w:r>
        <w:tab/>
      </w:r>
      <w:r>
        <w:fldChar w:fldCharType="begin"/>
      </w:r>
      <w:r>
        <w:instrText xml:space="preserve"> PAGEREF _Toc678521535 \h </w:instrText>
      </w:r>
      <w:r>
        <w:fldChar w:fldCharType="separate"/>
      </w:r>
      <w:r>
        <w:t>21</w:t>
      </w:r>
      <w:r>
        <w:fldChar w:fldCharType="end"/>
      </w:r>
      <w:r>
        <w:fldChar w:fldCharType="end"/>
      </w:r>
    </w:p>
    <w:p w14:paraId="6053CB3C">
      <w:pPr>
        <w:pStyle w:val="8"/>
        <w:tabs>
          <w:tab w:val="right" w:leader="dot" w:pos="8306"/>
        </w:tabs>
      </w:pPr>
      <w:r>
        <w:fldChar w:fldCharType="begin"/>
      </w:r>
      <w:r>
        <w:instrText xml:space="preserve"> HYPERLINK \l _Toc773273175 </w:instrText>
      </w:r>
      <w:r>
        <w:fldChar w:fldCharType="separate"/>
      </w:r>
      <w:r>
        <w:rPr>
          <w:rFonts w:ascii="黑体" w:hAnsi="黑体" w:eastAsia="黑体" w:cs="黑体"/>
        </w:rPr>
        <w:t>6.2 所需条件</w:t>
      </w:r>
      <w:r>
        <w:tab/>
      </w:r>
      <w:r>
        <w:fldChar w:fldCharType="begin"/>
      </w:r>
      <w:r>
        <w:instrText xml:space="preserve"> PAGEREF _Toc773273175 \h </w:instrText>
      </w:r>
      <w:r>
        <w:fldChar w:fldCharType="separate"/>
      </w:r>
      <w:r>
        <w:t>21</w:t>
      </w:r>
      <w:r>
        <w:fldChar w:fldCharType="end"/>
      </w:r>
      <w:r>
        <w:fldChar w:fldCharType="end"/>
      </w:r>
    </w:p>
    <w:p w14:paraId="51A1E049">
      <w:pPr>
        <w:pStyle w:val="8"/>
        <w:tabs>
          <w:tab w:val="right" w:leader="dot" w:pos="8306"/>
        </w:tabs>
      </w:pPr>
      <w:r>
        <w:fldChar w:fldCharType="begin"/>
      </w:r>
      <w:r>
        <w:instrText xml:space="preserve"> HYPERLINK \l _Toc1978704228 </w:instrText>
      </w:r>
      <w:r>
        <w:fldChar w:fldCharType="separate"/>
      </w:r>
      <w:r>
        <w:rPr>
          <w:rFonts w:ascii="黑体" w:hAnsi="黑体" w:eastAsia="黑体" w:cs="黑体"/>
        </w:rPr>
        <w:t>6.3 经费</w:t>
      </w:r>
      <w:r>
        <w:tab/>
      </w:r>
      <w:r>
        <w:fldChar w:fldCharType="begin"/>
      </w:r>
      <w:r>
        <w:instrText xml:space="preserve"> PAGEREF _Toc1978704228 \h </w:instrText>
      </w:r>
      <w:r>
        <w:fldChar w:fldCharType="separate"/>
      </w:r>
      <w:r>
        <w:t>21</w:t>
      </w:r>
      <w:r>
        <w:fldChar w:fldCharType="end"/>
      </w:r>
      <w:r>
        <w:fldChar w:fldCharType="end"/>
      </w:r>
    </w:p>
    <w:p w14:paraId="7F61739E">
      <w:pPr>
        <w:pStyle w:val="7"/>
        <w:tabs>
          <w:tab w:val="right" w:leader="dot" w:pos="8306"/>
        </w:tabs>
      </w:pPr>
      <w:r>
        <w:fldChar w:fldCharType="begin"/>
      </w:r>
      <w:r>
        <w:instrText xml:space="preserve"> HYPERLINK \l _Toc150202554 </w:instrText>
      </w:r>
      <w:r>
        <w:fldChar w:fldCharType="separate"/>
      </w:r>
      <w:r>
        <w:rPr>
          <w:rFonts w:ascii="黑体" w:hAnsi="黑体" w:eastAsia="黑体" w:cs="黑体"/>
        </w:rPr>
        <w:t>7．研究过程中可能遇到的困难和问题，解决的措施</w:t>
      </w:r>
      <w:r>
        <w:tab/>
      </w:r>
      <w:r>
        <w:fldChar w:fldCharType="begin"/>
      </w:r>
      <w:r>
        <w:instrText xml:space="preserve"> PAGEREF _Toc150202554 \h </w:instrText>
      </w:r>
      <w:r>
        <w:fldChar w:fldCharType="separate"/>
      </w:r>
      <w:r>
        <w:t>22</w:t>
      </w:r>
      <w:r>
        <w:fldChar w:fldCharType="end"/>
      </w:r>
      <w:r>
        <w:fldChar w:fldCharType="end"/>
      </w:r>
    </w:p>
    <w:p w14:paraId="3C2F502F">
      <w:pPr>
        <w:pStyle w:val="7"/>
        <w:tabs>
          <w:tab w:val="right" w:leader="dot" w:pos="8306"/>
        </w:tabs>
      </w:pPr>
      <w:r>
        <w:fldChar w:fldCharType="begin"/>
      </w:r>
      <w:r>
        <w:instrText xml:space="preserve"> HYPERLINK \l _Toc1161039853 </w:instrText>
      </w:r>
      <w:r>
        <w:fldChar w:fldCharType="separate"/>
      </w:r>
      <w:r>
        <w:rPr>
          <w:rFonts w:ascii="黑体" w:hAnsi="黑体" w:eastAsia="黑体" w:cs="黑体"/>
        </w:rPr>
        <w:t>8．主要参考文献</w:t>
      </w:r>
      <w:r>
        <w:tab/>
      </w:r>
      <w:r>
        <w:fldChar w:fldCharType="begin"/>
      </w:r>
      <w:r>
        <w:instrText xml:space="preserve"> PAGEREF _Toc1161039853 \h </w:instrText>
      </w:r>
      <w:r>
        <w:fldChar w:fldCharType="separate"/>
      </w:r>
      <w:r>
        <w:t>23</w:t>
      </w:r>
      <w:r>
        <w:fldChar w:fldCharType="end"/>
      </w:r>
      <w:r>
        <w:fldChar w:fldCharType="end"/>
      </w:r>
    </w:p>
    <w:p w14:paraId="623AE19C">
      <w:pPr>
        <w:tabs>
          <w:tab w:val="right" w:leader="dot" w:pos="8731"/>
        </w:tabs>
        <w:spacing w:before="0" w:after="0" w:line="240" w:lineRule="auto"/>
        <w:ind w:left="0"/>
      </w:pPr>
      <w:r>
        <w:fldChar w:fldCharType="end"/>
      </w:r>
    </w:p>
    <w:p w14:paraId="449E6D0B">
      <w:r>
        <w:br w:type="page"/>
      </w:r>
    </w:p>
    <w:p w14:paraId="444931B1">
      <w:pPr>
        <w:pStyle w:val="2"/>
      </w:pPr>
      <w:bookmarkStart w:id="0" w:name="_Toc1298162467"/>
      <w:r>
        <w:rPr>
          <w:rFonts w:ascii="黑体" w:hAnsi="黑体" w:eastAsia="黑体" w:cs="黑体"/>
          <w:b/>
          <w:color w:val="000000"/>
          <w:sz w:val="28"/>
        </w:rPr>
        <w:t>1．课题来源及研究的目的和意义</w:t>
      </w:r>
      <w:bookmarkEnd w:id="0"/>
    </w:p>
    <w:p w14:paraId="5244ADAC">
      <w:pPr>
        <w:pStyle w:val="3"/>
      </w:pPr>
      <w:bookmarkStart w:id="1" w:name="_Toc1930212996"/>
      <w:r>
        <w:rPr>
          <w:rFonts w:ascii="黑体" w:hAnsi="黑体" w:eastAsia="黑体" w:cs="黑体"/>
          <w:b/>
          <w:color w:val="000000"/>
          <w:sz w:val="24"/>
        </w:rPr>
        <w:t>1.1 课题来源</w:t>
      </w:r>
      <w:bookmarkEnd w:id="1"/>
    </w:p>
    <w:p w14:paraId="0068B391">
      <w:pPr>
        <w:ind w:firstLine="420"/>
        <w:jc w:val="both"/>
      </w:pPr>
      <w:r>
        <w:t>本课题面向大语言模型后训练与工具增强应用中的实际需求，研究在线策略蒸馏（On-Policy Distillation，OPD）方法。研究将在学生模型自主生成的状态上引入教师模型的密集反馈，比较不同 KL 散度方向和监督信息粒度对训练效果、稳定性及资源开销的影响，并通过可交互的测试系统检验模型的实际能力。</w:t>
      </w:r>
    </w:p>
    <w:p w14:paraId="4589AFE8">
      <w:pPr>
        <w:ind w:firstLine="420"/>
        <w:jc w:val="both"/>
      </w:pPr>
      <w:r>
        <w:t>研究选用 Qwen3-0.6B 作为学生模型，以 LoRA 方式进行后训练，并使用冻结的 Qwen3-4B 作为教师模型。训练数据从公开 Function Calling 数据集中筛选，重点比较 Forward KL、Reverse KL、广义散度，以及全词表、Top-K、K1 sampled-token 三种监督方案；最终通过 vLLM 或自建测试程序验证推理性能。数据准备阶段将统一记录数据集名称、版本、许可证、划分方式和模型版本。</w:t>
      </w:r>
    </w:p>
    <w:p w14:paraId="38DF9D6D">
      <w:pPr>
        <w:pStyle w:val="3"/>
      </w:pPr>
      <w:bookmarkStart w:id="2" w:name="_Toc1201852190"/>
      <w:r>
        <w:rPr>
          <w:rFonts w:ascii="黑体" w:hAnsi="黑体" w:eastAsia="黑体" w:cs="黑体"/>
          <w:b/>
          <w:color w:val="000000"/>
          <w:sz w:val="24"/>
        </w:rPr>
        <w:t>1.2 研究背景</w:t>
      </w:r>
      <w:bookmarkEnd w:id="2"/>
    </w:p>
    <w:p w14:paraId="1E7E09AB">
      <w:pPr>
        <w:ind w:firstLine="420"/>
        <w:jc w:val="both"/>
      </w:pPr>
      <w:r>
        <w:t>大语言模型通过大规模预训练获得语言规律和知识表示，再借助后训练形成指令遵循、结构化输出、推理与工具使用能力。知识蒸馏利用教师模型的软分布，为学生提供比硬标签更丰富的训练信号。Hinton 等人阐述了温度缩放与软目标的基本思想[1]，序列级知识蒸馏则进一步使用教师生成的序列训练学生[2]。不过，蒸馏收益取决于具体任务、师生模型和训练协议；当训练数据或教师轨迹与学生推理时实际访问的状态不一致时，监督效果也会受到限制。</w:t>
      </w:r>
    </w:p>
    <w:p w14:paraId="4CD1AD20">
      <w:pPr>
        <w:ind w:firstLine="420"/>
        <w:jc w:val="both"/>
      </w:pPr>
      <w:r>
        <w:t>Function Calling 要求大语言模型按照给定接口生成结构化的函数调用。Gorilla/APIBench 关注 API 文档理解、函数选择和参数正确性[22]，API-Bank 则将工具检索、调用规划与执行结果纳入统一基准[23]。这些研究将 Function Calling 能力细分为函数选择、结构化参数生成、调用顺序和结果利用等环节，也为分析不同后训练方法提供了清晰的任务载体。</w:t>
      </w:r>
    </w:p>
    <w:p w14:paraId="17F46F4A">
      <w:pPr>
        <w:ind w:firstLine="420"/>
        <w:jc w:val="both"/>
      </w:pPr>
      <w:r>
        <w:t>Function Calling 还具备较明确的自动评测条件。给定用户请求、候选函数和调用 schema，可以分别检查函数名称、输出结构、参数键值、类型约束与执行结果。BFCL 将评测扩展到串行调用、并行调用和拒答等场景，并通过结构匹配等方式判断调用是否正确[27]。因此，本课题能够把 token 级分布匹配与端到端任务表现联系起来。</w:t>
      </w:r>
    </w:p>
    <w:p w14:paraId="02610039">
      <w:pPr>
        <w:ind w:firstLine="420"/>
        <w:jc w:val="both"/>
      </w:pPr>
      <w:r>
        <w:t>为便于评测，本文将 Function Calling 拆分为意图与工具选择、结构化参数生成、schema 约束、工具执行和多轮任务完成等环节。同一条样本可能在不同层面出错：模型可以理解用户意图却选错函数，也可能选对函数但遗漏参数，或生成结构正确但取值不符合约束的参数；单次调用正确，也不意味着多轮任务一定完成。这样的拆分与现有工具调用基准的评测维度基本一致[23][27]。</w:t>
      </w:r>
    </w:p>
    <w:p w14:paraId="7AD88161">
      <w:pPr>
        <w:ind w:firstLine="420"/>
        <w:jc w:val="both"/>
      </w:pPr>
      <w:r>
        <w:t>数据准备阶段将依据公开数据的实际字段，统计单轮调用、多工具候选、并行调用、多轮工具结果和无适用工具等任务类型。训练集、验证集与测试集按工具 schema、问题模板和数据来源进行隔离，尽量减少相似样本造成的信息泄漏。</w:t>
      </w:r>
    </w:p>
    <w:p w14:paraId="59356753">
      <w:pPr>
        <w:pStyle w:val="3"/>
      </w:pPr>
      <w:bookmarkStart w:id="3" w:name="_Toc298573648"/>
      <w:r>
        <w:rPr>
          <w:rFonts w:ascii="黑体" w:hAnsi="黑体" w:eastAsia="黑体" w:cs="黑体"/>
          <w:b/>
          <w:color w:val="000000"/>
          <w:sz w:val="24"/>
        </w:rPr>
        <w:t>1.3 研究目的和意义</w:t>
      </w:r>
      <w:bookmarkEnd w:id="3"/>
    </w:p>
    <w:p w14:paraId="58E876DD">
      <w:pPr>
        <w:ind w:firstLine="420"/>
        <w:jc w:val="both"/>
      </w:pPr>
      <w:r>
        <w:t>本课题拟实现以下研究目标：</w:t>
      </w:r>
    </w:p>
    <w:p w14:paraId="6FA8B508">
      <w:pPr>
        <w:pStyle w:val="17"/>
        <w:ind w:firstLine="420"/>
        <w:jc w:val="left"/>
      </w:pPr>
      <w:r>
        <w:t>1. 梳理离线蒸馏、在线策略蒸馏、KL 散度和工具增强模型的发展脉络，明确 OPD 在 Function Calling 场景中的研究问题。</w:t>
      </w:r>
    </w:p>
    <w:p w14:paraId="6CEC8EBA">
      <w:pPr>
        <w:pStyle w:val="17"/>
        <w:ind w:firstLine="420"/>
        <w:jc w:val="left"/>
      </w:pPr>
      <w:r>
        <w:t>2. 在统一的 OPD 后训练流程中比较主要散度方向和监督信息粒度（或估计方式），具体实验矩阵见第 3、4 节。</w:t>
      </w:r>
    </w:p>
    <w:p w14:paraId="1582C878">
      <w:pPr>
        <w:pStyle w:val="17"/>
        <w:ind w:firstLine="420"/>
        <w:jc w:val="left"/>
      </w:pPr>
      <w:r>
        <w:t>3. 从任务正确率、训练稳定性、分布变化和资源开销等方面分析方法差异，并通过 vLLM 或自建测试程序测量推理吞吐、延迟与端到端调用成功率。</w:t>
      </w:r>
    </w:p>
    <w:p w14:paraId="1280B22F">
      <w:pPr>
        <w:ind w:firstLine="420"/>
        <w:jc w:val="both"/>
      </w:pPr>
      <w:r>
        <w:t>在理论层面，本文把学生状态分布、散度方向和教师监督支持集作为三个独立因素，补充 Function Calling 场景下的 OPD 研究；在应用层面，考察小模型经 LoRA 后训练获得工具调用能力的可行性，并分析稀疏监督在模型效果与教师反馈开销之间的权衡，为低延迟、低成本和本地部署提供参考。</w:t>
      </w:r>
    </w:p>
    <w:p w14:paraId="486FC300">
      <w:pPr>
        <w:pStyle w:val="2"/>
      </w:pPr>
      <w:bookmarkStart w:id="4" w:name="_Toc1605502544"/>
      <w:r>
        <w:rPr>
          <w:rFonts w:ascii="黑体" w:hAnsi="黑体" w:eastAsia="黑体" w:cs="黑体"/>
          <w:b/>
          <w:color w:val="000000"/>
          <w:sz w:val="28"/>
        </w:rPr>
        <w:t>2．国内外在该方向的研究现状及分析</w:t>
      </w:r>
      <w:bookmarkEnd w:id="4"/>
    </w:p>
    <w:p w14:paraId="4756E8EE">
      <w:pPr>
        <w:pStyle w:val="3"/>
      </w:pPr>
      <w:bookmarkStart w:id="5" w:name="_Toc549232453"/>
      <w:r>
        <w:rPr>
          <w:rFonts w:ascii="黑体" w:hAnsi="黑体" w:eastAsia="黑体" w:cs="黑体"/>
          <w:b/>
          <w:color w:val="000000"/>
          <w:sz w:val="24"/>
        </w:rPr>
        <w:t>2.1 大语言模型后训练和知识蒸馏</w:t>
      </w:r>
      <w:bookmarkEnd w:id="5"/>
    </w:p>
    <w:p w14:paraId="63C19B99">
      <w:pPr>
        <w:ind w:firstLine="420"/>
        <w:jc w:val="both"/>
      </w:pPr>
      <w:r>
        <w:t>为便于比较，本文按训练信号将相关后训练方法划分为监督微调、知识蒸馏、偏好优化和强化学习。监督微调依赖人工或教师构造的目标序列，知识蒸馏利用教师软分布，偏好优化使用回答之间的偏好关系，强化学习则依据环境或任务奖励更新策略。SFT 和序列级蒸馏容易构造结构化数据，但学生推理状态与训练前缀之间仍可能出现偏移[1][2][5]。下文据此分别讨论各类方法的监督来源与优化对象。</w:t>
      </w:r>
    </w:p>
    <w:p w14:paraId="79D4A854">
      <w:pPr>
        <w:ind w:firstLine="420"/>
        <w:jc w:val="both"/>
      </w:pPr>
      <w:r>
        <w:t>知识蒸馏的核心是利用教师输出中的软信息。设教师在某一位置给出分布 p，学生给出分布 q，蒸馏目标可由两者之间的距离定义。与 one-hot 标签相比，软目标保留了教师对多个候选 token 的相对偏好；但在自回归任务中，分布匹配还会受到前缀状态、采样方式和序列长度的影响。f-divergence 视角把多种分布距离纳入统一框架，可用于解释序列级蒸馏目标[6]。</w:t>
      </w:r>
    </w:p>
    <w:p w14:paraId="582869BE">
      <w:pPr>
        <w:ind w:firstLine="420"/>
        <w:jc w:val="both"/>
      </w:pPr>
      <w:r>
        <w:t>按照训练状态和反馈来源，相关方法可作如下区分：</w:t>
      </w:r>
    </w:p>
    <w:p w14:paraId="5A36676E">
      <w:pPr>
        <w:ind w:firstLine="420"/>
        <w:jc w:val="both"/>
      </w:pPr>
    </w:p>
    <w:p w14:paraId="48CDB1C7">
      <w:pPr>
        <w:keepNext/>
        <w:spacing w:before="80" w:after="80" w:line="240" w:lineRule="auto"/>
        <w:ind w:left="0" w:right="0" w:firstLine="0"/>
        <w:jc w:val="center"/>
      </w:pPr>
      <w:r>
        <w:rPr>
          <w:rFonts w:ascii="Times New Roman" w:hAnsi="Times New Roman" w:eastAsia="Songti SC"/>
          <w:sz w:val="21"/>
        </w:rPr>
        <w:t xml:space="preserve">表 </w:t>
      </w:r>
      <w:bookmarkStart w:id="6" w:name="_RefTable2_1"/>
      <w:r>
        <w:rPr>
          <w:rFonts w:ascii="Times New Roman" w:hAnsi="Times New Roman" w:eastAsia="Songti SC"/>
          <w:sz w:val="21"/>
        </w:rPr>
        <w:t>2-</w:t>
      </w:r>
      <w:r>
        <w:rPr>
          <w:rFonts w:ascii="Times New Roman" w:hAnsi="Times New Roman" w:eastAsia="Songti SC"/>
          <w:sz w:val="21"/>
        </w:rPr>
        <w:fldChar w:fldCharType="begin"/>
      </w:r>
      <w:r>
        <w:rPr>
          <w:rFonts w:ascii="Times New Roman" w:hAnsi="Times New Roman" w:eastAsia="Songti SC"/>
          <w:sz w:val="21"/>
        </w:rPr>
        <w:instrText xml:space="preserve"> SEQ TableCh2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
      <w:r>
        <w:rPr>
          <w:rFonts w:ascii="Times New Roman" w:hAnsi="Times New Roman" w:eastAsia="Songti SC"/>
          <w:sz w:val="21"/>
        </w:rPr>
        <w:t xml:space="preserve">  后训练方法的状态与监督来源对比</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作为分析 OPD 分布偏移问题的对照</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说明教师为何需要在学生前缀上提供反馈</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用于区分密集教师反馈与稀疏奖励</w:t>
            </w:r>
          </w:p>
        </w:tc>
      </w:tr>
    </w:tbl>
    <w:p w14:paraId="43527EF3">
      <w:pPr>
        <w:ind w:firstLine="420" w:firstLineChars="0"/>
        <w:jc w:val="both"/>
      </w:pPr>
      <w:r>
        <w:t>实际系统既可以先进行 SFT、再实施 OPD，也可以同时引入教师反馈与任务奖励。本文聚焦 LoRA-OPD 路线，主要研究学生策略采样、教师分布反馈、散度方向和监督信息粒度；RLHF、DPO 等方法仅用于说明相关背景。</w:t>
      </w:r>
    </w:p>
    <w:p w14:paraId="0CA6A73A">
      <w:pPr>
        <w:spacing w:before="0" w:after="0" w:line="360" w:lineRule="auto"/>
        <w:ind w:firstLine="420"/>
        <w:jc w:val="both"/>
      </w:pPr>
      <w:r>
        <w:rPr>
          <w:rFonts w:ascii="Times New Roman" w:hAnsi="Times New Roman" w:eastAsia="宋体"/>
          <w:sz w:val="24"/>
        </w:rPr>
        <w:t>经典知识蒸馏通过温度缩放揭示教师分布中类别之间的相对关系[1]。Kim 和 Rush 随后把蒸馏扩展到序列级目标，用教师生成的序列替代或补充原始标签[2]。这些工作奠定了生成模型蒸馏的基本范式，但其训练样本通常来自固定语料或教师轨迹，学生在实际推理中产生的前缀仍未充分进入训练分布。</w:t>
      </w:r>
    </w:p>
    <w:p w14:paraId="4D703704">
      <w:pPr>
        <w:spacing w:before="0" w:after="0" w:line="360" w:lineRule="auto"/>
        <w:ind w:firstLine="420"/>
        <w:jc w:val="both"/>
      </w:pPr>
      <w:r>
        <w:rPr>
          <w:rFonts w:ascii="Times New Roman" w:hAnsi="Times New Roman" w:eastAsia="宋体"/>
          <w:sz w:val="24"/>
        </w:rPr>
        <w:t>DAgger 揭示了模仿学习中与语言生成高度相关的误差累积问题：学习器在部署时依据自身预测不断推进状态，早期错误会改变后续输入分布，使离线监督逐步失效[3]。ImitKD 将这一思想引入神经机器翻译，在学生生成的状态上查询教师并开展交互式蒸馏[4]。因此，在线策略蒸馏的关键并非单纯使用更强的教师，而是让教师在学生真正会访问的序列状态上提供监督。</w:t>
      </w:r>
    </w:p>
    <w:p w14:paraId="24D76E42">
      <w:pPr>
        <w:pStyle w:val="3"/>
      </w:pPr>
      <w:bookmarkStart w:id="7" w:name="_Toc1065122765"/>
      <w:r>
        <w:rPr>
          <w:rFonts w:ascii="黑体" w:hAnsi="黑体" w:eastAsia="黑体" w:cs="黑体"/>
          <w:b/>
          <w:color w:val="000000"/>
          <w:sz w:val="24"/>
        </w:rPr>
        <w:t>2.2 分布偏移与在线策略蒸馏</w:t>
      </w:r>
      <w:bookmarkEnd w:id="7"/>
    </w:p>
    <w:p w14:paraId="7027805E">
      <w:pPr>
        <w:ind w:firstLine="420"/>
        <w:jc w:val="both"/>
      </w:pPr>
      <w:r>
        <w:t>自回归模型训练时通常读取参考序列前缀，推理时却只能依赖自身生成的前缀。DAgger 在学生到访状态上查询专家标签[3]，ImitKD 将这一思路用于自回归知识蒸馏[4]。OPD 延续了相同的基本动机，并把专家反馈从离散动作扩展为教师模型的 token 分布或对数概率。</w:t>
      </w:r>
    </w:p>
    <w:p w14:paraId="6D834263">
      <w:pPr>
        <w:ind w:firstLine="420"/>
        <w:jc w:val="both"/>
      </w:pPr>
      <w:r>
        <w:t>GKD 在学生自生成的错误上进行蒸馏，并比较不同生成方式和散度设置[7]；MiniLLM 从序列级目标出发讨论 Reverse KL 的模式选择特性[8]；DistiLLM 通过 skew KL 与样本复用探索效果和成本之间的平衡[9]。SWITCH 进一步指出，学生生成序列可能包含噪声或偏差，并通过选择性教师介入改善长序列蒸馏[10]。</w:t>
      </w:r>
    </w:p>
    <w:p w14:paraId="6F1DB8D0">
      <w:pPr>
        <w:ind w:firstLine="420"/>
        <w:jc w:val="both"/>
      </w:pPr>
      <w:r>
        <w:t>近期研究把 OPD 的关注点推进到效率、稳定性和监督适配。前缀蒸馏表明，较短的学生生成前缀可以保留主要训练信号并显著降低计算量[11]；Veto 通过重构目标分布抑制低置信度 token 上的有害梯度，并在性能与多样性之间进行调节[12]；PromptKD 则从学生友好监督的角度改善教师知识的可学习性[13]。TACL 的模型压缩综述和 ACL 的蒸馏设计空间研究进一步说明，知识蒸馏需要同时考虑目标函数、师生能力差距和计算预算[14][15]。</w:t>
      </w:r>
    </w:p>
    <w:p w14:paraId="29B55A45">
      <w:pPr>
        <w:ind w:firstLine="420"/>
        <w:jc w:val="both"/>
      </w:pPr>
      <w:r>
        <w:t>为形成可比较的实验框架，本文从三个层面描述 OPD：训练状态是否由学生生成，教师是否在学生前缀上评分，以及蒸馏目标如何把采样结果转化为训练信号。GKD 的 token 级比较、MiniLLM 的序列级目标和 DistiLLM 的样本复用机制在这些层面上各有侧重，因此实验记录将分别说明散度定义及其估计方式。</w:t>
      </w:r>
    </w:p>
    <w:p w14:paraId="4737EE54">
      <w:pPr>
        <w:ind w:firstLine="420"/>
        <w:jc w:val="both"/>
      </w:pPr>
      <w:r>
        <w:t>教师能力能否有效传递，还取决于师生模型的兼容程度。推理模式、输出格式或工具调用习惯的差异会改变教师在学生状态上提供的信号，学生容量也会限制其吸收完整教师分布的能力。SWITCH、PromptKD 与稳定化 OPD 的研究分别从学生轨迹噪声、学生友好监督和目标重构角度说明，教师更强并不等于监督天然有效[10][12][13]。这些结论为本文分析师生分布重叠与格式错误提供了依据。</w:t>
      </w:r>
    </w:p>
    <w:p w14:paraId="5333E2F1">
      <w:pPr>
        <w:spacing w:before="0" w:after="0" w:line="360" w:lineRule="auto"/>
        <w:ind w:firstLine="420"/>
        <w:jc w:val="both"/>
      </w:pPr>
      <w:r>
        <w:rPr>
          <w:rFonts w:ascii="Times New Roman" w:hAnsi="Times New Roman" w:eastAsia="宋体"/>
          <w:sz w:val="24"/>
        </w:rPr>
        <w:t>在线策略蒸馏改变的不只是教师 logits 所对应的数据批次，更重要的是训练状态的来源。GKD 允许学生在训练过程中生成序列，并在这些到访状态上接受教师分布监督，同时把传统 Forward KL 扩展为可配置的散度族[7]。MiniLLM 采用 Reverse KL 的序列级目标，使学生更集中地拟合与自身轨迹相容的教师高概率区域[8]。DistiLLM 进一步利用 skew KL 和自适应采样缓和纯 Reverse KL 的模式选择倾向，并讨论教师反馈的复用效率[9]。这些工作表明，状态分布、散度方向和教师信息获取方式是彼此关联但不可互相替代的设计变量。</w:t>
      </w:r>
    </w:p>
    <w:p w14:paraId="2D5A62DC">
      <w:pPr>
        <w:spacing w:before="0" w:after="0" w:line="360" w:lineRule="auto"/>
        <w:ind w:firstLine="420"/>
        <w:jc w:val="both"/>
      </w:pPr>
      <w:r>
        <w:rPr>
          <w:rFonts w:ascii="Times New Roman" w:hAnsi="Times New Roman" w:eastAsia="宋体"/>
          <w:sz w:val="24"/>
        </w:rPr>
        <w:t>研究重点也逐渐从“是否使用学生生成数据”转向“哪些学生状态值得接受教师监督”。前缀蒸馏通过缩短学生轨迹降低在线采样成本[11]，稳定化 OPD 则针对早期训练中的噪声反馈和异常梯度重新构造目标[12]。PromptKD 说明教师输出是否适合学生学习同样会影响蒸馏效果[13]。因此，本文不把 OPD 视为单一算法，而把它作为一个受控实验框架，在相同数据、模型、预算和评测协议下分别考察状态分布、散度目标和监督粒度。</w:t>
      </w:r>
    </w:p>
    <w:p w14:paraId="6975A843">
      <w:pPr>
        <w:pStyle w:val="3"/>
      </w:pPr>
      <w:bookmarkStart w:id="8" w:name="_Toc94629963"/>
      <w:r>
        <w:rPr>
          <w:rFonts w:ascii="黑体" w:hAnsi="黑体" w:eastAsia="黑体" w:cs="黑体"/>
          <w:b/>
          <w:color w:val="000000"/>
          <w:sz w:val="24"/>
        </w:rPr>
        <w:t>2.3 KL 散度方向与广义散度</w:t>
      </w:r>
      <w:bookmarkEnd w:id="8"/>
    </w:p>
    <w:p w14:paraId="696D2E03">
      <w:pPr>
        <w:ind w:firstLine="420"/>
        <w:jc w:val="both"/>
      </w:pPr>
      <w:r>
        <w:t xml:space="preserve">KL 散度由 Kullback 和 Leibler 在信息论研究中提出[17]。令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oMath>
      <w:r>
        <w:t xml:space="preserve"> 与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S</m:t>
            </m:r>
            <m:ctrlPr>
              <w:rPr>
                <w:rFonts w:ascii="DejaVu Math TeX Gyre" w:hAnsi="DejaVu Math TeX Gyre"/>
                <w:sz w:val="24"/>
              </w:rPr>
            </m:ctrlPr>
          </m:sub>
        </m:sSub>
      </m:oMath>
      <w:r>
        <w:t xml:space="preserve"> 分别表示教师分布和学生分布，Forward KL 与 Reverse KL 定义为：</w:t>
      </w:r>
    </w:p>
    <w:p w14:paraId="2BB4B432">
      <w:pPr>
        <w:ind w:firstLine="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p w14:paraId="7FC2B2E2">
      <w:pPr>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p w14:paraId="491E25B6">
      <w:pPr>
        <w:ind w:firstLine="420"/>
        <w:jc w:val="both"/>
      </w:pPr>
      <w:r>
        <w:t>Forward KL 以教师概率加权，倾向于要求学生覆盖教师分布中的多个高质量区域；Reverse KL 以学生概率加权，更关注学生自身可能生成的区域。文献常用 mode-covering 和 mode-seeking 概括两者的倾向，但这只是解释生成行为的启发式描述，实际训练结果还取决于模型容量、温度、采样策略和支持集[7][8]。</w:t>
      </w:r>
    </w:p>
    <w:p w14:paraId="5283D502">
      <w:pPr>
        <w:ind w:firstLine="420"/>
        <w:jc w:val="both"/>
      </w:pPr>
      <w:r>
        <w:t>广义散度可在不同的分布匹配偏好之间进行调节。Jensen-Shannon 散度由教师分布、学生分布及其混合分布定义，形式如下[18]：</w:t>
      </w:r>
    </w:p>
    <w:p w14:paraId="588A8F94">
      <w:pPr>
        <w:ind w:firstLine="0"/>
        <w:jc w:val="center"/>
      </w:pPr>
      <m:oMathPara>
        <m:oMath>
          <m:r>
            <m:rPr/>
            <m:t>m=</m:t>
          </m:r>
          <m:f>
            <m:fPr/>
            <m:num>
              <m:sSub>
                <m:sSubPr/>
                <m:e>
                  <m:r>
                    <m:rPr/>
                    <m:t>p</m:t>
                  </m:r>
                </m:e>
                <m:sub>
                  <m:r>
                    <m:rPr/>
                    <m:t>T</m:t>
                  </m:r>
                </m:sub>
              </m:sSub>
              <m:r>
                <m:rPr/>
                <m:t>+</m:t>
              </m:r>
              <m:sSub>
                <m:sSubPr/>
                <m:e>
                  <m:r>
                    <m:rPr/>
                    <m:t>p</m:t>
                  </m:r>
                </m:e>
                <m:sub>
                  <m:r>
                    <m:rPr/>
                    <m:t>S</m:t>
                  </m:r>
                </m:sub>
              </m:sSub>
            </m:num>
            <m:den>
              <m:r>
                <m:rPr/>
                <m:t>2</m:t>
              </m:r>
            </m:den>
          </m:f>
          <m:r>
            <m:rPr/>
            <m:t>,</m:t>
          </m:r>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p w14:paraId="38927FB6">
      <w:pPr>
        <w:ind w:firstLine="420"/>
        <w:jc w:val="both"/>
      </w:pPr>
      <w:r>
        <w:t>本文选取 JSD、skew KL 等代表性目标，比较它们在教师分布覆盖、学生高概率区域和训练稳定性方面的差异。实验配置将完整记录目标函数、混合参数、支持集以及 K1 估计方式。</w:t>
      </w:r>
    </w:p>
    <w:p w14:paraId="13AF46E7">
      <w:pPr>
        <w:ind w:firstLine="420"/>
        <w:jc w:val="both"/>
      </w:pPr>
      <w:r>
        <w:t>散度方向在 Function Calling 中可能对应不同的生成行为。面对同一用户请求，教师可能为多个函数或不同参数表达赋予合理概率；Forward KL 更强调覆盖这些候选区域，Reverse KL 更关注学生已经形成的高概率选择，广义散度则在二者之间调节。实验将从工具选择、参数生成、格式正确性和拒答行为四个方面分析这种差异。</w:t>
      </w:r>
    </w:p>
    <w:p w14:paraId="59F60855">
      <w:pPr>
        <w:ind w:firstLine="420"/>
        <w:jc w:val="both"/>
      </w:pPr>
      <w:r>
        <w:t>教师信息的保留范围和估计方式会改变实际优化的对象。全词表方案保留有效位置上的完整教师分布；Top-K 方案仅保留指定支持集中的高概率信息，并明确截断后的重归一化与支持集外概率处理；K1 sampled-token 则用单个采样 token 估计相应期望。比较时将同时记录信息覆盖范围、教师前向次数、学生生成量、训练资源与任务指标。</w:t>
      </w:r>
    </w:p>
    <w:p w14:paraId="58810188">
      <w:pPr>
        <w:spacing w:before="0" w:after="0" w:line="360" w:lineRule="auto"/>
        <w:ind w:firstLine="420"/>
        <w:jc w:val="both"/>
      </w:pPr>
      <w:r>
        <w:rPr>
          <w:rFonts w:ascii="Times New Roman" w:hAnsi="Times New Roman" w:eastAsia="宋体"/>
          <w:sz w:val="24"/>
        </w:rPr>
        <w:t>从分布几何看，只要教师对某个 token 赋予不可忽略的概率，Forward KL 就会对学生过低的概率施加较大惩罚，因此具有覆盖倾向；Reverse KL 更强调学生当前支持集中的概率质量，更新容易集中到少数高概率模式。前者有利于保留教师分布中次优但合理的候选，后者在学生容量有限时可能更符合“优先学会最可能答案”的资源分配方式[8][9]。不过，温度、序列长度、有效 token mask 和支持集截断方式都会影响这种差异，不能只根据损失名称推断最终表现。</w:t>
      </w:r>
    </w:p>
    <w:p w14:paraId="63D91097">
      <w:pPr>
        <w:spacing w:before="0" w:after="0" w:line="360" w:lineRule="auto"/>
        <w:ind w:firstLine="420"/>
        <w:jc w:val="both"/>
      </w:pPr>
      <w:r>
        <w:rPr>
          <w:rFonts w:ascii="Times New Roman" w:hAnsi="Times New Roman" w:eastAsia="宋体"/>
          <w:sz w:val="24"/>
        </w:rPr>
        <w:t>广义散度为分布覆盖与模式选择提供了连续的折中空间。GKD 用可调散度族统一若干常见目标[7]，DistiLLM 通过 skew KL 调节两种偏好[9]，稳定化 OPD 则说明目标分布的构造会直接影响低置信度 token 上的梯度和生成多样性[12]。对小模型而言，Top-K 截断后的重归一化、教师概率下界、混合精度下的 log-sum-exp 和序列 mask 都会改变梯度尺度。本文将散度定义、支持集协议和稳定化实现一并记录，使结论能够追溯到具体计算过程。</w:t>
      </w:r>
    </w:p>
    <w:p w14:paraId="423F288F">
      <w:pPr>
        <w:pStyle w:val="3"/>
      </w:pPr>
      <w:bookmarkStart w:id="9" w:name="_Toc1307889361"/>
      <w:r>
        <w:rPr>
          <w:rFonts w:ascii="黑体" w:hAnsi="黑体" w:eastAsia="黑体" w:cs="黑体"/>
          <w:b/>
          <w:color w:val="000000"/>
          <w:sz w:val="24"/>
        </w:rPr>
        <w:t>2.4 监督信息粒度与资源效率</w:t>
      </w:r>
      <w:bookmarkEnd w:id="9"/>
    </w:p>
    <w:p w14:paraId="4D88B3D8">
      <w:pPr>
        <w:ind w:firstLine="420"/>
        <w:jc w:val="both"/>
      </w:pPr>
      <w:r>
        <w:t>全词表监督在每个位置保留完整的教师分布，信息最充分，但词表维度也带来较高的计算、显存和传输开销。Top-K 只保留指定支持集中的高概率 token，需要明确 K 值、支持集来源、截断后的归一化方式和支持集外概率处理。K1 sampled-token 则对分布目标进行单样本估计。前缀蒸馏和蒸馏设计空间研究表明，信息覆盖、训练成本和模型容量需要联合考虑[11][14][15]，本文将在统一任务中比较三种方案的效果与成本。</w:t>
      </w:r>
    </w:p>
    <w:p w14:paraId="4D26498B">
      <w:pPr>
        <w:ind w:firstLine="420"/>
        <w:jc w:val="both"/>
      </w:pPr>
      <w:r>
        <w:t>Qwen3 技术报告提供了所用模型家族的背景信息[16]。LoRA 通过低秩增量减少需要更新的参数量[19]，为小模型后训练提供了参数高效的实现路径。量化适配会额外引入量化精度和反量化开销等变量，因此不纳入主要比较。</w:t>
      </w:r>
    </w:p>
    <w:p w14:paraId="7BE9DE7C">
      <w:pPr>
        <w:spacing w:before="0" w:after="0" w:line="360" w:lineRule="auto"/>
        <w:ind w:firstLine="420"/>
        <w:jc w:val="both"/>
      </w:pPr>
      <w:r>
        <w:rPr>
          <w:rFonts w:ascii="Times New Roman" w:hAnsi="Times New Roman" w:eastAsia="宋体"/>
          <w:sz w:val="24"/>
        </w:rPr>
        <w:t>监督信息粒度同时决定教师知识的表达能力和计算成本。全词表分布能够保留长尾 token 之间的相对关系，但需要传输或即时计算大量 logits；Top-K 显著降低存储与通信压力，却引入支持集选择和尾部概率质量处理问题；K1 sampled-token 把监督进一步压缩为单样本估计，开销最低，但梯度方差、proposal 分布和随机种子会直接影响稳定性。现有研究表明，缩短监督范围可以降低成本，而目标构造又会影响训练稳定性[11][12]，因此教师信息量与最终性能并不是简单的线性关系。</w:t>
      </w:r>
    </w:p>
    <w:p w14:paraId="3028239A">
      <w:pPr>
        <w:spacing w:before="0" w:after="0" w:line="360" w:lineRule="auto"/>
        <w:ind w:firstLine="420"/>
        <w:jc w:val="both"/>
      </w:pPr>
      <w:r>
        <w:rPr>
          <w:rFonts w:ascii="Times New Roman" w:hAnsi="Times New Roman" w:eastAsia="宋体"/>
          <w:sz w:val="24"/>
        </w:rPr>
        <w:t>参数高效微调使本科阶段开展受控实验成为可能。LoRA 通过低秩增量限制可训练参数规模[19]，在本文中用于统一学生侧的更新接口，并不替代蒸馏方法本身。教师前向、学生 rollout、损失计算和 LoRA 反向传播仍是主要成本，因此除任务指标外，还需记录单步耗时、峰值显存、有效 token 吞吐和教师调用量，以判断稀疏监督节省的资源是否抵得上可能的性能损失。</w:t>
      </w:r>
    </w:p>
    <w:p w14:paraId="2ED621A1">
      <w:pPr>
        <w:pStyle w:val="3"/>
      </w:pPr>
      <w:bookmarkStart w:id="10" w:name="_Toc53879635"/>
      <w:r>
        <w:rPr>
          <w:rFonts w:ascii="黑体" w:hAnsi="黑体" w:eastAsia="黑体" w:cs="黑体"/>
          <w:b/>
          <w:color w:val="000000"/>
          <w:sz w:val="24"/>
        </w:rPr>
        <w:t>2.5 Function Calling 数据与评测研究</w:t>
      </w:r>
      <w:bookmarkEnd w:id="10"/>
    </w:p>
    <w:p w14:paraId="2320FC66">
      <w:pPr>
        <w:ind w:firstLine="420"/>
        <w:jc w:val="both"/>
      </w:pPr>
      <w:r>
        <w:t>ReAct 将语言模型的推理过程与外部行动交替组织，为工具增强模型提供了通用范式[21]。围绕 Function Calling，现有研究又形成了从 API 文档理解、函数检索和调用规划到执行评测的多条路线：Gorilla/APIBench 关注 API 文档与调用正确性[22]；API-Bank 覆盖工具规划、API 检索和调用[23]；ToolLLM/ToolBench 构造了大量与真实 API 相关的任务，并讨论多工具与多步调用[24]；APIGen 强调可执行 API、格式检查和语义验证[25]；ToolACE 则利用 API 池和多层检查生成多样化的函数调用数据[26]。</w:t>
      </w:r>
    </w:p>
    <w:p w14:paraId="41ED9722">
      <w:pPr>
        <w:ind w:firstLine="420"/>
        <w:jc w:val="both"/>
      </w:pPr>
      <w:r>
        <w:t>本文将从公开 Function Calling 数据中筛选训练样本。APIGen、ToolACE、API-Bank 和 ToolBench 可为数据来源选择、任务分类和评测设计提供参考。数据准备阶段将记录数据快照、许可证、字段映射、过滤规则、重复样本处理方式，以及与独立测试集的重叠检查结果。</w:t>
      </w:r>
    </w:p>
    <w:p w14:paraId="651AE3DD">
      <w:pPr>
        <w:ind w:firstLine="420"/>
        <w:jc w:val="both"/>
      </w:pPr>
      <w:r>
        <w:t>公开数据进入训练流程前，需要通过结构、语义和执行三类检查。结构检查关注工具 schema、函数名、参数类型和目标调用能否统一解析；语义检查判断用户问题与目标工具、目标参数是否一致；执行检查验证调用能否在本地模拟环境中运行，并产生可供后续对话使用的结果。APIGen 和 ToolACE 的多层检查方法为这一审计流程提供了参考[25][26]。</w:t>
      </w:r>
    </w:p>
    <w:p w14:paraId="034FA389">
      <w:pPr>
        <w:ind w:firstLine="420"/>
        <w:jc w:val="both"/>
      </w:pPr>
      <w:r>
        <w:t>训练集与测试集还应避免工具 schema、用户问题模板和目标调用的重复。如果训练数据与 BFCL 或其他独立测试集共享相同的 API 定义，模型表现可能来自记忆而非泛化；即使工具名称不同，只要参数结构高度相似，也应在分析中说明潜在泄漏。最终的数据审计报告将保存字段统计、异常类别、去重规则和版本指纹。</w:t>
      </w:r>
    </w:p>
    <w:p w14:paraId="6145C566">
      <w:pPr>
        <w:ind w:firstLine="420"/>
        <w:jc w:val="both"/>
      </w:pPr>
      <w:r>
        <w:t>BFCL 覆盖结构化调用、并行调用、串行调用和拒答等场景[27]。本文将结合公开 Function Calling 测试规范与自建模拟函数，分别评估格式合法率、函数选择准确率、参数准确率、调用执行成功率和端到端任务成功率。</w:t>
      </w:r>
    </w:p>
    <w:p w14:paraId="0C0F1F38">
      <w:pPr>
        <w:spacing w:before="0" w:after="0" w:line="360" w:lineRule="auto"/>
        <w:ind w:firstLine="420"/>
        <w:jc w:val="both"/>
      </w:pPr>
      <w:r>
        <w:rPr>
          <w:rFonts w:ascii="Times New Roman" w:hAnsi="Times New Roman" w:eastAsia="宋体"/>
          <w:sz w:val="24"/>
        </w:rPr>
        <w:t>Function Calling 数据经历了从少量人工接口描述到大规模合成、执行校验和难例生成的发展。Gorilla 关注 API 检索与调用生成[22]；API-Bank 与 ToolLLM/ToolBench 将多工具、多轮交互和工具学习过程纳入数据构造[23][24]；APIGen 强调可验证的数据生成流程[25]；ToolACE 进一步扩展了工具类型和调用模式[26]。这些数据集在 schema 形式、参数约束、对话模板和可执行性上并不完全一致，直接拼接容易把模板差异误判为模型能力差异。因此，字段映射、去重、可解析性检查和 schema 一致性审计是方法比较的必要前提。</w:t>
      </w:r>
    </w:p>
    <w:p w14:paraId="44C1FF56">
      <w:pPr>
        <w:spacing w:before="0" w:after="0" w:line="360" w:lineRule="auto"/>
        <w:ind w:firstLine="420"/>
        <w:jc w:val="both"/>
      </w:pPr>
      <w:r>
        <w:rPr>
          <w:rFonts w:ascii="Times New Roman" w:hAnsi="Times New Roman" w:eastAsia="宋体"/>
          <w:sz w:val="24"/>
        </w:rPr>
        <w:t>在评测方面，Berkeley Function Calling Leaderboard 通过真实与合成场景检验函数选择、参数生成及多轮调用能力，为统一测试提供了较成熟的任务划分[27]。但总体准确率会掩盖具体错误来源：模型可能选错函数、遗漏必需参数、生成无法解析的 JSON，或在无需调用时过度调用。本文将在统一解码协议下分层统计结构合法率、函数选择正确率、参数级正确性和端到端成功率，并把训练效率、推理吞吐与显存占用纳入分析。这样既能对应公开评测，也能解释不同蒸馏目标和监督粒度产生差异的原因。</w:t>
      </w:r>
    </w:p>
    <w:p w14:paraId="58E976CF">
      <w:pPr>
        <w:spacing w:before="0" w:after="0" w:line="360" w:lineRule="auto"/>
        <w:ind w:firstLine="420"/>
        <w:jc w:val="both"/>
      </w:pPr>
      <w:r>
        <w:rPr>
          <w:rFonts w:ascii="Times New Roman" w:hAnsi="Times New Roman" w:eastAsia="宋体"/>
          <w:sz w:val="24"/>
        </w:rPr>
        <w:t>总体来看，现有研究已经形成从学生状态采样、教师分布监督到参数高效更新的完整技术链条，但不同工作常同时改变模型规模、数据来源、散度目标和教师信息预算，结果难以直接横向比较。本文将固定 Qwen3-4B 教师、Qwen3-0.6B 学生和公开 Function Calling 数据，围绕 Forward KL、Reverse KL、广义散度，以及全词表、Top-K、K1 三类监督方式开展受控比较。研究目标是系统复现并分离这些方法变量，而不预设尚未得到实验支持的结论。</w:t>
      </w:r>
    </w:p>
    <w:p w14:paraId="7D373851">
      <w:pPr>
        <w:pStyle w:val="3"/>
      </w:pPr>
      <w:bookmarkStart w:id="11" w:name="_Toc1464410058"/>
      <w:r>
        <w:rPr>
          <w:rFonts w:ascii="黑体" w:hAnsi="黑体" w:eastAsia="黑体" w:cs="黑体"/>
          <w:b/>
          <w:color w:val="000000"/>
          <w:sz w:val="24"/>
        </w:rPr>
        <w:t>2.6 现有方法的问题与本文的研究切入点</w:t>
      </w:r>
      <w:bookmarkEnd w:id="11"/>
    </w:p>
    <w:p w14:paraId="671E03D8">
      <w:pPr>
        <w:ind w:firstLine="420"/>
        <w:jc w:val="both"/>
      </w:pPr>
      <w:r>
        <w:t>现有方法首先面临训练状态与部署状态不一致的问题。监督微调和离线蒸馏主要在参考答案或教师轨迹上优化，而学生在推理时必须沿自身预测继续生成，早期偏差会改变后续前缀并产生误差累积[3][4][5]。OPD 通过在学生到访状态上查询教师缓解这种分布偏移，但学生轨迹本身可能包含噪声、无效前缀或结构错误，教师反馈是否仍然有效取决于学生访问了哪些状态[7][10]。</w:t>
      </w:r>
    </w:p>
    <w:p w14:paraId="0A9C58A2">
      <w:pPr>
        <w:ind w:firstLine="420"/>
        <w:jc w:val="both"/>
      </w:pPr>
      <w:r>
        <w:t>其次，即使状态来源相同，蒸馏目标仍会改变知识传递的方向。Forward KL 强调覆盖教师分布，Reverse KL 更关注学生当前支持集，skew KL、JSD 等广义散度则在两种倾向之间调节[7][8][9]。已有研究还表明，低置信度 token、师生分布差异和目标构造方式可能造成梯度异常或多样性下降[12]，因此不能脱离具体任务和学生容量评价某一种散度。</w:t>
      </w:r>
    </w:p>
    <w:p w14:paraId="327DDAEA">
      <w:pPr>
        <w:ind w:firstLine="420"/>
        <w:jc w:val="both"/>
      </w:pPr>
      <w:r>
        <w:t>最后，教师信息越完整，计算和存储成本通常越高。全词表监督保留完整分布，Top-K 和单样本估计能够压缩反馈，却会引入支持集截断、概率质量丢失与估计方差。前缀蒸馏与相关效率研究说明，更多教师信息并不必然带来等比例收益[11][14][15]。据此，本文把现有问题归纳为三个相互关联的研究问题：学生状态分布上的教师监督是否有效，不同散度如何影响优化行为，以及监督信息粒度如何在效果与资源开销之间取得平衡。Function Calling 的结构化输出和可执行评测为回答这三个问题提供了统一场景。</w:t>
      </w:r>
    </w:p>
    <w:p w14:paraId="779437DC">
      <w:pPr>
        <w:pStyle w:val="2"/>
      </w:pPr>
      <w:bookmarkStart w:id="12" w:name="_Toc29766539"/>
      <w:r>
        <w:rPr>
          <w:rFonts w:ascii="黑体" w:hAnsi="黑体" w:eastAsia="黑体" w:cs="黑体"/>
          <w:b/>
          <w:color w:val="000000"/>
          <w:sz w:val="28"/>
        </w:rPr>
        <w:t>3．主要研究内容</w:t>
      </w:r>
      <w:bookmarkEnd w:id="12"/>
    </w:p>
    <w:p w14:paraId="6D3F1612">
      <w:pPr>
        <w:pStyle w:val="3"/>
      </w:pPr>
      <w:bookmarkStart w:id="13" w:name="_Toc2070014869"/>
      <w:r>
        <w:rPr>
          <w:rFonts w:ascii="黑体" w:hAnsi="黑体" w:eastAsia="黑体" w:cs="黑体"/>
          <w:b/>
          <w:color w:val="000000"/>
          <w:sz w:val="24"/>
        </w:rPr>
        <w:t>3.1 研究问题概述</w:t>
      </w:r>
      <w:bookmarkEnd w:id="13"/>
    </w:p>
    <w:p w14:paraId="71C6F5B5">
      <w:pPr>
        <w:ind w:firstLine="420"/>
        <w:jc w:val="both"/>
      </w:pPr>
      <w:r>
        <w:t>本文不把模型、数据、LoRA 配置和评测脚本分别列为独立研究内容，而把它们视为统一实验条件。在此基础上，研究内容归纳为以下三个问题，并分别对应论文第 3.2、3.3 和 3.4 节：</w:t>
      </w:r>
    </w:p>
    <w:p w14:paraId="264D2FA9">
      <w:pPr>
        <w:pStyle w:val="17"/>
        <w:ind w:firstLine="420"/>
        <w:jc w:val="left"/>
      </w:pPr>
      <w:r>
        <w:t>1. 学生状态分布问题：教师在学生自主生成的哪些状态上提供反馈，才能真正缓解训练与推理之间的分布偏移？</w:t>
      </w:r>
    </w:p>
    <w:p w14:paraId="1E031E97">
      <w:pPr>
        <w:pStyle w:val="17"/>
        <w:ind w:firstLine="420"/>
        <w:jc w:val="left"/>
      </w:pPr>
      <w:r>
        <w:t>2. 散度目标问题：Forward KL、Reverse KL 和广义散度如何改变学生的分布覆盖、模式选择与训练稳定性？</w:t>
      </w:r>
    </w:p>
    <w:p w14:paraId="2D6DF87B">
      <w:pPr>
        <w:pStyle w:val="17"/>
        <w:ind w:firstLine="420"/>
        <w:jc w:val="left"/>
      </w:pPr>
      <w:r>
        <w:t>3. 监督信息粒度问题：全词表、Top-K 和 K1 sampled-token 如何在任务效果、估计方差与教师反馈成本之间权衡？</w:t>
      </w:r>
    </w:p>
    <w:p w14:paraId="1EEDD05E">
      <w:pPr>
        <w:pStyle w:val="3"/>
      </w:pPr>
      <w:bookmarkStart w:id="14" w:name="_Toc1504821883"/>
      <w:r>
        <w:rPr>
          <w:rFonts w:ascii="黑体" w:hAnsi="黑体" w:eastAsia="黑体" w:cs="黑体"/>
          <w:b/>
          <w:color w:val="000000"/>
          <w:sz w:val="24"/>
        </w:rPr>
        <w:t>3.2 学生状态分布上的有效教师监督</w:t>
      </w:r>
      <w:bookmarkEnd w:id="14"/>
    </w:p>
    <w:p w14:paraId="306F781D">
      <w:pPr>
        <w:ind w:firstLine="420"/>
        <w:jc w:val="both"/>
      </w:pPr>
      <w:r>
        <w:t>第一个问题关注“在哪里学习”。学生 rollout 决定教师监督所覆盖的前缀状态；状态过于接近参考答案，难以暴露部署时的真实错误，状态质量过低，又可能使教师反馈被噪声主导。研究将固定模型、数据和生成协议，分析学生前缀、格式错误与任务结果之间的关系，判断 OPD 相对于离线蒸馏是否确实改善了有效状态覆盖[7][10][11]。</w:t>
      </w:r>
    </w:p>
    <w:p w14:paraId="1514E400">
      <w:pPr>
        <w:pStyle w:val="3"/>
      </w:pPr>
      <w:bookmarkStart w:id="15" w:name="_Toc626476862"/>
      <w:r>
        <w:rPr>
          <w:rFonts w:ascii="黑体" w:hAnsi="黑体" w:eastAsia="黑体" w:cs="黑体"/>
          <w:b/>
          <w:color w:val="000000"/>
          <w:sz w:val="24"/>
        </w:rPr>
        <w:t>3.3 不同散度目标的优化偏好</w:t>
      </w:r>
      <w:bookmarkEnd w:id="15"/>
    </w:p>
    <w:p w14:paraId="6EF7E413">
      <w:pPr>
        <w:ind w:firstLine="420"/>
        <w:jc w:val="both"/>
      </w:pPr>
      <w:r>
        <w:t>第二个问题关注“如何学习”。在相同学生轨迹上，Forward KL、Reverse KL 与广义散度对教师分布的利用方式不同，可能分别表现为候选覆盖、模式集中或二者之间的折中。研究将通过训练稳定性、分布统计和 Function Calling 错误类型，解释不同散度产生差异的原因，而不是只比较单一的最终准确率[7][8][9][12]。</w:t>
      </w:r>
    </w:p>
    <w:p w14:paraId="7F13BEDA">
      <w:pPr>
        <w:pStyle w:val="3"/>
      </w:pPr>
      <w:bookmarkStart w:id="16" w:name="_Toc84298393"/>
      <w:r>
        <w:rPr>
          <w:rFonts w:ascii="黑体" w:hAnsi="黑体" w:eastAsia="黑体" w:cs="黑体"/>
          <w:b/>
          <w:color w:val="000000"/>
          <w:sz w:val="24"/>
        </w:rPr>
        <w:t>3.4 监督信息粒度与资源效率</w:t>
      </w:r>
      <w:bookmarkEnd w:id="16"/>
    </w:p>
    <w:p w14:paraId="7DA378CA">
      <w:pPr>
        <w:ind w:firstLine="420"/>
        <w:jc w:val="both"/>
      </w:pPr>
      <w:r>
        <w:t>第三个问题关注“使用多少教师信息”。全词表监督、Top-K 和 K1 sampled-token 逐步减少教师信息量，同时改变支持集覆盖、估计偏差和梯度方差。研究将在统一训练预算下同时报告任务表现、教师反馈量、训练时间和显存占用，从而判断稀疏监督节省的资源是否足以补偿可能的性能损失[11][14][15]。</w:t>
      </w:r>
    </w:p>
    <w:p w14:paraId="0FF2725B">
      <w:pPr>
        <w:pStyle w:val="3"/>
      </w:pPr>
      <w:bookmarkStart w:id="17" w:name="_Toc1611367778"/>
      <w:r>
        <w:rPr>
          <w:rFonts w:ascii="黑体" w:hAnsi="黑体" w:eastAsia="黑体" w:cs="黑体"/>
          <w:b/>
          <w:color w:val="000000"/>
          <w:sz w:val="24"/>
        </w:rPr>
        <w:t>3.5 三个研究问题之间的关系</w:t>
      </w:r>
      <w:bookmarkEnd w:id="17"/>
    </w:p>
    <w:p w14:paraId="03761740">
      <w:pPr>
        <w:ind w:firstLine="420"/>
        <w:jc w:val="both"/>
      </w:pPr>
      <w:r>
        <w:t xml:space="preserve">三个问题的关系如图 </w:t>
      </w:r>
      <w:r>
        <w:fldChar w:fldCharType="begin"/>
      </w:r>
      <w:r>
        <w:instrText xml:space="preserve"> REF _RefFigureResearchQuestions \h </w:instrText>
      </w:r>
      <w:r>
        <w:fldChar w:fldCharType="separate"/>
      </w:r>
      <w:r>
        <w:rPr>
          <w:rFonts w:ascii="Times New Roman" w:hAnsi="Times New Roman" w:eastAsia="宋体"/>
          <w:sz w:val="21"/>
        </w:rPr>
        <w:t>1</w:t>
      </w:r>
      <w:r>
        <w:fldChar w:fldCharType="end"/>
      </w:r>
      <w:r>
        <w:t xml:space="preserve"> 所示。学生状态分布确定教师监督发生的位置，散度目标决定教师分布如何转化为参数更新，监督信息粒度进一步限定可用信息及其计算成本。三者最终在统一的 Function Calling 评测框架中接受任务效果、训练稳定性和资源开销的共同检验。</w:t>
      </w:r>
    </w:p>
    <w:p w14:paraId="331B1F56">
      <w:pPr>
        <w:keepNext/>
        <w:jc w:val="center"/>
      </w:pPr>
      <w:r>
        <w:drawing>
          <wp:inline distT="0" distB="0" distL="114300" distR="114300">
            <wp:extent cx="5615940" cy="2526665"/>
            <wp:effectExtent l="0" t="0" r="2286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5616000" cy="2527200"/>
                    </a:xfrm>
                    <a:prstGeom prst="rect">
                      <a:avLst/>
                    </a:prstGeom>
                  </pic:spPr>
                </pic:pic>
              </a:graphicData>
            </a:graphic>
          </wp:inline>
        </w:drawing>
      </w:r>
    </w:p>
    <w:p w14:paraId="6E3282B4">
      <w:pPr>
        <w:spacing w:before="0" w:after="120" w:line="240" w:lineRule="auto"/>
        <w:ind w:firstLine="0"/>
        <w:jc w:val="center"/>
      </w:pPr>
      <w:r>
        <w:rPr>
          <w:rFonts w:ascii="Times New Roman" w:hAnsi="Times New Roman" w:eastAsia="宋体"/>
          <w:sz w:val="21"/>
        </w:rPr>
        <w:t xml:space="preserve">图 </w:t>
      </w:r>
      <w:bookmarkStart w:id="18" w:name="_RefFigureResearchQuestions"/>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1</w:t>
      </w:r>
      <w:r>
        <w:rPr>
          <w:rFonts w:ascii="Times New Roman" w:hAnsi="Times New Roman" w:eastAsia="宋体"/>
          <w:sz w:val="21"/>
        </w:rPr>
        <w:fldChar w:fldCharType="end"/>
      </w:r>
      <w:bookmarkEnd w:id="18"/>
      <w:r>
        <w:rPr>
          <w:rFonts w:ascii="Times New Roman" w:hAnsi="Times New Roman" w:eastAsia="宋体"/>
          <w:sz w:val="21"/>
        </w:rPr>
        <w:t xml:space="preserve">  三个研究问题及其关系</w:t>
      </w:r>
    </w:p>
    <w:p w14:paraId="575D3309">
      <w:pPr>
        <w:pStyle w:val="2"/>
      </w:pPr>
      <w:bookmarkStart w:id="19" w:name="_Toc341972529"/>
      <w:r>
        <w:rPr>
          <w:rFonts w:ascii="黑体" w:hAnsi="黑体" w:eastAsia="黑体" w:cs="黑体"/>
          <w:b/>
          <w:color w:val="000000"/>
          <w:sz w:val="28"/>
        </w:rPr>
        <w:t>4．研究方案</w:t>
      </w:r>
      <w:bookmarkEnd w:id="19"/>
    </w:p>
    <w:p w14:paraId="1076D32B">
      <w:pPr>
        <w:pStyle w:val="3"/>
      </w:pPr>
      <w:bookmarkStart w:id="20" w:name="_Toc866055531"/>
      <w:r>
        <w:rPr>
          <w:rFonts w:ascii="黑体" w:hAnsi="黑体" w:eastAsia="黑体" w:cs="黑体"/>
          <w:b/>
          <w:color w:val="000000"/>
          <w:sz w:val="24"/>
        </w:rPr>
        <w:t>4.1 总体技术路线</w:t>
      </w:r>
      <w:bookmarkEnd w:id="20"/>
    </w:p>
    <w:p w14:paraId="7703D721">
      <w:pPr>
        <w:spacing w:before="0" w:after="0" w:line="360" w:lineRule="auto"/>
        <w:ind w:firstLine="420"/>
        <w:jc w:val="both"/>
      </w:pPr>
      <w:r>
        <w:rPr>
          <w:rFonts w:ascii="Times New Roman" w:hAnsi="Times New Roman" w:eastAsia="宋体"/>
          <w:sz w:val="24"/>
        </w:rPr>
        <w:t xml:space="preserve">研究总体技术路线如图 </w:t>
      </w:r>
      <w:r>
        <w:rPr>
          <w:rFonts w:ascii="Times New Roman" w:hAnsi="Times New Roman" w:eastAsia="宋体"/>
          <w:sz w:val="24"/>
        </w:rPr>
        <w:fldChar w:fldCharType="begin"/>
      </w:r>
      <w:r>
        <w:rPr>
          <w:rFonts w:ascii="Times New Roman" w:hAnsi="Times New Roman" w:eastAsia="宋体"/>
          <w:sz w:val="24"/>
        </w:rPr>
        <w:instrText xml:space="preserve"> REF _RefFigure1 \h </w:instrText>
      </w:r>
      <w:r>
        <w:rPr>
          <w:rFonts w:ascii="Times New Roman" w:hAnsi="Times New Roman" w:eastAsia="宋体"/>
          <w:sz w:val="24"/>
        </w:rPr>
        <w:fldChar w:fldCharType="separate"/>
      </w:r>
      <w:r>
        <w:rPr>
          <w:rFonts w:ascii="Times New Roman" w:hAnsi="Times New Roman" w:eastAsia="宋体"/>
          <w:sz w:val="21"/>
        </w:rPr>
        <w:t>2</w:t>
      </w:r>
      <w:r>
        <w:rPr>
          <w:rFonts w:ascii="Times New Roman" w:hAnsi="Times New Roman" w:eastAsia="宋体"/>
          <w:sz w:val="24"/>
        </w:rPr>
        <w:fldChar w:fldCharType="end"/>
      </w:r>
      <w:r>
        <w:rPr>
          <w:rFonts w:ascii="Times New Roman" w:hAnsi="Times New Roman" w:eastAsia="宋体"/>
          <w:sz w:val="24"/>
        </w:rPr>
        <w:t xml:space="preserve"> 所示。</w:t>
      </w:r>
    </w:p>
    <w:p w14:paraId="01318956">
      <w:pPr>
        <w:ind w:firstLine="420"/>
        <w:jc w:val="both"/>
      </w:pPr>
      <w:r>
        <w:t>总体技术路线包括模型与数据准备、SFT 基线、在线策略蒸馏、统一评测和结果分析。每项实验均记录模型与数据版本、损失定义、支持集协议、训练参数和评测脚本。</w:t>
      </w:r>
    </w:p>
    <w:p w14:paraId="7804E4EE">
      <w:pPr>
        <w:ind w:firstLine="420"/>
        <w:jc w:val="both"/>
      </w:pPr>
      <w:r>
        <w:t>每项实验关联四类信息：研究定义，包括散度、监督粒度、支持集和 mask；数据定义，包括来源、版本、划分和过滤规则；模型定义，包括学生、教师、LoRA 与模板；运行定义，包括随机种子、计算资源、依赖和执行命令。这些信息共同构成复现实验和解释结果的依据。</w:t>
      </w:r>
    </w:p>
    <w:p w14:paraId="48F18072">
      <w:pPr>
        <w:ind w:firstLine="420"/>
        <w:jc w:val="both"/>
      </w:pPr>
      <w:r>
        <w:t>形式化地，设输入 x 来自任务数据分布 𝒟，学生策略为 πθ，冻结教师策略为 πφ。学生先按照当前策略生成轨迹 y；在有效位置 t，教师和学生基于同一学生前缀给出条件分布：</w:t>
      </w:r>
    </w:p>
    <w:p w14:paraId="6226FBD8">
      <w:pPr>
        <w:ind w:firstLine="0"/>
        <w:jc w:val="center"/>
      </w:pPr>
      <w:r>
        <w:rPr>
          <w:rFonts w:ascii="Cambria Math" w:hAnsi="Cambria Math" w:eastAsia="Cambria Math"/>
          <w:sz w:val="23"/>
        </w:rPr>
        <w:t>y ∼ πθ(·|x)，    pT,t = πφ(·|x, y&lt;t)，    pS,t = πθ(·|x, y&lt;t)。</w:t>
      </w:r>
    </w:p>
    <w:p w14:paraId="23AEF243">
      <w:pPr>
        <w:ind w:firstLine="0"/>
        <w:jc w:val="center"/>
      </w:pPr>
      <w:r>
        <w:rPr>
          <w:rFonts w:ascii="Cambria Math" w:hAnsi="Cambria Math" w:eastAsia="Cambria Math"/>
          <w:sz w:val="23"/>
        </w:rPr>
        <w:t>LD(θ) = 𝔼x∼𝒟 𝔼y∼πθ(·|x) [ (1/|M|) Σt∈M D(pT,t ‖ pS,t) ]。</w:t>
      </w:r>
    </w:p>
    <w:p w14:paraId="221E3077">
      <w:pPr>
        <w:ind w:firstLine="420"/>
        <w:jc w:val="both"/>
      </w:pPr>
      <w:r>
        <w:t>其中，M 表示由消息边界、工具边界和响应位置确定的有效 token 集，D 表示待比较的散度。监督信息粒度由压缩或采样算子 Cg 控制：</w:t>
      </w:r>
    </w:p>
    <w:p w14:paraId="7DD08C89">
      <w:pPr>
        <w:ind w:firstLine="0"/>
        <w:jc w:val="center"/>
      </w:pPr>
      <w:r>
        <w:rPr>
          <w:rFonts w:ascii="Cambria Math" w:hAnsi="Cambria Math" w:eastAsia="Cambria Math"/>
          <w:sz w:val="23"/>
        </w:rPr>
        <w:t>qT,t = Cg(pT,t)，    g ∈ {Full Vocabulary, Top-K, K1}。</w:t>
      </w:r>
    </w:p>
    <w:p w14:paraId="700F0B62">
      <w:pPr>
        <w:ind w:firstLine="420"/>
        <w:jc w:val="both"/>
      </w:pPr>
      <w:r>
        <w:t>上述表达把三个研究问题对应到同一目标中：轨迹分布 y∼πθ 决定监督状态，散度 D 决定优化偏好，算子 Cg 决定教师信息的保留范围和计算成本。后续实验只改变其中一个因素，其余条件保持一致。</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06440" cy="2177415"/>
                    </a:xfrm>
                    <a:prstGeom prst="rect">
                      <a:avLst/>
                    </a:prstGeom>
                  </pic:spPr>
                </pic:pic>
              </a:graphicData>
            </a:graphic>
          </wp:inline>
        </w:drawing>
      </w:r>
    </w:p>
    <w:p w14:paraId="61C757E0">
      <w:pPr>
        <w:spacing w:before="0" w:after="120" w:line="240" w:lineRule="auto"/>
        <w:ind w:firstLine="0"/>
        <w:jc w:val="center"/>
      </w:pPr>
      <w:r>
        <w:rPr>
          <w:rFonts w:ascii="Times New Roman" w:hAnsi="Times New Roman" w:eastAsia="宋体"/>
          <w:sz w:val="21"/>
        </w:rPr>
        <w:t xml:space="preserve">图 </w:t>
      </w:r>
      <w:bookmarkStart w:id="21" w:name="_RefFigure1"/>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2</w:t>
      </w:r>
      <w:r>
        <w:rPr>
          <w:rFonts w:ascii="Times New Roman" w:hAnsi="Times New Roman" w:eastAsia="宋体"/>
          <w:sz w:val="21"/>
        </w:rPr>
        <w:fldChar w:fldCharType="end"/>
      </w:r>
      <w:bookmarkEnd w:id="21"/>
      <w:r>
        <w:rPr>
          <w:rFonts w:ascii="Times New Roman" w:hAnsi="Times New Roman" w:eastAsia="宋体"/>
          <w:sz w:val="21"/>
        </w:rPr>
        <w:t xml:space="preserve">  研究总体技术路线</w:t>
      </w:r>
    </w:p>
    <w:p w14:paraId="51D0960D">
      <w:pPr>
        <w:pStyle w:val="3"/>
      </w:pPr>
      <w:bookmarkStart w:id="22" w:name="_Toc151150151"/>
      <w:r>
        <w:rPr>
          <w:rFonts w:ascii="黑体" w:hAnsi="黑体" w:eastAsia="黑体" w:cs="黑体"/>
          <w:b/>
          <w:color w:val="000000"/>
          <w:sz w:val="24"/>
        </w:rPr>
        <w:t>4.2 模型和数据准备</w:t>
      </w:r>
      <w:bookmarkEnd w:id="22"/>
    </w:p>
    <w:p w14:paraId="51F515C2">
      <w:pPr>
        <w:ind w:firstLine="420"/>
        <w:jc w:val="both"/>
      </w:pPr>
      <w:r>
        <w:t>模型方面，选用 Qwen3-0.6B 作为学生、Qwen3-4B 作为教师。教师参数保持冻结，学生仅更新 LoRA 参数。训练前检查师生 tokenizer 的词表、特殊 token、消息模板和函数调用格式，并通过回环测试验证编码、解码与 token 对齐。模型家族信息以 Qwen3 技术报告为依据[16]。</w:t>
      </w:r>
    </w:p>
    <w:p w14:paraId="33260523">
      <w:pPr>
        <w:ind w:firstLine="420"/>
        <w:jc w:val="both"/>
      </w:pPr>
      <w:r>
        <w:t>数据方面，核验公开 Function Calling 数据的来源、许可证、字段含义和版本，再把实际字段转换为统一的用户消息、工具 schema、调用响应与工具结果表示。训练集、验证集和测试集按照来源与模板隔离，并记录划分比例、子集范围和去重规则。API-Bank、ToolLLM/ToolBench、APIGen 和 ToolACE 为数据选择与构造提供参考[23][24][25][26]。</w:t>
      </w:r>
    </w:p>
    <w:p w14:paraId="1EA2CC71">
      <w:pPr>
        <w:ind w:firstLine="420"/>
        <w:jc w:val="both"/>
      </w:pPr>
      <w:r>
        <w:t>数据审计重点处理三类异常：schema 语法错误、参数标签与用户意图不一致，以及工具返回缺失或格式不统一。评测器保留原始样本、规范化样本和失败原因，并对自动检查结果进行抽样复核。</w:t>
      </w:r>
    </w:p>
    <w:p w14:paraId="681BB8C6">
      <w:pPr>
        <w:pStyle w:val="3"/>
      </w:pPr>
      <w:bookmarkStart w:id="23" w:name="_Toc2054917103"/>
      <w:r>
        <w:rPr>
          <w:rFonts w:ascii="黑体" w:hAnsi="黑体" w:eastAsia="黑体" w:cs="黑体"/>
          <w:b/>
          <w:color w:val="000000"/>
          <w:sz w:val="24"/>
        </w:rPr>
        <w:t>4.3 学生 rollout 和教师反馈</w:t>
      </w:r>
      <w:bookmarkEnd w:id="23"/>
    </w:p>
    <w:p w14:paraId="343B3713">
      <w:pPr>
        <w:spacing w:before="0" w:after="0" w:line="360" w:lineRule="auto"/>
        <w:ind w:firstLine="420"/>
        <w:jc w:val="both"/>
      </w:pPr>
      <w:r>
        <w:rPr>
          <w:rFonts w:ascii="Times New Roman" w:hAnsi="Times New Roman" w:eastAsia="宋体"/>
          <w:sz w:val="24"/>
        </w:rPr>
        <w:t xml:space="preserve">在线策略蒸馏的训练、反馈与评测关系如图 </w:t>
      </w:r>
      <w:r>
        <w:rPr>
          <w:rFonts w:ascii="Times New Roman" w:hAnsi="Times New Roman" w:eastAsia="宋体"/>
          <w:sz w:val="24"/>
        </w:rPr>
        <w:fldChar w:fldCharType="begin"/>
      </w:r>
      <w:r>
        <w:rPr>
          <w:rFonts w:ascii="Times New Roman" w:hAnsi="Times New Roman" w:eastAsia="宋体"/>
          <w:sz w:val="24"/>
        </w:rPr>
        <w:instrText xml:space="preserve"> REF _RefFigure2 \h </w:instrText>
      </w:r>
      <w:r>
        <w:rPr>
          <w:rFonts w:ascii="Times New Roman" w:hAnsi="Times New Roman" w:eastAsia="宋体"/>
          <w:sz w:val="24"/>
        </w:rPr>
        <w:fldChar w:fldCharType="separate"/>
      </w:r>
      <w:r>
        <w:rPr>
          <w:rFonts w:ascii="Times New Roman" w:hAnsi="Times New Roman" w:eastAsia="宋体"/>
          <w:sz w:val="21"/>
        </w:rPr>
        <w:t>3</w:t>
      </w:r>
      <w:r>
        <w:rPr>
          <w:rFonts w:ascii="Times New Roman" w:hAnsi="Times New Roman" w:eastAsia="宋体"/>
          <w:sz w:val="24"/>
        </w:rPr>
        <w:fldChar w:fldCharType="end"/>
      </w:r>
      <w:r>
        <w:rPr>
          <w:rFonts w:ascii="Times New Roman" w:hAnsi="Times New Roman" w:eastAsia="宋体"/>
          <w:sz w:val="24"/>
        </w:rPr>
        <w:t xml:space="preserve"> 所示。</w:t>
      </w:r>
    </w:p>
    <w:p w14:paraId="03869395">
      <w:pPr>
        <w:ind w:firstLine="420"/>
        <w:jc w:val="both"/>
      </w:pPr>
      <w:r>
        <w:t>学生 rollout 的温度、停止条件、最大生成长度、非法格式处理和重试规则均作为控制变量写入配置；所有比较组使用相同的采样与后处理协议。</w:t>
      </w:r>
    </w:p>
    <w:p w14:paraId="38107A53">
      <w:pPr>
        <w:ind w:firstLine="420"/>
        <w:jc w:val="both"/>
      </w:pPr>
      <w:r>
        <w:t>教师模型在学生访问的前缀上提供完整分布或局部 token 信息，学生模型依据相同前缀计算蒸馏目标，教师参数始终冻结。全词表、Top-K 和 K1 只改变教师信息的保留或估计方式，数据划分、rollout 条件和总训练预算保持不变。</w:t>
      </w:r>
    </w:p>
    <w:p w14:paraId="34612BD4">
      <w:pPr>
        <w:keepNext/>
        <w:spacing w:before="80" w:after="80" w:line="240" w:lineRule="auto"/>
        <w:ind w:left="0" w:right="0" w:firstLine="0"/>
        <w:jc w:val="center"/>
      </w:pPr>
      <w:r>
        <w:rPr>
          <w:rFonts w:ascii="Times New Roman" w:hAnsi="Times New Roman" w:eastAsia="Songti SC"/>
          <w:sz w:val="21"/>
        </w:rPr>
        <w:t xml:space="preserve">表 </w:t>
      </w:r>
      <w:bookmarkStart w:id="24" w:name="_RefTable4_1"/>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24"/>
      <w:r>
        <w:rPr>
          <w:rFonts w:ascii="Times New Roman" w:hAnsi="Times New Roman" w:eastAsia="Songti SC"/>
          <w:sz w:val="21"/>
        </w:rPr>
        <w:t xml:space="preserve">  在线策略蒸馏各环节的统一与记录要求</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学生前缀、教师模型与 token 对齐关系</w:t>
            </w:r>
          </w:p>
        </w:tc>
        <w:tc>
          <w:tcPr>
            <w:tcW w:w="4148" w:type="dxa"/>
          </w:tcPr>
          <w:p w14:paraId="35BEDF60">
            <w:pPr>
              <w:ind w:firstLine="0"/>
              <w:jc w:val="left"/>
            </w:pPr>
            <w:r>
              <w:t>反馈粒度、支持集和教师计算量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散度设置、梯度处理和异常损失</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函数、参数、执行及端到端调用结果</w:t>
            </w:r>
          </w:p>
        </w:tc>
      </w:tr>
    </w:tbl>
    <w:p w14:paraId="1A4B1F6D">
      <w:pPr>
        <w:ind w:firstLine="420"/>
        <w:jc w:val="both"/>
      </w:pPr>
      <w:r>
        <w:t>所有方法共用数据读取、学生 rollout、教师评分和指标记录接口，使不同对照组仅在目标函数或监督信息粒度上有所区别。</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 xml:space="preserve">图 </w:t>
      </w:r>
      <w:bookmarkStart w:id="25" w:name="_RefFigure2"/>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3</w:t>
      </w:r>
      <w:r>
        <w:rPr>
          <w:rFonts w:ascii="Times New Roman" w:hAnsi="Times New Roman" w:eastAsia="宋体"/>
          <w:sz w:val="21"/>
        </w:rPr>
        <w:fldChar w:fldCharType="end"/>
      </w:r>
      <w:bookmarkEnd w:id="25"/>
      <w:r>
        <w:rPr>
          <w:rFonts w:ascii="Times New Roman" w:hAnsi="Times New Roman" w:eastAsia="宋体"/>
          <w:sz w:val="21"/>
        </w:rPr>
        <w:t xml:space="preserve">  在线策略蒸馏训练与性能评测流程</w:t>
      </w:r>
    </w:p>
    <w:p w14:paraId="5E2DE293">
      <w:pPr>
        <w:pStyle w:val="3"/>
      </w:pPr>
      <w:bookmarkStart w:id="26" w:name="_Toc1159739067"/>
      <w:r>
        <w:rPr>
          <w:rFonts w:ascii="黑体" w:hAnsi="黑体" w:eastAsia="黑体" w:cs="黑体"/>
          <w:b/>
          <w:color w:val="000000"/>
          <w:sz w:val="24"/>
        </w:rPr>
        <w:t>4.4 损失与监督信息粒度/估计方式的定义原则</w:t>
      </w:r>
      <w:bookmarkEnd w:id="26"/>
    </w:p>
    <w:p w14:paraId="01830904">
      <w:pPr>
        <w:ind w:firstLine="420"/>
        <w:jc w:val="both"/>
      </w:pPr>
      <w:r>
        <w:t>在全词表和 Top-K 方案中，令 p_T 与 p_S 分别表示教师和学生在有效位置上的概率分布，通用的 token 级目标可写为：</w:t>
      </w:r>
    </w:p>
    <w:p w14:paraId="33555737">
      <w:pPr>
        <w:ind w:firstLine="0"/>
        <w:jc w:val="center"/>
      </w:pPr>
      <m:oMathPara>
        <m:oMath>
          <m:sSub>
            <m:sSubPr/>
            <m:e>
              <m:r>
                <m:rPr/>
                <m:t>ℒ</m:t>
              </m:r>
            </m:e>
            <m:sub>
              <m:r>
                <m:rPr>
                  <m:sty m:val="p"/>
                </m:rPr>
                <m:t>distill</m:t>
              </m:r>
            </m:sub>
          </m:sSub>
          <m:r>
            <m:rPr/>
            <m:t>=</m:t>
          </m:r>
          <m:f>
            <m:fPr/>
            <m:num>
              <m:nary>
                <m:naryPr>
                  <m:chr m:val="∑"/>
                  <m:grow m:val="1"/>
                  <m:limLoc m:val="subSup"/>
                  <m:supHide m:val="1"/>
                </m:naryPr>
                <m:sub>
                  <m:r>
                    <m:rPr/>
                    <m:t>b,t</m:t>
                  </m:r>
                </m:sub>
                <m:sup/>
                <m:e>
                  <m:sSub>
                    <m:sSubPr/>
                    <m:e>
                      <m:r>
                        <m:rPr/>
                        <m:t>m</m:t>
                      </m:r>
                    </m:e>
                    <m:sub>
                      <m:r>
                        <m:rPr/>
                        <m:t>b,t</m:t>
                      </m:r>
                    </m:sub>
                  </m:sSub>
                  <m:r>
                    <m:rPr/>
                    <m:t>D</m:t>
                  </m:r>
                  <m:d>
                    <m:dPr>
                      <m:sepChr m:val=","/>
                    </m:dPr>
                    <m:e>
                      <m:sSub>
                        <m:sSubPr/>
                        <m:e>
                          <m:r>
                            <m:rPr/>
                            <m:t>p</m:t>
                          </m:r>
                        </m:e>
                        <m:sub>
                          <m:r>
                            <m:rPr/>
                            <m:t>T</m:t>
                          </m:r>
                        </m:sub>
                      </m:sSub>
                      <m:d>
                        <m:dPr>
                          <m:sepChr m:val=","/>
                        </m:dPr>
                        <m:e>
                          <m:r>
                            <m:rPr/>
                            <m:t>·∣</m:t>
                          </m:r>
                          <m:sSub>
                            <m:sSubPr/>
                            <m:e>
                              <m:r>
                                <m:rPr/>
                                <m:t>x</m:t>
                              </m:r>
                            </m:e>
                            <m:sub>
                              <m:r>
                                <m:rPr/>
                                <m:t>b</m:t>
                              </m:r>
                            </m:sub>
                          </m:sSub>
                          <m:r>
                            <m:rPr/>
                            <m:t>,</m:t>
                          </m:r>
                          <m:sSub>
                            <m:sSubPr/>
                            <m:e>
                              <m:r>
                                <m:rPr/>
                                <m:t>y</m:t>
                              </m:r>
                            </m:e>
                            <m:sub>
                              <m:r>
                                <m:rPr/>
                                <m:t>b,&lt;t</m:t>
                              </m:r>
                            </m:sub>
                          </m:sSub>
                        </m:e>
                      </m:d>
                      <m:r>
                        <m:rPr/>
                        <m:t>∥</m:t>
                      </m:r>
                      <m:sSub>
                        <m:sSubPr/>
                        <m:e>
                          <m:r>
                            <m:rPr/>
                            <m:t>p</m:t>
                          </m:r>
                        </m:e>
                        <m:sub>
                          <m:r>
                            <m:rPr/>
                            <m:t>S</m:t>
                          </m:r>
                        </m:sub>
                      </m:sSub>
                      <m:d>
                        <m:dPr>
                          <m:sepChr m:val=","/>
                        </m:dPr>
                        <m:e>
                          <m:r>
                            <m:rPr/>
                            <m:t>·∣</m:t>
                          </m:r>
                          <m:sSub>
                            <m:sSubPr/>
                            <m:e>
                              <m:r>
                                <m:rPr/>
                                <m:t>x</m:t>
                              </m:r>
                            </m:e>
                            <m:sub>
                              <m:r>
                                <m:rPr/>
                                <m:t>b</m:t>
                              </m:r>
                            </m:sub>
                          </m:sSub>
                          <m:r>
                            <m:rPr/>
                            <m:t>,</m:t>
                          </m:r>
                          <m:sSub>
                            <m:sSubPr/>
                            <m:e>
                              <m:r>
                                <m:rPr/>
                                <m:t>y</m:t>
                              </m:r>
                            </m:e>
                            <m:sub>
                              <m:r>
                                <m:rPr/>
                                <m:t>b,&lt;t</m:t>
                              </m:r>
                            </m:sub>
                          </m:sSub>
                        </m:e>
                      </m:d>
                    </m:e>
                  </m:d>
                </m:e>
              </m:nary>
            </m:num>
            <m:den>
              <m:nary>
                <m:naryPr>
                  <m:chr m:val="∑"/>
                  <m:grow m:val="1"/>
                  <m:limLoc m:val="subSup"/>
                  <m:supHide m:val="1"/>
                </m:naryPr>
                <m:sub>
                  <m:r>
                    <m:rPr/>
                    <m:t>b,t</m:t>
                  </m:r>
                </m:sub>
                <m:sup/>
                <m:e>
                  <m:sSub>
                    <m:sSubPr/>
                    <m:e>
                      <m:r>
                        <m:rPr/>
                        <m:t>m</m:t>
                      </m:r>
                    </m:e>
                    <m:sub>
                      <m:r>
                        <m:rPr/>
                        <m:t>b,t</m:t>
                      </m:r>
                    </m:sub>
                  </m:sSub>
                  <m:r>
                    <m:rPr/>
                    <m:t>+ε</m:t>
                  </m:r>
                </m:e>
              </m:nary>
            </m:den>
          </m:f>
        </m:oMath>
      </m:oMathPara>
    </w:p>
    <w:p w14:paraId="6E53B4B0">
      <w:pPr>
        <w:ind w:firstLine="420"/>
        <w:jc w:val="both"/>
      </w:pPr>
      <w:r>
        <w:t>其中，</w:t>
      </w:r>
      <m:oMath>
        <m:r>
          <m:rPr>
            <m:sty m:val="p"/>
          </m:rPr>
          <w:rPr>
            <w:rFonts w:ascii="DejaVu Math TeX Gyre" w:hAnsi="DejaVu Math TeX Gyre" w:cs="Times New Roman"/>
            <w:kern w:val="2"/>
            <w:sz w:val="24"/>
            <w:szCs w:val="24"/>
            <w:lang w:val="en-US" w:bidi="ar-SA"/>
          </w:rPr>
          <m:t>m</m:t>
        </m:r>
      </m:oMath>
      <w:r>
        <w:t xml:space="preserve"> 表示由消息边界、工具边界和响应位置共同确定的有效 token mask。概率计算采用 log-sum-exp、概率下界和混合精度控制，避免出现数值溢出。K1 sampled-token 使用单独定义的采样估计器，并记录随机种子和估计方差。</w:t>
      </w:r>
    </w:p>
    <w:p w14:paraId="32BF1A8F">
      <w:pPr>
        <w:ind w:firstLine="420"/>
        <w:jc w:val="both"/>
      </w:pPr>
      <w:r>
        <w:t>监督信息粒度与散度目标的实验矩阵如下：</w:t>
      </w:r>
    </w:p>
    <w:p w14:paraId="706F3CCD">
      <w:pPr>
        <w:keepNext/>
        <w:spacing w:before="80" w:after="80" w:line="240" w:lineRule="auto"/>
        <w:ind w:left="0" w:right="0" w:firstLine="0"/>
        <w:jc w:val="center"/>
      </w:pPr>
      <w:r>
        <w:rPr>
          <w:rFonts w:ascii="Times New Roman" w:hAnsi="Times New Roman" w:eastAsia="Songti SC"/>
          <w:sz w:val="21"/>
        </w:rPr>
        <w:t xml:space="preserve">表 </w:t>
      </w:r>
      <w:bookmarkStart w:id="27" w:name="_RefTable4_2"/>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2</w:t>
      </w:r>
      <w:r>
        <w:rPr>
          <w:rFonts w:ascii="Times New Roman" w:hAnsi="Times New Roman" w:eastAsia="Songti SC"/>
          <w:sz w:val="21"/>
        </w:rPr>
        <w:fldChar w:fldCharType="end"/>
      </w:r>
      <w:bookmarkEnd w:id="27"/>
      <w:r>
        <w:rPr>
          <w:rFonts w:ascii="Times New Roman" w:hAnsi="Times New Roman" w:eastAsia="Songti SC"/>
          <w:sz w:val="21"/>
        </w:rPr>
        <w:t xml:space="preserve">  散度目标与监督信息粒度比较矩阵</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8"/>
        <w:gridCol w:w="1761"/>
        <w:gridCol w:w="1730"/>
        <w:gridCol w:w="1604"/>
        <w:gridCol w:w="1369"/>
      </w:tblGrid>
      <w:tr w14:paraId="15E61120">
        <w:trPr>
          <w:tblHeader/>
          <w:jc w:val="center"/>
        </w:trPr>
        <w:tc>
          <w:tcPr>
            <w:tcW w:w="4148" w:type="dxa"/>
            <w:vAlign w:val="center"/>
          </w:tcPr>
          <w:p w14:paraId="0C984810">
            <w:pPr>
              <w:spacing w:before="0" w:after="0" w:line="240" w:lineRule="auto"/>
              <w:ind w:firstLine="0"/>
              <w:jc w:val="center"/>
            </w:pPr>
            <w:r>
              <w:rPr>
                <w:rFonts w:ascii="Times New Roman" w:hAnsi="Times New Roman" w:eastAsia="宋体"/>
                <w:b/>
                <w:sz w:val="19"/>
              </w:rPr>
              <w:t>监督信息粒度/估计方式</w:t>
            </w:r>
          </w:p>
        </w:tc>
        <w:tc>
          <w:tcPr>
            <w:tcW w:w="4148" w:type="dxa"/>
            <w:vAlign w:val="center"/>
          </w:tcPr>
          <w:p w14:paraId="6B2C1018">
            <w:pPr>
              <w:spacing w:before="0" w:after="0" w:line="240" w:lineRule="auto"/>
              <w:ind w:firstLine="0"/>
              <w:jc w:val="center"/>
            </w:pPr>
            <w:r>
              <w:rPr>
                <w:rFonts w:ascii="Times New Roman" w:hAnsi="Times New Roman" w:eastAsia="宋体"/>
                <w:b/>
                <w:sz w:val="19"/>
              </w:rPr>
              <w:t>Forward KL</w:t>
            </w:r>
          </w:p>
        </w:tc>
        <w:tc>
          <w:tcPr>
            <w:tcW w:w="4148" w:type="dxa"/>
            <w:vAlign w:val="center"/>
          </w:tcPr>
          <w:p w14:paraId="02EE87DF">
            <w:pPr>
              <w:spacing w:before="0" w:after="0" w:line="240" w:lineRule="auto"/>
              <w:ind w:firstLine="0"/>
              <w:jc w:val="center"/>
            </w:pPr>
            <w:r>
              <w:rPr>
                <w:rFonts w:ascii="Times New Roman" w:hAnsi="Times New Roman" w:eastAsia="宋体"/>
                <w:b/>
                <w:sz w:val="19"/>
              </w:rPr>
              <w:t>Reverse KL</w:t>
            </w:r>
          </w:p>
        </w:tc>
        <w:tc>
          <w:tcPr>
            <w:tcW w:w="4148" w:type="dxa"/>
            <w:vAlign w:val="center"/>
          </w:tcPr>
          <w:p w14:paraId="60B5A87E">
            <w:pPr>
              <w:spacing w:before="0" w:after="0" w:line="240" w:lineRule="auto"/>
              <w:ind w:firstLine="0"/>
              <w:jc w:val="center"/>
            </w:pPr>
            <w:r>
              <w:rPr>
                <w:rFonts w:ascii="Times New Roman" w:hAnsi="Times New Roman" w:eastAsia="宋体"/>
                <w:b/>
                <w:sz w:val="19"/>
              </w:rPr>
              <w:t>广义散度</w:t>
            </w:r>
          </w:p>
        </w:tc>
        <w:tc>
          <w:tcPr>
            <w:tcW w:w="4148" w:type="dxa"/>
            <w:vAlign w:val="center"/>
          </w:tcPr>
          <w:p w14:paraId="088DB88C">
            <w:pPr>
              <w:spacing w:before="0" w:after="0" w:line="240" w:lineRule="auto"/>
              <w:ind w:firstLine="0"/>
              <w:jc w:val="center"/>
            </w:pPr>
            <w:r>
              <w:rPr>
                <w:rFonts w:ascii="Times New Roman" w:hAnsi="Times New Roman" w:eastAsia="宋体"/>
                <w:b/>
                <w:sz w:val="19"/>
              </w:rPr>
              <w:t>说明</w:t>
            </w:r>
          </w:p>
        </w:tc>
      </w:tr>
      <w:tr w14:paraId="568DC1CB">
        <w:trPr>
          <w:jc w:val="center"/>
        </w:trPr>
        <w:tc>
          <w:tcPr>
            <w:tcW w:w="4148" w:type="dxa"/>
            <w:vAlign w:val="center"/>
          </w:tcPr>
          <w:p w14:paraId="24BA4DC4">
            <w:pPr>
              <w:spacing w:before="0" w:after="0" w:line="240" w:lineRule="auto"/>
              <w:ind w:firstLine="0"/>
              <w:jc w:val="center"/>
            </w:pPr>
            <w:r>
              <w:rPr>
                <w:rFonts w:ascii="Times New Roman" w:hAnsi="Times New Roman" w:eastAsia="宋体"/>
                <w:b w:val="0"/>
                <w:sz w:val="19"/>
              </w:rPr>
              <w:t>全词表</w:t>
            </w:r>
          </w:p>
        </w:tc>
        <w:tc>
          <w:tcPr>
            <w:tcW w:w="4148" w:type="dxa"/>
            <w:vAlign w:val="center"/>
          </w:tcPr>
          <w:p w14:paraId="1E409E4D">
            <w:pPr>
              <w:spacing w:before="0" w:after="0" w:line="240" w:lineRule="auto"/>
              <w:ind w:firstLine="0"/>
              <w:jc w:val="center"/>
            </w:pPr>
            <w:r>
              <w:rPr>
                <w:rFonts w:ascii="Times New Roman" w:hAnsi="Times New Roman" w:eastAsia="宋体"/>
                <w:b w:val="0"/>
                <w:sz w:val="19"/>
              </w:rPr>
              <w:t>全词表 FKL</w:t>
            </w:r>
          </w:p>
        </w:tc>
        <w:tc>
          <w:tcPr>
            <w:tcW w:w="4148" w:type="dxa"/>
            <w:vAlign w:val="center"/>
          </w:tcPr>
          <w:p w14:paraId="702B1700">
            <w:pPr>
              <w:spacing w:before="0" w:after="0" w:line="240" w:lineRule="auto"/>
              <w:ind w:firstLine="0"/>
              <w:jc w:val="center"/>
            </w:pPr>
            <w:r>
              <w:rPr>
                <w:rFonts w:ascii="Times New Roman" w:hAnsi="Times New Roman" w:eastAsia="宋体"/>
                <w:b w:val="0"/>
                <w:sz w:val="19"/>
              </w:rPr>
              <w:t>全词表 RKL</w:t>
            </w:r>
          </w:p>
        </w:tc>
        <w:tc>
          <w:tcPr>
            <w:tcW w:w="4148" w:type="dxa"/>
            <w:vAlign w:val="center"/>
          </w:tcPr>
          <w:p w14:paraId="169573F0">
            <w:pPr>
              <w:spacing w:before="0" w:after="0" w:line="240" w:lineRule="auto"/>
              <w:ind w:firstLine="0"/>
              <w:jc w:val="center"/>
            </w:pPr>
            <w:r>
              <w:rPr>
                <w:rFonts w:ascii="Times New Roman" w:hAnsi="Times New Roman" w:eastAsia="宋体"/>
                <w:b w:val="0"/>
                <w:sz w:val="19"/>
              </w:rPr>
              <w:t>全词表广义散度</w:t>
            </w:r>
          </w:p>
        </w:tc>
        <w:tc>
          <w:tcPr>
            <w:tcW w:w="4148" w:type="dxa"/>
            <w:vAlign w:val="center"/>
          </w:tcPr>
          <w:p w14:paraId="4AA4DF2E">
            <w:pPr>
              <w:spacing w:before="0" w:after="0" w:line="240" w:lineRule="auto"/>
              <w:ind w:firstLine="0"/>
              <w:jc w:val="center"/>
            </w:pPr>
            <w:r>
              <w:rPr>
                <w:rFonts w:ascii="Times New Roman" w:hAnsi="Times New Roman" w:eastAsia="宋体"/>
                <w:b w:val="0"/>
                <w:sz w:val="19"/>
              </w:rPr>
              <w:t>完整分布基线</w:t>
            </w:r>
          </w:p>
        </w:tc>
      </w:tr>
      <w:tr w14:paraId="17480239">
        <w:trPr>
          <w:jc w:val="center"/>
        </w:trPr>
        <w:tc>
          <w:tcPr>
            <w:tcW w:w="4148" w:type="dxa"/>
            <w:vAlign w:val="center"/>
          </w:tcPr>
          <w:p w14:paraId="4DBCBCCE">
            <w:pPr>
              <w:spacing w:before="0" w:after="0" w:line="240" w:lineRule="auto"/>
              <w:ind w:firstLine="0"/>
              <w:jc w:val="center"/>
            </w:pPr>
            <w:r>
              <w:rPr>
                <w:rFonts w:ascii="Times New Roman" w:hAnsi="Times New Roman" w:eastAsia="宋体"/>
                <w:b w:val="0"/>
                <w:sz w:val="19"/>
              </w:rPr>
              <w:t>Top-K</w:t>
            </w:r>
          </w:p>
        </w:tc>
        <w:tc>
          <w:tcPr>
            <w:tcW w:w="4148" w:type="dxa"/>
            <w:vAlign w:val="center"/>
          </w:tcPr>
          <w:p w14:paraId="4F4C009D">
            <w:pPr>
              <w:spacing w:before="0" w:after="0" w:line="240" w:lineRule="auto"/>
              <w:ind w:firstLine="0"/>
              <w:jc w:val="center"/>
            </w:pPr>
            <w:r>
              <w:rPr>
                <w:rFonts w:ascii="Times New Roman" w:hAnsi="Times New Roman" w:eastAsia="宋体"/>
                <w:b w:val="0"/>
                <w:sz w:val="19"/>
              </w:rPr>
              <w:t>Top-K FKL</w:t>
            </w:r>
          </w:p>
        </w:tc>
        <w:tc>
          <w:tcPr>
            <w:tcW w:w="4148" w:type="dxa"/>
            <w:vAlign w:val="center"/>
          </w:tcPr>
          <w:p w14:paraId="11D8717A">
            <w:pPr>
              <w:spacing w:before="0" w:after="0" w:line="240" w:lineRule="auto"/>
              <w:ind w:firstLine="0"/>
              <w:jc w:val="center"/>
            </w:pPr>
            <w:r>
              <w:rPr>
                <w:rFonts w:ascii="Times New Roman" w:hAnsi="Times New Roman" w:eastAsia="宋体"/>
                <w:b w:val="0"/>
                <w:sz w:val="19"/>
              </w:rPr>
              <w:t>Top-K RKL</w:t>
            </w:r>
          </w:p>
        </w:tc>
        <w:tc>
          <w:tcPr>
            <w:tcW w:w="4148" w:type="dxa"/>
            <w:vAlign w:val="center"/>
          </w:tcPr>
          <w:p w14:paraId="3A35555F">
            <w:pPr>
              <w:spacing w:before="0" w:after="0" w:line="240" w:lineRule="auto"/>
              <w:ind w:firstLine="0"/>
              <w:jc w:val="center"/>
            </w:pPr>
            <w:r>
              <w:rPr>
                <w:rFonts w:ascii="Times New Roman" w:hAnsi="Times New Roman" w:eastAsia="宋体"/>
                <w:b w:val="0"/>
                <w:sz w:val="19"/>
              </w:rPr>
              <w:t>Top-K 广义散度</w:t>
            </w:r>
          </w:p>
        </w:tc>
        <w:tc>
          <w:tcPr>
            <w:tcW w:w="4148" w:type="dxa"/>
            <w:vAlign w:val="center"/>
          </w:tcPr>
          <w:p w14:paraId="0A52DD0F">
            <w:pPr>
              <w:spacing w:before="0" w:after="0" w:line="240" w:lineRule="auto"/>
              <w:ind w:firstLine="0"/>
              <w:jc w:val="center"/>
            </w:pPr>
            <w:r>
              <w:rPr>
                <w:rFonts w:ascii="Times New Roman" w:hAnsi="Times New Roman" w:eastAsia="宋体"/>
                <w:b w:val="0"/>
                <w:sz w:val="19"/>
              </w:rPr>
              <w:t>稀疏支持集方案</w:t>
            </w:r>
          </w:p>
        </w:tc>
      </w:tr>
      <w:tr w14:paraId="5DED9877">
        <w:trPr>
          <w:jc w:val="center"/>
        </w:trPr>
        <w:tc>
          <w:tcPr>
            <w:tcW w:w="4148" w:type="dxa"/>
            <w:vAlign w:val="center"/>
          </w:tcPr>
          <w:p w14:paraId="03D05CC0">
            <w:pPr>
              <w:spacing w:before="0" w:after="0" w:line="240" w:lineRule="auto"/>
              <w:ind w:firstLine="0"/>
              <w:jc w:val="center"/>
            </w:pPr>
            <w:r>
              <w:rPr>
                <w:rFonts w:ascii="Times New Roman" w:hAnsi="Times New Roman" w:eastAsia="宋体"/>
                <w:b w:val="0"/>
                <w:sz w:val="19"/>
              </w:rPr>
              <w:t>K1 sampled-token</w:t>
            </w:r>
          </w:p>
        </w:tc>
        <w:tc>
          <w:tcPr>
            <w:tcW w:w="4148" w:type="dxa"/>
            <w:vAlign w:val="center"/>
          </w:tcPr>
          <w:p w14:paraId="340E34F9">
            <w:pPr>
              <w:spacing w:before="0" w:after="0" w:line="240" w:lineRule="auto"/>
              <w:ind w:firstLine="0"/>
              <w:jc w:val="center"/>
            </w:pPr>
            <w:r>
              <w:rPr>
                <w:rFonts w:ascii="Times New Roman" w:hAnsi="Times New Roman" w:eastAsia="宋体"/>
                <w:b w:val="0"/>
                <w:sz w:val="19"/>
              </w:rPr>
              <w:t>K1-FKL 估计</w:t>
            </w:r>
          </w:p>
        </w:tc>
        <w:tc>
          <w:tcPr>
            <w:tcW w:w="4148" w:type="dxa"/>
            <w:vAlign w:val="center"/>
          </w:tcPr>
          <w:p w14:paraId="4358821D">
            <w:pPr>
              <w:spacing w:before="0" w:after="0" w:line="240" w:lineRule="auto"/>
              <w:ind w:firstLine="0"/>
              <w:jc w:val="center"/>
            </w:pPr>
            <w:r>
              <w:rPr>
                <w:rFonts w:ascii="Times New Roman" w:hAnsi="Times New Roman" w:eastAsia="宋体"/>
                <w:b w:val="0"/>
                <w:sz w:val="19"/>
              </w:rPr>
              <w:t>K1-RKL 估计</w:t>
            </w:r>
          </w:p>
        </w:tc>
        <w:tc>
          <w:tcPr>
            <w:tcW w:w="4148" w:type="dxa"/>
            <w:vAlign w:val="center"/>
          </w:tcPr>
          <w:p w14:paraId="7212AE94">
            <w:pPr>
              <w:spacing w:before="0" w:after="0" w:line="240" w:lineRule="auto"/>
              <w:ind w:firstLine="0"/>
              <w:jc w:val="center"/>
            </w:pPr>
            <w:r>
              <w:rPr>
                <w:rFonts w:ascii="Times New Roman" w:hAnsi="Times New Roman" w:eastAsia="宋体"/>
                <w:b w:val="0"/>
                <w:sz w:val="19"/>
              </w:rPr>
              <w:t>K1 广义散度估计</w:t>
            </w:r>
          </w:p>
        </w:tc>
        <w:tc>
          <w:tcPr>
            <w:tcW w:w="4148" w:type="dxa"/>
            <w:vAlign w:val="center"/>
          </w:tcPr>
          <w:p w14:paraId="18867DC3">
            <w:pPr>
              <w:spacing w:before="0" w:after="0" w:line="240" w:lineRule="auto"/>
              <w:ind w:firstLine="0"/>
              <w:jc w:val="center"/>
            </w:pPr>
            <w:r>
              <w:rPr>
                <w:rFonts w:ascii="Times New Roman" w:hAnsi="Times New Roman" w:eastAsia="宋体"/>
                <w:b w:val="0"/>
                <w:sz w:val="19"/>
              </w:rPr>
              <w:t>单样本随机估计</w:t>
            </w:r>
          </w:p>
        </w:tc>
      </w:tr>
    </w:tbl>
    <w:p w14:paraId="26F667FD">
      <w:pPr>
        <w:ind w:firstLine="420"/>
        <w:jc w:val="both"/>
      </w:pPr>
      <w:r>
        <w:t>该矩阵覆盖三类目标函数与三种监督方案。各实验共用数据、训练预算和评测协议，并在配置中记录损失形式、K 值、支持集、重归一化方式、K1 proposal、梯度估计和数值精度。</w:t>
      </w:r>
    </w:p>
    <w:p w14:paraId="7D429E15">
      <w:pPr>
        <w:ind w:firstLine="420"/>
        <w:jc w:val="both"/>
      </w:pPr>
      <w:r>
        <w:t>三种监督方案及广义散度的含义如下：</w:t>
      </w:r>
    </w:p>
    <w:p w14:paraId="03436525">
      <w:pPr>
        <w:pStyle w:val="17"/>
        <w:ind w:firstLine="420"/>
        <w:jc w:val="left"/>
      </w:pPr>
      <w:r>
        <w:t>• “全词表”指教师在规定有效位置上的完整输出分布参与匹配；工程实现可采用分块计算或流式处理。</w:t>
      </w:r>
    </w:p>
    <w:p w14:paraId="1E71EBD7">
      <w:pPr>
        <w:pStyle w:val="17"/>
        <w:ind w:firstLine="420"/>
        <w:jc w:val="left"/>
      </w:pPr>
      <w:r>
        <w:t>• “Top-K”指仅使用明确的高概率 token 支持集，并记录支持集来源、重归一化方式和支持集外概率处理。</w:t>
      </w:r>
    </w:p>
    <w:p w14:paraId="2A2D1311">
      <w:pPr>
        <w:pStyle w:val="17"/>
        <w:ind w:firstLine="420"/>
        <w:jc w:val="left"/>
      </w:pPr>
      <w:r>
        <w:t>• “K1 sampled-token”指每个位置使用一个采样 token 估计相应期望，并与选择最大概率 token 的硬标签方法分开记录。</w:t>
      </w:r>
    </w:p>
    <w:p w14:paraId="718B00F7">
      <w:pPr>
        <w:pStyle w:val="17"/>
        <w:ind w:firstLine="420"/>
        <w:jc w:val="left"/>
      </w:pPr>
      <w:r>
        <w:t>• “广义散度”包括 JSD、skew KL 等代表性目标，实验配置将记录具体公式、混合参数和梯度计算规则。</w:t>
      </w:r>
    </w:p>
    <w:p w14:paraId="4DC19C45">
      <w:pPr>
        <w:ind w:firstLine="420"/>
        <w:jc w:val="both"/>
      </w:pPr>
      <w:r>
        <w:t>师生词表、token 边界与特殊 token 必须保持可对齐。正式训练前通过 tokenizer 单元测试、模板回环测试和小批量损失／梯度测试，验证对数概率、mask、padding 与梯度传播是否正确。</w:t>
      </w:r>
    </w:p>
    <w:p w14:paraId="264AD57D">
      <w:pPr>
        <w:pStyle w:val="3"/>
      </w:pPr>
      <w:bookmarkStart w:id="28" w:name="_Toc1172918897"/>
      <w:r>
        <w:rPr>
          <w:rFonts w:ascii="黑体" w:hAnsi="黑体" w:eastAsia="黑体" w:cs="黑体"/>
          <w:b/>
          <w:color w:val="000000"/>
          <w:sz w:val="24"/>
        </w:rPr>
        <w:t>4.5 评价指标和公平性</w:t>
      </w:r>
      <w:bookmarkEnd w:id="28"/>
    </w:p>
    <w:p w14:paraId="1E75A657">
      <w:pPr>
        <w:ind w:firstLine="420"/>
        <w:jc w:val="both"/>
      </w:pPr>
      <w:r>
        <w:t>评价指标分为任务效果、训练稳定性、分布与误差分析、资源与部署四类，具体如下：</w:t>
      </w:r>
    </w:p>
    <w:p w14:paraId="40DFDBB5">
      <w:pPr>
        <w:keepNext/>
        <w:spacing w:before="80" w:after="80" w:line="240" w:lineRule="auto"/>
        <w:ind w:left="0" w:right="0" w:firstLine="0"/>
        <w:jc w:val="center"/>
      </w:pPr>
      <w:r>
        <w:rPr>
          <w:rFonts w:ascii="Times New Roman" w:hAnsi="Times New Roman" w:eastAsia="Songti SC"/>
          <w:sz w:val="21"/>
        </w:rPr>
        <w:t xml:space="preserve">表 </w:t>
      </w:r>
      <w:bookmarkStart w:id="29" w:name="_RefTable4_3"/>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3</w:t>
      </w:r>
      <w:r>
        <w:rPr>
          <w:rFonts w:ascii="Times New Roman" w:hAnsi="Times New Roman" w:eastAsia="Songti SC"/>
          <w:sz w:val="21"/>
        </w:rPr>
        <w:fldChar w:fldCharType="end"/>
      </w:r>
      <w:bookmarkEnd w:id="29"/>
      <w:r>
        <w:rPr>
          <w:rFonts w:ascii="Times New Roman" w:hAnsi="Times New Roman" w:eastAsia="Songti SC"/>
          <w:sz w:val="21"/>
        </w:rPr>
        <w:t xml:space="preserve">  评价指标体系</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JSON／结构化格式合法性、函数名、参数键值、schema 通过率、调用执行成功率和端到端任务完成率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overlap、支持集外概率、非法输出率和重复率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开销、训练时间和峰值显存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bl>
    <w:p w14:paraId="6FA4E227">
      <w:pPr>
        <w:ind w:firstLine="420"/>
        <w:jc w:val="both"/>
      </w:pPr>
      <w:r>
        <w:t>BFCL 为结构化函数调用评测提供了参考[27]。本文将用明确的指标定义评估函数选择、参数生成、schema 合法性、调用执行和任务完成情况；推理性能评测还将记录吞吐、首 token 延迟、完整响应延迟、峰值显存与端到端调用成功率。</w:t>
      </w:r>
    </w:p>
    <w:p w14:paraId="7C90D5F1">
      <w:pPr>
        <w:ind w:firstLine="420"/>
        <w:jc w:val="both"/>
      </w:pPr>
      <w:r>
        <w:t>具体而言，函数名准确率比较规范化后的函数标识；参数键准确率检查字段集合或字段级匹配；参数值准确率依据 schema 和任务允许的等价规则计算；schema 合法率检查类型、必填字段和枚举约束；执行成功率以模拟工具的返回结果为准；端到端成功率则判断模型是否在规定交互范围内完成目标。这些指标不能相互替代：JSON 可解析并不代表函数选择正确，函数和参数正确也不意味着模型能够正确利用工具结果。</w:t>
      </w:r>
    </w:p>
    <w:p w14:paraId="7A0844C1">
      <w:pPr>
        <w:ind w:firstLine="420"/>
        <w:jc w:val="both"/>
      </w:pPr>
      <w:r>
        <w:t>稳定性分析覆盖完整训练过程，记录损失、有效 token 数、师生熵、Top-K overlap、格式错误、支持集外概率、梯度范数和异常值。资源分析分别统计学生 rollout、教师前向和最终服务三个阶段，以区分蒸馏训练成本与部署性能。</w:t>
      </w:r>
    </w:p>
    <w:p w14:paraId="2CC9EDD0">
      <w:pPr>
        <w:ind w:firstLine="420"/>
        <w:jc w:val="both"/>
      </w:pPr>
      <w:r>
        <w:t>为保证比较公平，各实验固定学生、教师、公开数据、数据划分、LoRA 配置、训练预算、生成条件和评测脚本。所有实验均保存配置、代码提交号、模型与数据版本、依赖版本、硬件环境和原始指标；成本则同时按学生更新量、墙钟时间和教师调用开销报告。</w:t>
      </w:r>
    </w:p>
    <w:p w14:paraId="2386798F">
      <w:pPr>
        <w:ind w:firstLine="420"/>
        <w:jc w:val="both"/>
      </w:pPr>
      <w:r>
        <w:t>结果分析将报告完整训练曲线、验证集与测试集统计、重复运行的波动和资源消耗。失败案例按工具选择、结构解析、参数字段、参数值、上下文和执行环节分类，并比较不同散度及监督方案的错误分布。</w:t>
      </w:r>
    </w:p>
    <w:p w14:paraId="56ED6E07">
      <w:pPr>
        <w:pStyle w:val="3"/>
      </w:pPr>
      <w:bookmarkStart w:id="30" w:name="_Toc1495506066"/>
      <w:r>
        <w:rPr>
          <w:rFonts w:ascii="黑体" w:hAnsi="黑体" w:eastAsia="黑体" w:cs="黑体"/>
          <w:b/>
          <w:color w:val="000000"/>
          <w:sz w:val="24"/>
        </w:rPr>
        <w:t>4.6 可行性分析</w:t>
      </w:r>
      <w:bookmarkEnd w:id="30"/>
    </w:p>
    <w:p w14:paraId="40E26365">
      <w:pPr>
        <w:ind w:firstLine="420"/>
        <w:jc w:val="both"/>
      </w:pPr>
      <w:r>
        <w:t>Qwen3-0.6B 学生、Qwen3-4B 教师和 LoRA 后训练构成了可实施的模型组合，PyTorch、Transformers、PEFT 与 vLLM[20] 能够提供训练和部署所需的基础工具。研究将先进行小规模验证，在模型、数据、接口和评测规则固定后逐步扩大训练规模，因而具备清晰的实施路径和验证条件。</w:t>
      </w:r>
    </w:p>
    <w:p w14:paraId="6CC957E8">
      <w:pPr>
        <w:pStyle w:val="2"/>
      </w:pPr>
      <w:bookmarkStart w:id="31" w:name="_Toc821846774"/>
      <w:r>
        <w:rPr>
          <w:rFonts w:ascii="黑体" w:hAnsi="黑体" w:eastAsia="黑体" w:cs="黑体"/>
          <w:b/>
          <w:color w:val="000000"/>
          <w:sz w:val="28"/>
        </w:rPr>
        <w:t>5．进度安排，预期达到的目标</w:t>
      </w:r>
      <w:bookmarkEnd w:id="31"/>
    </w:p>
    <w:p w14:paraId="4D67942D">
      <w:pPr>
        <w:pStyle w:val="3"/>
      </w:pPr>
      <w:bookmarkStart w:id="32" w:name="_Toc163913114"/>
      <w:r>
        <w:rPr>
          <w:rFonts w:ascii="黑体" w:hAnsi="黑体" w:eastAsia="黑体" w:cs="黑体"/>
          <w:b/>
          <w:color w:val="000000"/>
          <w:sz w:val="24"/>
        </w:rPr>
        <w:t>5.1 进度安排</w:t>
      </w:r>
      <w:bookmarkEnd w:id="32"/>
    </w:p>
    <w:p w14:paraId="6BE2C5CE">
      <w:pPr>
        <w:spacing w:before="0" w:after="0" w:line="360" w:lineRule="auto"/>
        <w:ind w:firstLine="420"/>
        <w:jc w:val="both"/>
      </w:pPr>
      <w:r>
        <w:rPr>
          <w:rFonts w:ascii="Times New Roman" w:hAnsi="Times New Roman" w:eastAsia="宋体"/>
          <w:sz w:val="24"/>
        </w:rPr>
        <w:t xml:space="preserve">本课题自 2026 年 9 月开题申请起，至 2027 年 5 月结题申请与答辩结束，按实际培养环节组织实施。开题申请时间为 2026 年 9 月 14 日至 9 月 30 日，中期申请预计在 2027 年 3 月，结题申请与答辩预计在 2027 年 5 月。进度安排如图 </w:t>
      </w:r>
      <w:r>
        <w:rPr>
          <w:rFonts w:ascii="Times New Roman" w:hAnsi="Times New Roman" w:eastAsia="宋体"/>
          <w:sz w:val="24"/>
        </w:rPr>
        <w:fldChar w:fldCharType="begin"/>
      </w:r>
      <w:r>
        <w:rPr>
          <w:rFonts w:ascii="Times New Roman" w:hAnsi="Times New Roman" w:eastAsia="宋体"/>
          <w:sz w:val="24"/>
        </w:rPr>
        <w:instrText xml:space="preserve"> REF _RefFigure3 \h </w:instrText>
      </w:r>
      <w:r>
        <w:rPr>
          <w:rFonts w:ascii="Times New Roman" w:hAnsi="Times New Roman" w:eastAsia="宋体"/>
          <w:sz w:val="24"/>
        </w:rPr>
        <w:fldChar w:fldCharType="separate"/>
      </w:r>
      <w:r>
        <w:rPr>
          <w:rFonts w:ascii="Times New Roman" w:hAnsi="Times New Roman" w:eastAsia="宋体"/>
          <w:sz w:val="21"/>
        </w:rPr>
        <w:t>4</w:t>
      </w:r>
      <w:r>
        <w:rPr>
          <w:rFonts w:ascii="Times New Roman" w:hAnsi="Times New Roman" w:eastAsia="宋体"/>
          <w:sz w:val="24"/>
        </w:rPr>
        <w:fldChar w:fldCharType="end"/>
      </w:r>
      <w:r>
        <w:rPr>
          <w:rFonts w:ascii="Times New Roman" w:hAnsi="Times New Roman" w:eastAsia="宋体"/>
          <w:sz w:val="24"/>
        </w:rPr>
        <w:t xml:space="preserve"> 和表 </w:t>
      </w:r>
      <w:r>
        <w:rPr>
          <w:rFonts w:ascii="Times New Roman" w:hAnsi="Times New Roman" w:eastAsia="宋体"/>
          <w:sz w:val="24"/>
        </w:rPr>
        <w:fldChar w:fldCharType="begin"/>
      </w:r>
      <w:r>
        <w:rPr>
          <w:rFonts w:ascii="Times New Roman" w:hAnsi="Times New Roman" w:eastAsia="宋体"/>
          <w:sz w:val="24"/>
        </w:rPr>
        <w:instrText xml:space="preserve"> REF _RefTable5_1 \h </w:instrText>
      </w:r>
      <w:r>
        <w:rPr>
          <w:rFonts w:ascii="Times New Roman" w:hAnsi="Times New Roman" w:eastAsia="宋体"/>
          <w:sz w:val="24"/>
        </w:rPr>
        <w:fldChar w:fldCharType="separate"/>
      </w:r>
      <w:r>
        <w:rPr>
          <w:rFonts w:ascii="Times New Roman" w:hAnsi="Times New Roman" w:eastAsia="Songti SC"/>
          <w:sz w:val="21"/>
        </w:rPr>
        <w:t>5-1</w:t>
      </w:r>
      <w:r>
        <w:rPr>
          <w:rFonts w:ascii="Times New Roman" w:hAnsi="Times New Roman" w:eastAsia="宋体"/>
          <w:sz w:val="24"/>
        </w:rPr>
        <w:fldChar w:fldCharType="end"/>
      </w:r>
      <w:r>
        <w:rPr>
          <w:rFonts w:ascii="Times New Roman" w:hAnsi="Times New Roman" w:eastAsia="宋体"/>
          <w:sz w:val="24"/>
        </w:rPr>
        <w:t xml:space="preserve"> 所示。</w:t>
      </w:r>
    </w:p>
    <w:p w14:paraId="2B480502">
      <w:pPr>
        <w:keepNext/>
        <w:spacing w:before="80" w:after="80" w:line="240" w:lineRule="auto"/>
        <w:ind w:left="0" w:right="0" w:firstLine="0"/>
        <w:jc w:val="center"/>
      </w:pPr>
      <w:r>
        <w:rPr>
          <w:rFonts w:ascii="Times New Roman" w:hAnsi="Times New Roman" w:eastAsia="Songti SC"/>
          <w:sz w:val="21"/>
        </w:rPr>
        <w:t xml:space="preserve">表 </w:t>
      </w:r>
      <w:bookmarkStart w:id="33" w:name="_RefTable5_1"/>
      <w:r>
        <w:rPr>
          <w:rFonts w:ascii="Times New Roman" w:hAnsi="Times New Roman" w:eastAsia="Songti SC"/>
          <w:sz w:val="21"/>
        </w:rPr>
        <w:t>5-</w:t>
      </w:r>
      <w:r>
        <w:rPr>
          <w:rFonts w:ascii="Times New Roman" w:hAnsi="Times New Roman" w:eastAsia="Songti SC"/>
          <w:sz w:val="21"/>
        </w:rPr>
        <w:fldChar w:fldCharType="begin"/>
      </w:r>
      <w:r>
        <w:rPr>
          <w:rFonts w:ascii="Times New Roman" w:hAnsi="Times New Roman" w:eastAsia="Songti SC"/>
          <w:sz w:val="21"/>
        </w:rPr>
        <w:instrText xml:space="preserve"> SEQ TableCh5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33"/>
      <w:r>
        <w:rPr>
          <w:rFonts w:ascii="Times New Roman" w:hAnsi="Times New Roman" w:eastAsia="Songti SC"/>
          <w:sz w:val="21"/>
        </w:rPr>
        <w:t xml:space="preserve">  研究进度安排</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5"/>
        <w:gridCol w:w="2938"/>
        <w:gridCol w:w="2759"/>
      </w:tblGrid>
      <w:tr w14:paraId="63DBB9E9">
        <w:trPr>
          <w:tblHeader/>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完成开题报告修改与提交；明确研究问题、模型组合、数据范围、实验变量、评价指标和复现要求。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继续调研文献；筛选公开 Function Calling 数据，完成去重、划分和字段映射；审计 tokenizer、消息模板、工具 schema、特殊 token 与模型版本。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2026年12月—2027年1月：训练与推理管线实现</w:t>
            </w:r>
          </w:p>
        </w:tc>
        <w:tc>
          <w:tcPr>
            <w:tcW w:w="2765" w:type="dxa"/>
            <w:vAlign w:val="center"/>
          </w:tcPr>
          <w:p w14:paraId="7B0979CD">
            <w:pPr>
              <w:spacing w:before="0" w:after="0" w:line="240" w:lineRule="auto"/>
              <w:ind w:firstLine="0"/>
              <w:jc w:val="center"/>
            </w:pPr>
            <w:r>
              <w:rPr>
                <w:rFonts w:ascii="Times New Roman" w:hAnsi="Times New Roman" w:eastAsia="宋体"/>
                <w:b w:val="0"/>
                <w:sz w:val="17"/>
              </w:rPr>
              <w:t>实现 LoRA 训练、学生 rollout、教师评分、全词表／Top-K／K1 接口和统一评测脚本；通过小规模试运行确定上下文长度、批量大小与数值精度。</w:t>
            </w:r>
          </w:p>
        </w:tc>
        <w:tc>
          <w:tcPr>
            <w:tcW w:w="2765" w:type="dxa"/>
            <w:vAlign w:val="center"/>
          </w:tcPr>
          <w:p w14:paraId="00703432">
            <w:pPr>
              <w:spacing w:before="0" w:after="0" w:line="240" w:lineRule="auto"/>
              <w:ind w:firstLine="0"/>
              <w:jc w:val="center"/>
            </w:pPr>
            <w:r>
              <w:rPr>
                <w:rFonts w:ascii="Times New Roman" w:hAnsi="Times New Roman" w:eastAsia="宋体"/>
                <w:b w:val="0"/>
                <w:sz w:val="17"/>
              </w:rPr>
              <w:t>可运行代码、接口测试、试运行记录与固定配置</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2027年2月—3月：正式实验与中期申请</w:t>
            </w:r>
          </w:p>
        </w:tc>
        <w:tc>
          <w:tcPr>
            <w:tcW w:w="2765" w:type="dxa"/>
            <w:vAlign w:val="center"/>
          </w:tcPr>
          <w:p w14:paraId="3E9DB321">
            <w:pPr>
              <w:spacing w:before="0" w:after="0" w:line="240" w:lineRule="auto"/>
              <w:ind w:firstLine="0"/>
              <w:jc w:val="center"/>
            </w:pPr>
            <w:r>
              <w:rPr>
                <w:rFonts w:ascii="Times New Roman" w:hAnsi="Times New Roman" w:eastAsia="宋体"/>
                <w:b w:val="0"/>
                <w:sz w:val="17"/>
              </w:rPr>
              <w:t>在统一数据、训练预算和生成协议下开展主要对照实验；形成阶段性结果和资源记录，并于 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2027年3月—4月：补充实验、部署评测与统计分析</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完成主要组合、必要的重复实验与消融实验；搭建 Function Calling／Agent 测试环境，统计任务正确性、训练稳定性、显存、吞吐、延迟和训练耗时。</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原始结果、统计表、误差分类、对比图与复现记录</w:t>
            </w:r>
          </w:p>
        </w:tc>
      </w:tr>
      <w:tr w14:paraId="00B1C773">
        <w:trPr>
          <w:jc w:val="center"/>
        </w:trPr>
        <w:tc>
          <w:tcPr>
            <w:tcW w:w="2765" w:type="dxa"/>
            <w:vAlign w:val="center"/>
          </w:tcPr>
          <w:p w14:paraId="26199C17">
            <w:pPr>
              <w:spacing w:before="0" w:after="0" w:line="240" w:lineRule="auto"/>
              <w:ind w:firstLine="0"/>
              <w:jc w:val="center"/>
            </w:pPr>
            <w:r>
              <w:rPr>
                <w:rFonts w:ascii="Times New Roman" w:hAnsi="Times New Roman" w:eastAsia="宋体"/>
                <w:b w:val="0"/>
                <w:sz w:val="17"/>
              </w:rPr>
              <w:t>2027年4月—5月：论文撰写、结题与答辩</w:t>
            </w:r>
          </w:p>
        </w:tc>
        <w:tc>
          <w:tcPr>
            <w:tcW w:w="2765" w:type="dxa"/>
            <w:vAlign w:val="center"/>
          </w:tcPr>
          <w:p w14:paraId="6C687A60">
            <w:pPr>
              <w:spacing w:before="0" w:after="0" w:line="240" w:lineRule="auto"/>
              <w:ind w:firstLine="0"/>
              <w:jc w:val="center"/>
            </w:pPr>
            <w:r>
              <w:rPr>
                <w:rFonts w:ascii="Times New Roman" w:hAnsi="Times New Roman" w:eastAsia="宋体"/>
                <w:b w:val="0"/>
                <w:sz w:val="17"/>
              </w:rPr>
              <w:t>完成结果分析、资源—性能权衡和失败案例讨论；整理复现材料，撰写并修改毕业论文；预计于 2027 年 5 月完成结题申请与答辩。</w:t>
            </w:r>
          </w:p>
        </w:tc>
        <w:tc>
          <w:tcPr>
            <w:tcW w:w="2765" w:type="dxa"/>
            <w:vAlign w:val="center"/>
          </w:tcPr>
          <w:p w14:paraId="5D013A9B">
            <w:pPr>
              <w:spacing w:before="0" w:after="0" w:line="240" w:lineRule="auto"/>
              <w:ind w:firstLine="0"/>
              <w:jc w:val="center"/>
            </w:pPr>
            <w:r>
              <w:rPr>
                <w:rFonts w:ascii="Times New Roman" w:hAnsi="Times New Roman" w:eastAsia="宋体"/>
                <w:b w:val="0"/>
                <w:sz w:val="17"/>
              </w:rPr>
              <w:t>论文定稿、复现说明、结题材料与答辩材料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 xml:space="preserve">图 </w:t>
      </w:r>
      <w:bookmarkStart w:id="34" w:name="_RefFigure3"/>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4</w:t>
      </w:r>
      <w:r>
        <w:rPr>
          <w:rFonts w:ascii="Times New Roman" w:hAnsi="Times New Roman" w:eastAsia="宋体"/>
          <w:sz w:val="21"/>
        </w:rPr>
        <w:fldChar w:fldCharType="end"/>
      </w:r>
      <w:bookmarkEnd w:id="34"/>
      <w:r>
        <w:rPr>
          <w:rFonts w:ascii="Times New Roman" w:hAnsi="Times New Roman" w:eastAsia="宋体"/>
          <w:sz w:val="21"/>
        </w:rPr>
        <w:t xml:space="preserve">  项目总体进度安排</w:t>
      </w:r>
    </w:p>
    <w:p w14:paraId="13935738">
      <w:pPr>
        <w:ind w:firstLine="420"/>
        <w:jc w:val="both"/>
      </w:pPr>
      <w:r>
        <w:t>整个研究周期为 2026 年 9 月至 2027 年 5 月。2026 年内重点完成开题、数据准备、兼容性审计和训练管线实现；2027 年 2 月起开展正式实验，并在 3 月中期申请前形成阶段性结果；随后完成补充实验、部署评测与统计分析，4—5 月集中完成论文、结题和答辩材料。</w:t>
      </w:r>
    </w:p>
    <w:p w14:paraId="2E4BC355">
      <w:pPr>
        <w:pStyle w:val="3"/>
      </w:pPr>
      <w:bookmarkStart w:id="35" w:name="_Toc1813671544"/>
      <w:r>
        <w:rPr>
          <w:rFonts w:ascii="黑体" w:hAnsi="黑体" w:eastAsia="黑体" w:cs="黑体"/>
          <w:b/>
          <w:color w:val="000000"/>
          <w:sz w:val="24"/>
        </w:rPr>
        <w:t>5.2 预期达到的目标</w:t>
      </w:r>
      <w:bookmarkEnd w:id="35"/>
    </w:p>
    <w:p w14:paraId="5C45F9E1">
      <w:pPr>
        <w:pStyle w:val="17"/>
        <w:ind w:firstLine="420"/>
        <w:jc w:val="left"/>
      </w:pPr>
      <w:r>
        <w:t>1. 建立以 Qwen3-0.6B 为学生、冻结的 Qwen3-4B 为教师的 LoRA 在线策略蒸馏流程。</w:t>
      </w:r>
    </w:p>
    <w:p w14:paraId="661280AE">
      <w:pPr>
        <w:pStyle w:val="17"/>
        <w:ind w:firstLine="420"/>
        <w:jc w:val="left"/>
      </w:pPr>
      <w:r>
        <w:t>2. 在公开 Function Calling 数据上比较 Forward KL、Reverse KL、广义散度，以及全词表、Top-K 和 K1 sampled-token 三种监督方案。</w:t>
      </w:r>
    </w:p>
    <w:p w14:paraId="4D24F9B5">
      <w:pPr>
        <w:pStyle w:val="17"/>
        <w:ind w:firstLine="420"/>
        <w:jc w:val="left"/>
      </w:pPr>
      <w:r>
        <w:t>3. 建立分层评测方法，分别分析输出格式、函数选择、参数生成、调用执行和端到端任务完成情况。</w:t>
      </w:r>
    </w:p>
    <w:p w14:paraId="444409D5">
      <w:pPr>
        <w:pStyle w:val="17"/>
        <w:ind w:firstLine="420"/>
        <w:jc w:val="left"/>
      </w:pPr>
      <w:r>
        <w:t>4. 系统记录各方法的训练稳定性、教师反馈量、训练资源和部署表现。</w:t>
      </w:r>
    </w:p>
    <w:p w14:paraId="1F6068D2">
      <w:pPr>
        <w:pStyle w:val="17"/>
        <w:ind w:firstLine="420"/>
        <w:jc w:val="left"/>
      </w:pPr>
      <w:r>
        <w:t>5. 通过 vLLM 或自建测试程序验证最终模型，形成任务性能、训练成本和推理性能的对比结果。</w:t>
      </w:r>
    </w:p>
    <w:p w14:paraId="34BA0ABE">
      <w:pPr>
        <w:pStyle w:val="17"/>
        <w:ind w:firstLine="420"/>
        <w:jc w:val="left"/>
      </w:pPr>
      <w:r>
        <w:t>6. 完成项目文档、实验记录、毕业论文和答辩材料。</w:t>
      </w:r>
    </w:p>
    <w:p w14:paraId="11B7E0CE">
      <w:pPr>
        <w:ind w:firstLine="420"/>
        <w:jc w:val="both"/>
      </w:pPr>
      <w:r>
        <w:t>预期成果包括一套定义清晰、能够复现的 OPD 训练流程，一份公开数据与模型版本记录，一组能够解释方法差异的实验指标，以及一套可重复运行的最终测试流程。</w:t>
      </w:r>
    </w:p>
    <w:p w14:paraId="629A1AD4">
      <w:pPr>
        <w:pStyle w:val="2"/>
      </w:pPr>
      <w:bookmarkStart w:id="36" w:name="_Toc994754490"/>
      <w:r>
        <w:rPr>
          <w:rFonts w:ascii="黑体" w:hAnsi="黑体" w:eastAsia="黑体" w:cs="黑体"/>
          <w:b/>
          <w:color w:val="000000"/>
          <w:sz w:val="28"/>
        </w:rPr>
        <w:t>6．课题已具备和所需的条件、经费</w:t>
      </w:r>
      <w:bookmarkEnd w:id="36"/>
    </w:p>
    <w:p w14:paraId="15508BCB">
      <w:pPr>
        <w:pStyle w:val="3"/>
      </w:pPr>
      <w:bookmarkStart w:id="37" w:name="_Toc678521535"/>
      <w:r>
        <w:rPr>
          <w:rFonts w:ascii="黑体" w:hAnsi="黑体" w:eastAsia="黑体" w:cs="黑体"/>
          <w:b/>
          <w:color w:val="000000"/>
          <w:sz w:val="24"/>
        </w:rPr>
        <w:t>6.1 已具备条件</w:t>
      </w:r>
      <w:bookmarkEnd w:id="37"/>
    </w:p>
    <w:p w14:paraId="27E56054">
      <w:pPr>
        <w:ind w:firstLine="420"/>
        <w:jc w:val="both"/>
      </w:pPr>
      <w:r>
        <w:t>目前已经明确研究方向、模型组合、LoRA 后训练路线和 Function Calling 应用场景，并完成相关文献与模型资料调研。PyTorch、Transformers、PEFT、Datasets 和 vLLM 等开源工具可支持后续的数据处理、模型训练与部署评测。</w:t>
      </w:r>
    </w:p>
    <w:p w14:paraId="649F9E8B">
      <w:pPr>
        <w:pStyle w:val="3"/>
      </w:pPr>
      <w:bookmarkStart w:id="38" w:name="_Toc773273175"/>
      <w:r>
        <w:rPr>
          <w:rFonts w:ascii="黑体" w:hAnsi="黑体" w:eastAsia="黑体" w:cs="黑体"/>
          <w:b/>
          <w:color w:val="000000"/>
          <w:sz w:val="24"/>
        </w:rPr>
        <w:t>6.2 所需条件</w:t>
      </w:r>
      <w:bookmarkEnd w:id="38"/>
    </w:p>
    <w:p w14:paraId="246A73AD">
      <w:pPr>
        <w:ind w:firstLine="420"/>
        <w:jc w:val="both"/>
      </w:pPr>
      <w:r>
        <w:t>软件环境包括 Python、PyTorch、Transformers、PEFT、Datasets 和 vLLM；硬件需要支持 Qwen3-4B 教师推理、Qwen3-0.6B 学生 rollout 与 LoRA 更新。实验将依据可用显存设置序列长度、批量大小、梯度累积、混合精度和教师输出缓存。</w:t>
      </w:r>
    </w:p>
    <w:p w14:paraId="56F2417D">
      <w:pPr>
        <w:pStyle w:val="3"/>
      </w:pPr>
      <w:bookmarkStart w:id="39" w:name="_Toc1978704228"/>
      <w:r>
        <w:rPr>
          <w:rFonts w:ascii="黑体" w:hAnsi="黑体" w:eastAsia="黑体" w:cs="黑体"/>
          <w:b/>
          <w:color w:val="000000"/>
          <w:sz w:val="24"/>
        </w:rPr>
        <w:t>6.3 经费</w:t>
      </w:r>
      <w:bookmarkEnd w:id="39"/>
    </w:p>
    <w:p w14:paraId="31301070">
      <w:pPr>
        <w:spacing w:before="0" w:after="0" w:line="360" w:lineRule="auto"/>
        <w:ind w:firstLine="420"/>
        <w:jc w:val="both"/>
      </w:pPr>
      <w:r>
        <w:rPr>
          <w:rFonts w:ascii="Times New Roman" w:hAnsi="Times New Roman" w:eastAsia="宋体"/>
          <w:sz w:val="24"/>
        </w:rPr>
        <w:t>经费主要用于租赁 GPU 算力，支持 Qwen3-4B 教师在线评分、Qwen3-0.6B 学生 rollout、LoRA 训练，以及多组对照与必要的重复实验。预算按计划上限编制，实际支出将依据 GPU 实例类型、有效运行时长和存储用量据实结算。</w:t>
      </w:r>
    </w:p>
    <w:p w14:paraId="190CF806">
      <w:pPr>
        <w:spacing w:before="0" w:after="0" w:line="360" w:lineRule="auto"/>
        <w:ind w:firstLine="420"/>
        <w:jc w:val="both"/>
        <w:rPr>
          <w:rFonts w:ascii="Times New Roman" w:hAnsi="Times New Roman" w:eastAsia="宋体"/>
          <w:sz w:val="24"/>
        </w:rPr>
      </w:pPr>
      <w:r>
        <w:rPr>
          <w:rFonts w:ascii="Times New Roman" w:hAnsi="Times New Roman" w:eastAsia="宋体"/>
          <w:sz w:val="24"/>
        </w:rPr>
        <w:t>为避免无效支出，正式训练前先在小规模数据上完成 tokenizer、模板、schema 和损失实现审计。实验统一记录 GPU 型号、计费时长、失败重跑原因和有效训练时长，以便把资源消耗与性能收益对应起来。</w:t>
      </w:r>
    </w:p>
    <w:p w14:paraId="646AF9F9">
      <w:pPr>
        <w:keepNext/>
        <w:spacing w:before="80" w:after="80" w:line="240" w:lineRule="auto"/>
        <w:ind w:left="0" w:right="0" w:firstLine="0"/>
        <w:jc w:val="center"/>
      </w:pPr>
      <w:r>
        <w:rPr>
          <w:rFonts w:ascii="Times New Roman" w:hAnsi="Times New Roman" w:eastAsia="Songti SC"/>
          <w:sz w:val="21"/>
        </w:rPr>
        <w:t xml:space="preserve">表 </w:t>
      </w:r>
      <w:bookmarkStart w:id="40" w:name="_RefTable6_1"/>
      <w:r>
        <w:rPr>
          <w:rFonts w:ascii="Times New Roman" w:hAnsi="Times New Roman" w:eastAsia="Songti SC"/>
          <w:sz w:val="21"/>
        </w:rPr>
        <w:t>6-</w:t>
      </w:r>
      <w:r>
        <w:rPr>
          <w:rFonts w:ascii="Times New Roman" w:hAnsi="Times New Roman" w:eastAsia="Songti SC"/>
          <w:sz w:val="21"/>
        </w:rPr>
        <w:fldChar w:fldCharType="begin"/>
      </w:r>
      <w:r>
        <w:rPr>
          <w:rFonts w:ascii="Times New Roman" w:hAnsi="Times New Roman" w:eastAsia="Songti SC"/>
          <w:sz w:val="21"/>
        </w:rPr>
        <w:instrText xml:space="preserve"> SEQ TableCh6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40"/>
      <w:r>
        <w:rPr>
          <w:rFonts w:ascii="Times New Roman" w:hAnsi="Times New Roman" w:eastAsia="Songti SC"/>
          <w:sz w:val="21"/>
        </w:rPr>
        <w:t xml:space="preserve">  经费预算</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教师在线推理、学生 rollout、LoRA 训练、多组对照和必要的重复实验；计划使用 NVIDIA GeForce RTX 5090 32 GB</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按小时计费，预计费率为 8 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default"/>
                <w:b w:val="0"/>
                <w:sz w:val="17"/>
                <w:lang w:val="en-US" w:eastAsia="zh-CN"/>
              </w:rPr>
              <w:t>约 1000</w:t>
            </w:r>
          </w:p>
        </w:tc>
        <w:tc>
          <w:tcPr>
            <w:tcW w:w="2076" w:type="dxa"/>
            <w:vAlign w:val="center"/>
          </w:tcPr>
          <w:p w14:paraId="3475160D">
            <w:pPr>
              <w:spacing w:before="0" w:after="0" w:line="240" w:lineRule="auto"/>
              <w:ind w:firstLine="0"/>
              <w:jc w:val="center"/>
              <w:rPr>
                <w:rFonts w:hint="default" w:eastAsia="宋体"/>
                <w:lang w:val="en-US" w:eastAsia="zh-CN"/>
              </w:rPr>
            </w:pPr>
            <w:r>
              <w:rPr>
                <w:rFonts w:hint="default"/>
                <w:lang w:val="en-US" w:eastAsia="zh-CN"/>
              </w:rPr>
              <w:t>—</w:t>
            </w:r>
          </w:p>
        </w:tc>
        <w:tc>
          <w:tcPr>
            <w:tcW w:w="2076" w:type="dxa"/>
            <w:vAlign w:val="center"/>
          </w:tcPr>
          <w:p w14:paraId="4887EE35">
            <w:pPr>
              <w:spacing w:before="0" w:after="0" w:line="240" w:lineRule="auto"/>
              <w:ind w:firstLine="0"/>
              <w:jc w:val="center"/>
              <w:rPr>
                <w:rFonts w:hint="default" w:eastAsia="宋体"/>
                <w:lang w:val="en-US" w:eastAsia="zh-CN"/>
              </w:rPr>
            </w:pPr>
            <w:r>
              <w:rPr>
                <w:rFonts w:hint="default"/>
                <w:lang w:val="en-US" w:eastAsia="zh-CN"/>
              </w:rPr>
              <w:t>—</w:t>
            </w:r>
          </w:p>
        </w:tc>
      </w:tr>
    </w:tbl>
    <w:p w14:paraId="15A9EA17">
      <w:pPr>
        <w:pStyle w:val="2"/>
        <w:pageBreakBefore/>
      </w:pPr>
      <w:bookmarkStart w:id="41" w:name="_Toc150202554"/>
      <w:r>
        <w:rPr>
          <w:rFonts w:ascii="黑体" w:hAnsi="黑体" w:eastAsia="黑体" w:cs="黑体"/>
          <w:b/>
          <w:color w:val="000000"/>
          <w:sz w:val="28"/>
        </w:rPr>
        <w:t>7．研究过程中可能遇到的困难和问题，解决的措施</w:t>
      </w:r>
      <w:bookmarkEnd w:id="41"/>
    </w:p>
    <w:p w14:paraId="2A5C30F9">
      <w:pPr>
        <w:ind w:firstLine="420"/>
        <w:jc w:val="both"/>
      </w:pPr>
      <w:r>
        <w:t>研究中可能遇到的问题主要集中在数据与接口、蒸馏估计、训练资源和部署评测四个方面，相应措施如下：</w:t>
      </w:r>
    </w:p>
    <w:p w14:paraId="21DF0A10">
      <w:pPr>
        <w:keepNext/>
        <w:spacing w:before="80" w:after="80" w:line="240" w:lineRule="auto"/>
        <w:ind w:left="0" w:right="0" w:firstLine="0"/>
        <w:jc w:val="center"/>
      </w:pPr>
      <w:r>
        <w:rPr>
          <w:rFonts w:ascii="Times New Roman" w:hAnsi="Times New Roman" w:eastAsia="Songti SC"/>
          <w:sz w:val="21"/>
        </w:rPr>
        <w:t xml:space="preserve">表 </w:t>
      </w:r>
      <w:bookmarkStart w:id="42" w:name="_RefTable7_1"/>
      <w:r>
        <w:rPr>
          <w:rFonts w:ascii="Times New Roman" w:hAnsi="Times New Roman" w:eastAsia="Songti SC"/>
          <w:sz w:val="21"/>
        </w:rPr>
        <w:t>7-</w:t>
      </w:r>
      <w:r>
        <w:rPr>
          <w:rFonts w:ascii="Times New Roman" w:hAnsi="Times New Roman" w:eastAsia="Songti SC"/>
          <w:sz w:val="21"/>
        </w:rPr>
        <w:fldChar w:fldCharType="begin"/>
      </w:r>
      <w:r>
        <w:rPr>
          <w:rFonts w:ascii="Times New Roman" w:hAnsi="Times New Roman" w:eastAsia="Songti SC"/>
          <w:sz w:val="21"/>
        </w:rPr>
        <w:instrText xml:space="preserve"> SEQ TableCh7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42"/>
      <w:r>
        <w:rPr>
          <w:rFonts w:ascii="Times New Roman" w:hAnsi="Times New Roman" w:eastAsia="Songti SC"/>
          <w:sz w:val="21"/>
        </w:rPr>
        <w:t xml:space="preserve">  研究困难及解决措施</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tblHeader/>
        </w:trPr>
        <w:tc>
          <w:tcPr>
            <w:tcW w:w="4148" w:type="dxa"/>
          </w:tcPr>
          <w:p w14:paraId="4D407EE9">
            <w:pPr>
              <w:ind w:firstLine="0"/>
              <w:jc w:val="left"/>
            </w:pPr>
            <w:r>
              <w:rPr>
                <w:b/>
              </w:rPr>
              <w:t>可能遇到的困难和问题</w:t>
            </w:r>
          </w:p>
        </w:tc>
        <w:tc>
          <w:tcPr>
            <w:tcW w:w="4148" w:type="dxa"/>
          </w:tcPr>
          <w:p w14:paraId="1E1D7A71">
            <w:pPr>
              <w:ind w:firstLine="0"/>
              <w:jc w:val="left"/>
            </w:pPr>
            <w:r>
              <w:t>解决措施</w:t>
            </w:r>
          </w:p>
        </w:tc>
      </w:tr>
      <w:tr w14:paraId="1085C875">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c>
          <w:tcPr>
            <w:tcW w:w="4148" w:type="dxa"/>
          </w:tcPr>
          <w:p w14:paraId="269B361C">
            <w:pPr>
              <w:ind w:firstLine="0"/>
              <w:jc w:val="left"/>
            </w:pPr>
            <w:r>
              <w:t>教师全词表反馈开销过高</w:t>
            </w:r>
          </w:p>
        </w:tc>
        <w:tc>
          <w:tcPr>
            <w:tcW w:w="4148" w:type="dxa"/>
          </w:tcPr>
          <w:p w14:paraId="60A7D942">
            <w:pPr>
              <w:ind w:firstLine="0"/>
              <w:jc w:val="left"/>
            </w:pPr>
            <w:r>
              <w:t>比较全词表、Top-K 和 K1 的反馈量，并采用分块计算、缓存与梯度累积控制资源开销。</w:t>
            </w:r>
          </w:p>
        </w:tc>
      </w:tr>
      <w:tr w14:paraId="66668A77">
        <w:tc>
          <w:tcPr>
            <w:tcW w:w="4148" w:type="dxa"/>
          </w:tcPr>
          <w:p w14:paraId="56DC85CD">
            <w:pPr>
              <w:ind w:firstLine="0"/>
              <w:jc w:val="left"/>
            </w:pPr>
            <w:r>
              <w:t>Top-K/K1 估计不稳定</w:t>
            </w:r>
          </w:p>
        </w:tc>
        <w:tc>
          <w:tcPr>
            <w:tcW w:w="4148" w:type="dxa"/>
          </w:tcPr>
          <w:p w14:paraId="05CCDD09">
            <w:pPr>
              <w:ind w:firstLine="0"/>
              <w:jc w:val="left"/>
            </w:pPr>
            <w:r>
              <w:t>记录支持集外概率、熵和异常损失；在主方案稳定运行后，再评估额外的稳定化方法。</w:t>
            </w:r>
          </w:p>
        </w:tc>
      </w:tr>
      <w:tr w14:paraId="675E933A">
        <w:tc>
          <w:tcPr>
            <w:tcW w:w="4148" w:type="dxa"/>
          </w:tcPr>
          <w:p w14:paraId="650F6C3E">
            <w:pPr>
              <w:ind w:firstLine="0"/>
              <w:jc w:val="left"/>
            </w:pPr>
            <w:r>
              <w:t>离线 token 指标与端到端调用结果不一致</w:t>
            </w:r>
          </w:p>
        </w:tc>
        <w:tc>
          <w:tcPr>
            <w:tcW w:w="4148" w:type="dxa"/>
          </w:tcPr>
          <w:p w14:paraId="3BB1B133">
            <w:pPr>
              <w:ind w:firstLine="0"/>
              <w:jc w:val="left"/>
            </w:pPr>
            <w:r>
              <w:t>分层报告格式、函数、参数、执行和端到端任务指标，并保留失败轨迹。</w:t>
            </w:r>
          </w:p>
        </w:tc>
      </w:tr>
      <w:tr w14:paraId="664DFE22">
        <w:tc>
          <w:tcPr>
            <w:tcW w:w="4148" w:type="dxa"/>
          </w:tcPr>
          <w:p w14:paraId="2D772E21">
            <w:pPr>
              <w:ind w:firstLine="0"/>
              <w:jc w:val="left"/>
            </w:pPr>
            <w:r>
              <w:t>推理后端兼容性问题</w:t>
            </w:r>
          </w:p>
        </w:tc>
        <w:tc>
          <w:tcPr>
            <w:tcW w:w="4148" w:type="dxa"/>
          </w:tcPr>
          <w:p w14:paraId="0595ED00">
            <w:pPr>
              <w:ind w:firstLine="0"/>
              <w:jc w:val="left"/>
            </w:pPr>
            <w:r>
              <w:t>先完成最小推理验证，再固定 vLLM 或自建测试程序的版本、加载方式与测量参数。</w:t>
            </w:r>
          </w:p>
        </w:tc>
      </w:tr>
    </w:tbl>
    <w:p w14:paraId="7661A5B1">
      <w:pPr>
        <w:ind w:firstLine="420"/>
        <w:jc w:val="both"/>
      </w:pPr>
      <w:r>
        <w:t>实施时，先完成数据、模型、tokenizer 和消息模板审计，再通过短序列验证、小批量训练、梯度累积、混合精度、教师输出缓存和分块计算控制资源开销。全词表、Top-K 和 K1 使用统一的支持集、采样与 mask 协议，并保存异常 loss、非法结构和失败工具调用等可追溯样本。</w:t>
      </w:r>
    </w:p>
    <w:p w14:paraId="59D0F03A">
      <w:pPr>
        <w:ind w:firstLine="420"/>
        <w:jc w:val="both"/>
      </w:pPr>
      <w:r>
        <w:t>实验日志按数据与接口、蒸馏估计、训练资源和部署评测四类记录问题。评测结果分层报告格式解析、函数选择、参数生成、工具执行和端到端任务完成情况，以便分别分析算法效果、资源成本与系统性能。</w:t>
      </w:r>
    </w:p>
    <w:p w14:paraId="1E1D72DA">
      <w:pPr>
        <w:ind w:firstLine="420"/>
        <w:jc w:val="both"/>
      </w:pPr>
      <w:r>
        <w:t>完成主要比较后，将进一步考察 Top-K 支持集修复和损失截断方法，包括合并师生高概率集合、保留残余概率质量和裁剪极端概率比，用于分析截断监督的稳定性。</w:t>
      </w:r>
    </w:p>
    <w:p w14:paraId="0874BB6A">
      <w:pPr>
        <w:pStyle w:val="2"/>
      </w:pPr>
      <w:bookmarkStart w:id="43" w:name="_Toc1161039853"/>
      <w:r>
        <w:rPr>
          <w:rFonts w:ascii="黑体" w:hAnsi="黑体" w:eastAsia="黑体" w:cs="黑体"/>
          <w:b/>
          <w:color w:val="000000"/>
          <w:sz w:val="28"/>
        </w:rPr>
        <w:t>8．主要参考文献</w:t>
      </w:r>
      <w:bookmarkEnd w:id="43"/>
    </w:p>
    <w:p w14:paraId="1DB37AB9">
      <w:pPr>
        <w:pStyle w:val="17"/>
        <w:numPr>
          <w:ilvl w:val="0"/>
          <w:numId w:val="1"/>
        </w:numPr>
        <w:ind w:firstLine="420"/>
        <w:jc w:val="left"/>
      </w:pPr>
      <w:r>
        <w:t>Hinton G, Vinyals O, Dean J. Distilling the Knowledge in a Neural Network[EB/OL]. arXiv:1503.02531, 2015.</w:t>
      </w:r>
    </w:p>
    <w:p w14:paraId="1ADC76CC">
      <w:pPr>
        <w:pStyle w:val="17"/>
        <w:numPr>
          <w:ilvl w:val="0"/>
          <w:numId w:val="1"/>
        </w:numPr>
        <w:ind w:firstLine="420"/>
        <w:jc w:val="left"/>
      </w:pPr>
      <w:r>
        <w:t>Kim Y, Rush A M. Sequence-Level Knowledge Distillation[C]//Proceedings of the 2016 Conference on Empirical Methods in Natural Language Processing. ACL, 2016: 1317-1327. DOI:10.18653/v1/D16-1139.</w:t>
      </w:r>
    </w:p>
    <w:p w14:paraId="4F6C6FD9">
      <w:pPr>
        <w:pStyle w:val="17"/>
        <w:numPr>
          <w:ilvl w:val="0"/>
          <w:numId w:val="1"/>
        </w:numPr>
        <w:ind w:firstLine="420"/>
        <w:jc w:val="left"/>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7"/>
        <w:numPr>
          <w:ilvl w:val="0"/>
          <w:numId w:val="1"/>
        </w:numPr>
        <w:ind w:firstLine="420"/>
        <w:jc w:val="left"/>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7"/>
        <w:numPr>
          <w:ilvl w:val="0"/>
          <w:numId w:val="1"/>
        </w:numPr>
        <w:ind w:firstLine="420"/>
        <w:jc w:val="left"/>
      </w:pPr>
      <w:r>
        <w:t>Huszár F. How (not) to Train your Generative Model: Scheduled Sampling, Likelihood, Adversary?[EB/OL]. arXiv:1511.05101, 2015.</w:t>
      </w:r>
    </w:p>
    <w:p w14:paraId="6C24ECAE">
      <w:pPr>
        <w:pStyle w:val="17"/>
        <w:numPr>
          <w:ilvl w:val="0"/>
          <w:numId w:val="1"/>
        </w:numPr>
        <w:ind w:firstLine="420"/>
        <w:jc w:val="left"/>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7"/>
        <w:numPr>
          <w:ilvl w:val="0"/>
          <w:numId w:val="1"/>
        </w:numPr>
        <w:ind w:firstLine="420"/>
        <w:jc w:val="left"/>
      </w:pPr>
      <w:r>
        <w:t>Agarwal R, Vieillard N, Zhou Y, et al. On-Policy Distillation of Language Models: Learning from Self-Generated Mistakes[C]//International Conference on Learning Representations. 2024. arXiv:2306.13649.</w:t>
      </w:r>
    </w:p>
    <w:p w14:paraId="7DB42AF6">
      <w:pPr>
        <w:pStyle w:val="17"/>
        <w:numPr>
          <w:ilvl w:val="0"/>
          <w:numId w:val="1"/>
        </w:numPr>
        <w:ind w:firstLine="420"/>
        <w:jc w:val="left"/>
      </w:pPr>
      <w:r>
        <w:t>Gu Y, Dong L, Wei F, et al. MiniLLM: Knowledge Distillation of Large Language Models[C]//International Conference on Learning Representations. 2024. arXiv:2306.08543.</w:t>
      </w:r>
    </w:p>
    <w:p w14:paraId="719D2FB1">
      <w:pPr>
        <w:pStyle w:val="17"/>
        <w:numPr>
          <w:ilvl w:val="0"/>
          <w:numId w:val="1"/>
        </w:numPr>
        <w:ind w:firstLine="420"/>
        <w:jc w:val="left"/>
      </w:pPr>
      <w:r>
        <w:t>Ko J, Kim S, Chen T, et al. DistiLLM: Towards Streamlined Distillation for Large Language Models[C]//Proceedings of the 41st International Conference on Machine Learning. PMLR, 2024, 235: 24872-24895.</w:t>
      </w:r>
    </w:p>
    <w:p w14:paraId="1C80C04E">
      <w:pPr>
        <w:pStyle w:val="17"/>
        <w:numPr>
          <w:ilvl w:val="0"/>
          <w:numId w:val="1"/>
        </w:numPr>
        <w:ind w:firstLine="420"/>
        <w:jc w:val="left"/>
      </w:pPr>
      <w:r>
        <w:t>Koo J, Hwang Y, Kim Y, et al. SWITCH: Studying with Teacher for Knowledge Distillation of Large Language Models[C]//Findings of the Association for Computational Linguistics: NAACL 2025. ACL, 2025: 3733-3746. DOI:10.18653/v1/2025.findings-naacl.206.</w:t>
      </w:r>
    </w:p>
    <w:p w14:paraId="23921927">
      <w:pPr>
        <w:pStyle w:val="17"/>
        <w:numPr>
          <w:ilvl w:val="0"/>
          <w:numId w:val="1"/>
        </w:numPr>
        <w:ind w:firstLine="420"/>
        <w:jc w:val="left"/>
      </w:pPr>
      <w:r>
        <w:t>Zhang D, Yang Z, Janghorbani S, et al. Fast and Effective On-Policy Distillation from Reasoning Prefixes[C]//Findings of the Association for Computational Linguistics: ACL 2026. ACL, 2026: 25553-25569. DOI:10.18653/v1/2026.findings-acl.1276.</w:t>
      </w:r>
    </w:p>
    <w:p w14:paraId="32C3FCC3">
      <w:pPr>
        <w:pStyle w:val="17"/>
        <w:numPr>
          <w:ilvl w:val="0"/>
          <w:numId w:val="1"/>
        </w:numPr>
        <w:ind w:firstLine="420"/>
        <w:jc w:val="left"/>
      </w:pPr>
      <w:r>
        <w:t>Jang I, Yeom J, Yeo J, et al. Stable On-Policy Distillation through Adaptive Target Reformulation[C]//Findings of the Association for Computational Linguistics: ACL 2026. ACL, 2026: 42217-42227. DOI:10.18653/v1/2026.findings-acl.2094.</w:t>
      </w:r>
    </w:p>
    <w:p w14:paraId="4B227259">
      <w:pPr>
        <w:pStyle w:val="17"/>
        <w:numPr>
          <w:ilvl w:val="0"/>
          <w:numId w:val="1"/>
        </w:numPr>
        <w:ind w:firstLine="420"/>
        <w:jc w:val="left"/>
      </w:pPr>
      <w:r>
        <w:t>Kim G, Jang D, Yang E. PromptKD: Distilling Student-Friendly Knowledge for Generative Language Models via Prompt Tuning[C]//Findings of the Association for Computational Linguistics: EMNLP 2024. ACL, 2024: 6266-6282. DOI:10.18653/v1/2024.findings-emnlp.364.</w:t>
      </w:r>
    </w:p>
    <w:p w14:paraId="529E3E43">
      <w:pPr>
        <w:pStyle w:val="17"/>
        <w:numPr>
          <w:ilvl w:val="0"/>
          <w:numId w:val="1"/>
        </w:numPr>
        <w:ind w:firstLine="420"/>
        <w:jc w:val="left"/>
      </w:pPr>
      <w:r>
        <w:t>Zhu X, Li J, Liu Y, et al. A Survey on Model Compression for Large Language Models[J]. Transactions of the Association for Computational Linguistics, 2024, 12: 1556-1577. DOI:10.1162/tacl_a_00704.</w:t>
      </w:r>
    </w:p>
    <w:p w14:paraId="319C7304">
      <w:pPr>
        <w:pStyle w:val="17"/>
        <w:numPr>
          <w:ilvl w:val="0"/>
          <w:numId w:val="1"/>
        </w:numPr>
        <w:ind w:firstLine="420"/>
        <w:jc w:val="left"/>
      </w:pPr>
      <w:r>
        <w:t>Peng H, Lv X, Bai Y, et al. Pre-training Distillation for Large Language Models: A Design Space Exploration[C]//Proceedings of the 63rd Annual Meeting of the Association for Computational Linguistics. ACL, 2025: 3603-3618. DOI:10.18653/v1/2025.acl-long.181.</w:t>
      </w:r>
    </w:p>
    <w:p w14:paraId="6F2F83D3">
      <w:pPr>
        <w:pStyle w:val="17"/>
        <w:numPr>
          <w:ilvl w:val="0"/>
          <w:numId w:val="1"/>
        </w:numPr>
        <w:ind w:firstLine="420"/>
        <w:jc w:val="left"/>
      </w:pPr>
      <w:r>
        <w:t>Qwen Team. Qwen3 Technical Report[EB/OL]. arXiv:2505.09388, 2025. DOI:10.48550/arXiv.2505.09388.</w:t>
      </w:r>
    </w:p>
    <w:p w14:paraId="3D1CC9FC">
      <w:pPr>
        <w:pStyle w:val="17"/>
        <w:numPr>
          <w:ilvl w:val="0"/>
          <w:numId w:val="1"/>
        </w:numPr>
        <w:ind w:firstLine="420"/>
        <w:jc w:val="left"/>
      </w:pPr>
      <w:r>
        <w:t>Kullback S, Leibler R A. On Information and Sufficiency[J]. The Annals of Mathematical Statistics, 1951, 22(1): 79-86. DOI:10.1214/aoms/1177729694.</w:t>
      </w:r>
    </w:p>
    <w:p w14:paraId="2E214B5B">
      <w:pPr>
        <w:pStyle w:val="17"/>
        <w:numPr>
          <w:ilvl w:val="0"/>
          <w:numId w:val="1"/>
        </w:numPr>
        <w:ind w:firstLine="420"/>
        <w:jc w:val="left"/>
      </w:pPr>
      <w:r>
        <w:t>Lin J. Divergence Measures Based on the Shannon Entropy[J]. IEEE Transactions on Information Theory, 1991, 37(1): 145-151.</w:t>
      </w:r>
    </w:p>
    <w:p w14:paraId="6841C405">
      <w:pPr>
        <w:pStyle w:val="17"/>
        <w:numPr>
          <w:ilvl w:val="0"/>
          <w:numId w:val="1"/>
        </w:numPr>
        <w:ind w:firstLine="420"/>
        <w:jc w:val="left"/>
      </w:pPr>
      <w:r>
        <w:t>Hu E J, Shen Y, Wallis P, et al. LoRA: Low-Rank Adaptation of Large Language Models[C]//International Conference on Learning Representations. 2022. arXiv:2106.09685.</w:t>
      </w:r>
    </w:p>
    <w:p w14:paraId="366C4C73">
      <w:pPr>
        <w:pStyle w:val="17"/>
        <w:numPr>
          <w:ilvl w:val="0"/>
          <w:numId w:val="1"/>
        </w:numPr>
        <w:ind w:firstLine="420"/>
        <w:jc w:val="left"/>
      </w:pPr>
      <w:r>
        <w:t>Kwon W, Li Z, Zhuang S, et al. Efficient Memory Management for Large Language Model Serving with PagedAttention[C]//Proceedings of the 29th Symposium on Operating Systems Principles. ACM, 2023: 611-626. DOI:10.1145/3600006.3613165.</w:t>
      </w:r>
    </w:p>
    <w:p w14:paraId="3C944867">
      <w:pPr>
        <w:pStyle w:val="17"/>
        <w:numPr>
          <w:ilvl w:val="0"/>
          <w:numId w:val="1"/>
        </w:numPr>
        <w:ind w:firstLine="420"/>
        <w:jc w:val="left"/>
      </w:pPr>
      <w:r>
        <w:t>Yao S, Zhao J, Yu D, et al. ReAct: Synergizing Reasoning and Acting in Language Models[C]//International Conference on Learning Representations. 2023. arXiv:2210.03629.</w:t>
      </w:r>
    </w:p>
    <w:p w14:paraId="7EC0CC1B">
      <w:pPr>
        <w:pStyle w:val="17"/>
        <w:numPr>
          <w:ilvl w:val="0"/>
          <w:numId w:val="1"/>
        </w:numPr>
        <w:ind w:firstLine="420"/>
        <w:jc w:val="left"/>
      </w:pPr>
      <w:r>
        <w:t>Patil S G, Zhang T, Wang X, et al. Gorilla: Large Language Model Connected with Massive APIs[EB/OL]. arXiv:2305.15334, 2023.</w:t>
      </w:r>
    </w:p>
    <w:p w14:paraId="272697B3">
      <w:pPr>
        <w:pStyle w:val="17"/>
        <w:numPr>
          <w:ilvl w:val="0"/>
          <w:numId w:val="1"/>
        </w:numPr>
        <w:ind w:firstLine="420"/>
        <w:jc w:val="left"/>
      </w:pPr>
      <w:r>
        <w:t>Li M, Zhao Y, Yu B, et al. API-Bank: A Comprehensive Benchmark for Tool-Augmented LLMs[C]//Proceedings of the 2023 Conference on Empirical Methods in Natural Language Processing. ACL, 2023: 3102-3116. DOI:10.18653/v1/2023.emnlp-main.187.</w:t>
      </w:r>
    </w:p>
    <w:p w14:paraId="27EE8778">
      <w:pPr>
        <w:pStyle w:val="17"/>
        <w:numPr>
          <w:ilvl w:val="0"/>
          <w:numId w:val="1"/>
        </w:numPr>
        <w:ind w:firstLine="420"/>
        <w:jc w:val="left"/>
      </w:pPr>
      <w:r>
        <w:t>Qin Y, Liang S, Ye Y, et al. ToolLLM: Facilitating Large Language Models to Master 16000+ Real-world APIs[EB/OL]. arXiv:2307.16789, 2023.</w:t>
      </w:r>
    </w:p>
    <w:p w14:paraId="18515301">
      <w:pPr>
        <w:pStyle w:val="17"/>
        <w:numPr>
          <w:ilvl w:val="0"/>
          <w:numId w:val="1"/>
        </w:numPr>
        <w:ind w:firstLine="420"/>
        <w:jc w:val="left"/>
      </w:pPr>
      <w:r>
        <w:t>Liu Z, Hoang T, Zhang J, et al. APIGen: Automated Pipeline for Generating Verifiable and Diverse Function-Calling Datasets[C]//Advances in Neural Information Processing Systems. 2024. DOI:10.52202/079017-1725.</w:t>
      </w:r>
    </w:p>
    <w:p w14:paraId="79D77904">
      <w:pPr>
        <w:pStyle w:val="17"/>
        <w:numPr>
          <w:ilvl w:val="0"/>
          <w:numId w:val="1"/>
        </w:numPr>
        <w:ind w:firstLine="420"/>
        <w:jc w:val="left"/>
      </w:pPr>
      <w:r>
        <w:t>Liu W, Huang X, Zeng X, et al. ToolACE: Winning the Points of LLM Function Calling[C]//International Conference on Learning Representations. 2025. arXiv:2409.00920.</w:t>
      </w:r>
    </w:p>
    <w:p w14:paraId="77EEE5FF">
      <w:pPr>
        <w:pStyle w:val="17"/>
        <w:numPr>
          <w:ilvl w:val="0"/>
          <w:numId w:val="1"/>
        </w:numPr>
        <w:ind w:firstLine="420"/>
        <w:jc w:val="left"/>
      </w:pPr>
      <w:r>
        <w:t>Patil S G, Mao H, Yan F, et al. The Berkeley Function Calling Leaderboard (BFCL): From Tool Use to Agentic Evaluation of Large Language Models[C]//Proceedings of the 42nd International Conference on Machine Learning. PMLR, 2025, 267: 48371-48392.</w:t>
      </w: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Heiti SC">
    <w:panose1 w:val="02000000000000000000"/>
    <w:charset w:val="86"/>
    <w:family w:val="auto"/>
    <w:pitch w:val="default"/>
    <w:sig w:usb0="8000002F" w:usb1="0800004A" w:usb2="00000000" w:usb3="00000000" w:csb0="203E0000" w:csb1="00000000"/>
  </w:font>
  <w:font w:name="Songti SC">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0000000000000000000"/>
    <w:charset w:val="00"/>
    <w:family w:val="auto"/>
    <w:pitch w:val="default"/>
    <w:sig w:usb0="00000000" w:usb1="00000000" w:usb2="00000000" w:usb3="00000000" w:csb0="00000000" w:csb1="00000000"/>
  </w:font>
  <w:font w:name="Kingsoft Math">
    <w:panose1 w:val="02040503050406030204"/>
    <w:charset w:val="00"/>
    <w:family w:val="auto"/>
    <w:pitch w:val="default"/>
    <w:sig w:usb0="80000087" w:usb1="00002068" w:usb2="00000000" w:usb3="00000000" w:csb0="2000019F" w:csb1="0000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AC643C">
    <w:pPr>
      <w:jc w:val="center"/>
    </w:pPr>
    <w:r>
      <w:rPr>
        <w:rFonts w:ascii="Times New Roman" w:hAnsi="Times New Roman" w:eastAsia="Times New Roman"/>
        <w:b w:val="0"/>
        <w:sz w:val="21"/>
      </w:rPr>
      <w:fldChar w:fldCharType="begin"/>
    </w:r>
    <w:r>
      <w:rPr>
        <w:rFonts w:ascii="Times New Roman" w:hAnsi="Times New Roman" w:eastAsia="Times New Roman"/>
        <w:b w:val="0"/>
        <w:sz w:val="21"/>
      </w:rPr>
      <w:instrText xml:space="preserve"> PAGE </w:instrText>
    </w:r>
    <w:r>
      <w:rPr>
        <w:rFonts w:ascii="Times New Roman" w:hAnsi="Times New Roman" w:eastAsia="Times New Roman"/>
        <w:b w:val="0"/>
        <w:sz w:val="21"/>
      </w:rPr>
      <w:fldChar w:fldCharType="separate"/>
    </w:r>
    <w:r>
      <w:rPr>
        <w:rFonts w:ascii="Times New Roman" w:hAnsi="Times New Roman" w:eastAsia="Times New Roman"/>
        <w:b w:val="0"/>
        <w:sz w:val="21"/>
      </w:rPr>
      <w:t>1</w:t>
    </w:r>
    <w:r>
      <w:rPr>
        <w:rFonts w:ascii="Times New Roman" w:hAnsi="Times New Roman" w:eastAsia="Times New Roman"/>
        <w:b w:val="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18FA7239"/>
    <w:rsid w:val="379AF903"/>
    <w:rsid w:val="37D6E10D"/>
    <w:rsid w:val="3DFA4833"/>
    <w:rsid w:val="43FE21F8"/>
    <w:rsid w:val="5F7FB192"/>
    <w:rsid w:val="655A2287"/>
    <w:rsid w:val="673FE172"/>
    <w:rsid w:val="676F45A0"/>
    <w:rsid w:val="6E7DA8AD"/>
    <w:rsid w:val="6E8FB321"/>
    <w:rsid w:val="6EFBC10C"/>
    <w:rsid w:val="6FFF75D6"/>
    <w:rsid w:val="71BE9EA7"/>
    <w:rsid w:val="767FF00F"/>
    <w:rsid w:val="77AEF49C"/>
    <w:rsid w:val="9AE84B35"/>
    <w:rsid w:val="BFFA814C"/>
    <w:rsid w:val="D77D16B1"/>
    <w:rsid w:val="D9FA0EC0"/>
    <w:rsid w:val="DA1EC6EC"/>
    <w:rsid w:val="E9E7C479"/>
    <w:rsid w:val="F3E35A1F"/>
    <w:rsid w:val="F77BC61A"/>
    <w:rsid w:val="F9FB7683"/>
    <w:rsid w:val="FEBB3654"/>
    <w:rsid w:val="FF7F5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1"/>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20"/>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2"/>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2">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5">
    <w:name w:val="footer"/>
    <w:basedOn w:val="1"/>
    <w:link w:val="24"/>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3"/>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toc 1"/>
    <w:basedOn w:val="1"/>
    <w:next w:val="1"/>
    <w:semiHidden/>
    <w:unhideWhenUsed/>
    <w:uiPriority w:val="39"/>
  </w:style>
  <w:style w:type="paragraph" w:styleId="8">
    <w:name w:val="toc 2"/>
    <w:basedOn w:val="1"/>
    <w:next w:val="1"/>
    <w:semiHidden/>
    <w:unhideWhenUsed/>
    <w:uiPriority w:val="39"/>
    <w:pPr>
      <w:ind w:left="420" w:leftChars="200"/>
    </w:pPr>
  </w:style>
  <w:style w:type="paragraph" w:styleId="9">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11">
    <w:name w:val="Table Grid"/>
    <w:basedOn w:val="1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4">
    <w:name w:val="节"/>
    <w:basedOn w:val="1"/>
    <w:uiPriority w:val="0"/>
    <w:pPr>
      <w:snapToGrid w:val="0"/>
      <w:spacing w:beforeLines="50" w:afterLines="50" w:line="300" w:lineRule="auto"/>
    </w:pPr>
    <w:rPr>
      <w:rFonts w:eastAsia="黑体"/>
      <w:sz w:val="30"/>
    </w:rPr>
  </w:style>
  <w:style w:type="paragraph" w:customStyle="1" w:styleId="15">
    <w:name w:val="条"/>
    <w:basedOn w:val="1"/>
    <w:uiPriority w:val="0"/>
    <w:pPr>
      <w:snapToGrid w:val="0"/>
      <w:spacing w:beforeLines="50" w:afterLines="50" w:line="300" w:lineRule="auto"/>
    </w:pPr>
    <w:rPr>
      <w:rFonts w:eastAsia="黑体"/>
      <w:sz w:val="28"/>
    </w:rPr>
  </w:style>
  <w:style w:type="paragraph" w:customStyle="1" w:styleId="16">
    <w:name w:val="款"/>
    <w:basedOn w:val="1"/>
    <w:uiPriority w:val="0"/>
    <w:pPr>
      <w:snapToGrid w:val="0"/>
      <w:spacing w:line="300" w:lineRule="auto"/>
    </w:pPr>
    <w:rPr>
      <w:rFonts w:eastAsia="黑体"/>
    </w:rPr>
  </w:style>
  <w:style w:type="paragraph" w:styleId="17">
    <w:name w:val="List Paragraph"/>
    <w:basedOn w:val="1"/>
    <w:qFormat/>
    <w:uiPriority w:val="34"/>
    <w:pPr>
      <w:ind w:firstLine="420" w:firstLineChars="200"/>
    </w:pPr>
  </w:style>
  <w:style w:type="character" w:customStyle="1" w:styleId="18">
    <w:name w:val="fontstyle01"/>
    <w:basedOn w:val="12"/>
    <w:uiPriority w:val="0"/>
    <w:rPr>
      <w:rFonts w:hint="eastAsia" w:ascii="宋体" w:hAnsi="宋体" w:eastAsia="宋体"/>
      <w:color w:val="000000"/>
      <w:sz w:val="24"/>
      <w:szCs w:val="24"/>
    </w:rPr>
  </w:style>
  <w:style w:type="character" w:customStyle="1" w:styleId="19">
    <w:name w:val="fontstyle21"/>
    <w:basedOn w:val="12"/>
    <w:uiPriority w:val="0"/>
    <w:rPr>
      <w:rFonts w:hint="default" w:ascii="TimesNewRomanPSMT" w:hAnsi="TimesNewRomanPSMT"/>
      <w:color w:val="000000"/>
      <w:sz w:val="24"/>
      <w:szCs w:val="24"/>
    </w:rPr>
  </w:style>
  <w:style w:type="character" w:customStyle="1" w:styleId="20">
    <w:name w:val="标题 2 字符"/>
    <w:basedOn w:val="12"/>
    <w:link w:val="3"/>
    <w:uiPriority w:val="9"/>
    <w:rPr>
      <w:rFonts w:asciiTheme="majorHAnsi" w:hAnsiTheme="majorHAnsi" w:eastAsiaTheme="majorEastAsia" w:cstheme="majorBidi"/>
      <w:b/>
      <w:bCs/>
      <w:sz w:val="30"/>
      <w:szCs w:val="32"/>
    </w:rPr>
  </w:style>
  <w:style w:type="character" w:customStyle="1" w:styleId="21">
    <w:name w:val="标题 1 字符"/>
    <w:basedOn w:val="12"/>
    <w:link w:val="2"/>
    <w:uiPriority w:val="9"/>
    <w:rPr>
      <w:rFonts w:ascii="Times New Roman" w:hAnsi="Times New Roman" w:eastAsia="宋体" w:cs="Times New Roman"/>
      <w:b/>
      <w:bCs/>
      <w:kern w:val="44"/>
      <w:sz w:val="32"/>
      <w:szCs w:val="44"/>
    </w:rPr>
  </w:style>
  <w:style w:type="character" w:customStyle="1" w:styleId="22">
    <w:name w:val="标题 3 字符"/>
    <w:basedOn w:val="12"/>
    <w:link w:val="4"/>
    <w:uiPriority w:val="9"/>
    <w:rPr>
      <w:rFonts w:ascii="Times New Roman" w:hAnsi="Times New Roman" w:eastAsia="宋体" w:cs="Times New Roman"/>
      <w:b/>
      <w:bCs/>
      <w:sz w:val="28"/>
      <w:szCs w:val="32"/>
    </w:rPr>
  </w:style>
  <w:style w:type="character" w:customStyle="1" w:styleId="23">
    <w:name w:val="页眉 字符"/>
    <w:basedOn w:val="12"/>
    <w:link w:val="6"/>
    <w:uiPriority w:val="99"/>
    <w:rPr>
      <w:rFonts w:ascii="Times New Roman" w:hAnsi="Times New Roman" w:eastAsia="宋体" w:cs="Times New Roman"/>
      <w:sz w:val="18"/>
      <w:szCs w:val="18"/>
    </w:rPr>
  </w:style>
  <w:style w:type="character" w:customStyle="1" w:styleId="24">
    <w:name w:val="页脚 字符"/>
    <w:basedOn w:val="12"/>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27</Pages>
  <Words>735</Words>
  <Characters>4192</Characters>
  <Lines>34</Lines>
  <Paragraphs>9</Paragraphs>
  <TotalTime>0</TotalTime>
  <ScaleCrop>false</ScaleCrop>
  <LinksUpToDate>false</LinksUpToDate>
  <CharactersWithSpaces>4918</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2022-10-12T18:38:00Z</dcterms:created>
  <dc:creator>董 睿璞</dc:creator>
  <cp:lastModifiedBy>Dr.Oppenheimer</cp:lastModifiedBy>
  <dcterms:modified xsi:type="dcterms:W3CDTF">2026-09-24T00:29:20Z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