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基于在线策略蒸馏的大语言模型后训练方法研究</w:t>
        <w:br/>
        <w:t>前置文献综述</w:t>
      </w:r>
    </w:p>
    <w:p>
      <w:pPr>
        <w:ind w:firstLine="0"/>
        <w:jc w:val="center"/>
      </w:pPr>
      <w:r>
        <w:rPr>
          <w:b/>
        </w:rPr>
        <w:t>（供课题讨论与方案论证使用）</w:t>
        <w:br/>
      </w:r>
      <w:r>
        <w:t>整理日期：2026年9月21日</w:t>
      </w:r>
    </w:p>
    <w:p>
      <w:pPr>
        <w:pStyle w:val="Heading1"/>
      </w:pPr>
      <w:r>
        <w:t>摘要</w:t>
      </w:r>
    </w:p>
    <w:p>
      <w:r>
        <w:t>大语言模型后训练正在从以人工示范为中心的监督微调，逐步扩展到知识蒸馏、偏好优化和强化学习。对小模型而言，传统离线蒸馏能够利用教师输出降低训练成本，但学生推理时会沿自身预测形成新的前缀状态，训练数据与部署状态之间仍可能存在分布偏移。在线策略蒸馏（On-Policy Distillation，OPD）让学生先生成轨迹，再由教师在学生实际访问的状态上提供token级反馈，因此兼具模仿学习中的状态覆盖思想和知识蒸馏中的密集监督优势。本文基于项目现已核验和维护的35篇文献，重点梳理后训练方法的监督来源、经典与序列级知识蒸馏、分布偏移、散度目标、OPD代表方法、失败模式和参数高效实现。现有研究表明，OPD并非单一损失函数，而是由学生状态采样、教师反馈形式、散度方向、监督支持集和训练资源共同决定的一套训练框架。本项目拟以Qwen3-0.6B为学生、Qwen3-4B为教师，采用LoRA更新学生参数，在统一数据、训练预算和评测协议下比较Forward KL、Reverse KL与广义散度，以及全词表、Top-K和K1 sampled-token三种监督粒度，为有限算力条件下的在线蒸馏提供可复现的实验依据。</w:t>
      </w:r>
    </w:p>
    <w:p>
      <w:pPr>
        <w:ind w:firstLine="0"/>
      </w:pPr>
      <w:r>
        <w:rPr>
          <w:b/>
        </w:rPr>
        <w:t>关键词：</w:t>
      </w:r>
      <w:r>
        <w:t>在线策略蒸馏；大语言模型；后训练；知识蒸馏；KL散度；LoRA</w:t>
      </w:r>
    </w:p>
    <w:p>
      <w:pPr>
        <w:pStyle w:val="Heading1"/>
      </w:pPr>
      <w:r>
        <w:t>1 研究背景与综述范围</w:t>
      </w:r>
    </w:p>
    <w:p>
      <w:r>
        <w:t>大语言模型的基础能力主要来自大规模预训练，但模型能否稳定遵循指令、输出结构化结果、调用外部工具并在复杂任务中进行多步决策，往往取决于后训练阶段。现有后训练方法的监督来源并不相同：监督微调使用人工或教师整理的目标序列，知识蒸馏利用教师模型的概率分布或生成结果，偏好优化根据回答间的相对偏好调整策略，强化学习则依赖奖励信号。PPO通过限制策略更新幅度提高在线强化学习的稳定性[19]，DPO把带KL约束的偏好优化转化为可直接在偏好对上求解的目标[20]。二者说明后训练可以从奖励或偏好出发，但它们并不等同于教师在每个生成位置提供分布监督的在线蒸馏。</w:t>
      </w:r>
    </w:p>
    <w:p>
      <w:r>
        <w:t>本综述围绕本项目真正需要回答的问题组织文献，而不是简单按发表年份罗列论文。核心问题包括：学生应当在谁产生的状态上接受训练；教师应提供完整分布、截断分布还是单样本反馈；Forward KL、Reverse KL和其他散度分别会带来怎样的覆盖或集中倾向；OPD与SFT、离线蒸馏、偏好优化和强化学习之间是什么关系；以及有限显存和教师推理预算下如何组织可重复实验。项目文献库还收录Qwen3、DeepSeek-V4和MiMo-V2-Flash等技术报告[21–23]，用于理解近期开放模型的架构、推理和效率背景；这些报告构成模型选型的背景材料，但不被当作本课题已经验证的实验结论。</w:t>
      </w:r>
    </w:p>
    <w:p>
      <w:pPr>
        <w:pStyle w:val="Heading1"/>
      </w:pPr>
      <w:r>
        <w:t>2 从经典知识蒸馏到序列级蒸馏</w:t>
      </w:r>
    </w:p>
    <w:p>
      <w:pPr>
        <w:pStyle w:val="Heading2"/>
      </w:pPr>
      <w:r>
        <w:t>2.1 软目标与序列级监督</w:t>
      </w:r>
    </w:p>
    <w:p>
      <w:r>
        <w:t>Hinton等提出的经典知识蒸馏以教师软分布作为训练信号，通过温度缩放显露类别之间的相对关系[1]。与one-hot标签相比，软分布不仅告诉学生“正确答案是什么”，还保留教师对其他候选的相对判断。对分类问题而言，这一思想比较直接；对自回归语言模型而言，输出空间扩大到整个词表，每个位置的教师判断又依赖此前生成的前缀，因此蒸馏对象会随序列推进而变化。</w:t>
      </w:r>
    </w:p>
    <w:p>
      <w:r>
        <w:t>Kim和Rush把知识蒸馏推进到序列级，使用教师搜索得到的完整序列训练学生[2]。SeqKD减轻了原始训练数据中的多模态性，并为生成模型提供了较容易学习的目标，但其训练轨迹仍由教师或固定语料产生。学生部署时必须沿自己的预测继续生成，一旦早期token偏离参考序列，后续状态就可能落在训练分布之外。由此可见，扩大监督单位能够改善序列学习，却不会自动解决训练前缀与推理前缀不一致的问题。</w:t>
      </w:r>
    </w:p>
    <w:p>
      <w:pPr>
        <w:pStyle w:val="Heading2"/>
      </w:pPr>
      <w:r>
        <w:t>2.2 分布偏移与模仿学习视角</w:t>
      </w:r>
    </w:p>
    <w:p>
      <w:r>
        <w:t>Huszár对scheduled sampling的分析指出，若训练过程中混合真实前缀和模型前缀，却没有为这种混合定义一致的概率目标，学习结果可能偏离真正的数据分布[4]。这一批评把“让模型看见自身错误”与“目标函数是否正确”区分开来：仅改变前缀来源并不足够，还需要说明监督信号对应什么分布、梯度如何估计，以及训练状态与部署状态如何衔接。</w:t>
      </w:r>
    </w:p>
    <w:p>
      <w:r>
        <w:t>模仿学习中的DAgger为处理状态分布偏移提供了更明确的框架。其核心做法是让学习器按照当前策略访问状态，再由专家对这些状态给出动作，从而逐轮扩大学习器真正会遇到的状态覆盖范围[3]。ImitKD进一步把这一思路用于自回归知识蒸馏，将学生视为策略、教师视为oracle，在学生生成的前缀上查询教师监督[5]。这两项工作构成OPD的重要理论和方法前身：在线蒸馏的关键不只是拥有更强教师，而是把教师反馈放在学生真实到访的状态上。</w:t>
      </w:r>
    </w:p>
    <w:p>
      <w:pPr>
        <w:pStyle w:val="Heading1"/>
      </w:pPr>
      <w:r>
        <w:t>3 散度目标及其训练含义</w:t>
      </w:r>
    </w:p>
    <w:p>
      <w:pPr>
        <w:pStyle w:val="Heading2"/>
      </w:pPr>
      <w:r>
        <w:t>3.1 KL方向与覆盖倾向</w:t>
      </w:r>
    </w:p>
    <w:p>
      <w:r>
        <w:t>KL散度最早由Kullback和Leibler在信息论框架中提出[6]。在蒸馏中，Forward KL通常以教师分布加权，学生若漏掉教师认为具有概率质量的token会受到较大惩罚，因此常被解释为具有mode-covering倾向；Reverse KL以学生分布加权，更关注学生当前可能生成的区域，通常表现出更强的mode-seeking倾向。这里的“覆盖”与“集中”只是行为上的概括，实际结果还会受到模型容量、温度、采样分布、序列长度和词表支持集影响。</w:t>
      </w:r>
    </w:p>
    <w:p>
      <w:r>
        <w:t>Lin提出的Jensen–Shannon散度使用混合分布构造对称差异度量[7]。Wen等进一步把序列级蒸馏统一为f-divergence最小化问题，讨论KL、Reverse KL、JSD和总变差距离等目标的差异与近似方式[8]。这类工作的重要价值在于，它提醒研究者不要把“广义散度”当成一个模糊标签：每个实验都应明确公式、混合参数、概率支持集、估计方法和归一化规则，否则同名方法可能对应不同的实际训练目标。</w:t>
      </w:r>
    </w:p>
    <w:p>
      <w:pPr>
        <w:pStyle w:val="Heading2"/>
      </w:pPr>
      <w:r>
        <w:t>3.2 监督支持集与估计成本</w:t>
      </w:r>
    </w:p>
    <w:p>
      <w:r>
        <w:t>在大词表模型中，完整教师分布能够保留最多信息，但需要保存或传输每个有效位置上的全部logits，教师前向和分布损失都会带来明显开销。Top-K只保留教师高概率候选，可以降低存储与计算成本，但必须说明支持集来自教师、学生还是二者并集，以及截断后是否重新归一化、如何处理支持集外概率。K1 sampled-token进一步以单个采样token估计分布期望，成本更低，却会增加估计方差，并可能把极少数高权重样本放大。</w:t>
      </w:r>
    </w:p>
    <w:p>
      <w:r>
        <w:t>因此，监督粒度不是独立于散度方向的工程选项。Forward KL若在教师支持集上截断，可能削弱其覆盖低概率候选的作用；Reverse KL若只观察教师Top-K，也可能遗漏学生当前高概率但教师概率很低的错误区域；K1估计则需要明确proposal、重要性权重和方差控制。本项目把“散度方向”和“监督信息粒度”组成二维比较矩阵，并同步记录教师反馈量、峰值显存、训练时间和有效token吞吐，以判断性能变化是否值得其额外成本。</w:t>
      </w:r>
    </w:p>
    <w:p>
      <w:pPr>
        <w:pStyle w:val="Heading1"/>
      </w:pPr>
      <w:r>
        <w:t>4 在线策略蒸馏的代表性方法</w:t>
      </w:r>
    </w:p>
    <w:p>
      <w:pPr>
        <w:pStyle w:val="Heading2"/>
      </w:pPr>
      <w:r>
        <w:t>4.1 GKD、MiniLLM与DistiLLM</w:t>
      </w:r>
    </w:p>
    <w:p>
      <w:r>
        <w:t>GKD系统研究了学生自生成轨迹上的在线蒸馏，让学生产生训练状态，再由教师在这些状态上提供token级分布监督，并比较不同生成策略与散度设置[9]。它把“从学生自己的错误中学习”转化为可执行训练流程，是本项目最直接的基线之一。GKD也说明在线样本比例、学生采样温度和散度目标会共同影响结果，因此不能只报告一个算法名称而省略rollout协议。</w:t>
      </w:r>
    </w:p>
    <w:p>
      <w:r>
        <w:t>MiniLLM以Reverse KL为核心，强调从序列或策略层面对教师分布进行逼近[10]。Reverse KL使更新集中在学生当前轨迹与教师高概率区域相交的部分，可能减少学生对低质量模式的平均化，但也更容易强化少数模式。MiniLLM与GKD都属于在线蒸馏研究，却不能被写成同一种实现：前者更强调序列级策略优化及方差控制，后者更便于讨论学生轨迹上的token级散度。</w:t>
      </w:r>
    </w:p>
    <w:p>
      <w:r>
        <w:t>DistiLLM引入skew KL与自适应off-policy学生样本调度，在缓解训练—推理错配的同时，尝试减少持续在线生成和教师评分的成本[11]。DistiLLM-2又采用对比式目标联合建模教师数据与学生数据，使研究重点由单一on-policy比例扩展到不同数据来源和目标函数的耦合[12]。这两项工作提示，纯在线采样并非唯一可行路径；在有限预算下，学生轨迹复用、教师数据混合和对比信号可能形成更有效的折中。</w:t>
      </w:r>
    </w:p>
    <w:p>
      <w:pPr>
        <w:pStyle w:val="Heading2"/>
      </w:pPr>
      <w:r>
        <w:t>4.2 近期经验、失败模式与混合策略</w:t>
      </w:r>
    </w:p>
    <w:p>
      <w:r>
        <w:t>Thinking Machines Lab的技术文章把学生rollout、教师逐token评分和Reverse KL更新整理为较清晰的工程流程[13]，有助于理解OPD系统由哪些组件组成。2026年的若干预印本进一步从现象、机制、单样本分析和失败案例重新审视OPD[14–16]。这些研究集中指出：教师整体能力强并不保证每个学生状态上的反馈都易于吸收；师生的推理模式、回答模板、tokenizer、特殊token和提示分布会改变监督有效性；较短的验证曲线也可能掩盖训练后期的不稳定或能力退化。由于这些材料发布时间较近，其中部分结论仍应视为待进一步复核的研究证据，而不是已经形成共识的定论。</w:t>
      </w:r>
    </w:p>
    <w:p>
      <w:r>
        <w:t>Hybrid Policy Distillation尝试结合不同KL方向，以适应师生偏好不一致或不同训练阶段的需求[17]；近期综述则从状态来源、优化对象、反馈形式和稳定化手段归纳OPD方法[18]。这条研究线索说明，Forward KL与Reverse KL之间未必存在对所有样本都固定最优的选择。更合理的实验设计是先建立清楚的单一目标基线，再判断混合散度是否确实改善稳定性和任务结果，而不是一开始就叠加复杂机制。</w:t>
      </w:r>
    </w:p>
    <w:p>
      <w:pPr>
        <w:pStyle w:val="Heading1"/>
      </w:pPr>
      <w:r>
        <w:t>5 模型、参数高效训练与推理基础</w:t>
      </w:r>
    </w:p>
    <w:p>
      <w:r>
        <w:t>Qwen3技术报告提供了本项目学生与教师模型家族的架构和训练背景[21]。DeepSeek-V4与MiMo-V2-Flash技术报告反映了近期模型在长上下文、推理效率和开放部署方向的发展[22–23]，可用于说明后训练研究所处的模型生态，但本项目不会把这些模型报告中的能力数字直接迁移为Qwen3配置的预期结果。模型选型仍需服从可获得算力、tokenizer兼容性、工具调用模板和实验可重复性。</w:t>
      </w:r>
    </w:p>
    <w:p>
      <w:r>
        <w:t>LoRA用低秩增量表示权重更新，显著减少需要训练和保存的参数量[24]，适合在有限资源下运行多组受控实验。LoRA解决的是学生参数更新成本，并不能消除学生rollout、教师前向、完整词表logits和分布损失的开销。因此，本项目会把LoRA作为所有实验共享的更新接口，而把教师反馈量、学生生成量和损失计算量分别统计。</w:t>
      </w:r>
    </w:p>
    <w:p>
      <w:r>
        <w:t>vLLM通过PagedAttention改进大语言模型服务过程中的KV cache管理和批处理效率[25]，可支持最终模型的吞吐、首token延迟和完整响应延迟评测。训练效率和部署效率需要分开讨论：一种蒸馏方法可能训练成本较高，却带来更稳定的结构化输出；另一种方法可能降低教师反馈量，但最终任务成功率没有提升。只有将训练资源、模型质量与服务性能放入同一记录体系，才能形成有意义的资源—效果判断。</w:t>
      </w:r>
    </w:p>
    <w:p>
      <w:pPr>
        <w:pStyle w:val="Heading1"/>
      </w:pPr>
      <w:r>
        <w:t>6 对OPD在后训练体系中位置的理解</w:t>
      </w:r>
    </w:p>
    <w:p>
      <w:pPr>
        <w:pStyle w:val="Heading2"/>
      </w:pPr>
      <w:r>
        <w:t>6.1 OPD不是SFT的简单替代</w:t>
      </w:r>
    </w:p>
    <w:p>
      <w:r>
        <w:t>SFT、离线蒸馏与OPD都可以使用教师生成的信息，但三者改变模型的方式并不相同。SFT通常把目标回答当作硬标签，离线序列蒸馏把教师生成结果固定为新的训练语料，而OPD让学生持续暴露自己的当前策略，并在这些状态上获得教师分布反馈。SFT擅长建立基本指令格式和任务先验，离线蒸馏便于稳定、低成本地复用教师结果，OPD则更直接处理学生推理状态不断变化的问题。因而，较合理的训练流程往往是先用SFT或离线蒸馏建立起点，再用OPD针对学生真实错误进行校正，而不是把三者理解为互相排斥的方案。</w:t>
      </w:r>
    </w:p>
    <w:p>
      <w:r>
        <w:t>从优化对象看，SFT最大化参考答案在固定前缀下的似然，OPD则最小化教师与学生在学生状态分布上的差异。这里同时发生两层变化：一是用于计算损失的前缀会随学生参数更新，二是教师监督也会随着前缀改变。正因为状态分布不是固定数据集，OPD的结果会对rollout温度、采样频率、停止条件和学生初始能力更加敏感。若论文只给出最终损失函数，却没有说明轨迹如何产生，就不足以复现实验。</w:t>
      </w:r>
    </w:p>
    <w:p>
      <w:pPr>
        <w:pStyle w:val="Heading2"/>
      </w:pPr>
      <w:r>
        <w:t>6.2 OPD也不同于强化学习和偏好优化</w:t>
      </w:r>
    </w:p>
    <w:p>
      <w:r>
        <w:t>PPO和DPO代表了两类重要的后训练思路[19–20]。PPO根据奖励优化策略，并通过裁剪等机制限制更新幅度；DPO直接从偏好对中学习更受偏好的回答。它们的共同点是监督通常落在回答级奖励或成对偏好上，而OPD可以在每一个有效token位置得到教师概率或log-prob，因此反馈更密集。密集反馈有助于定位学生在哪一步开始偏离教师，但也带来更高的教师前向和分布传输成本。</w:t>
      </w:r>
    </w:p>
    <w:p>
      <w:r>
        <w:t>OPD与强化学习之间仍存在策略学习层面的联系：两者都可能使用当前学生生成的数据，都需要面对策略变化造成的数据分布移动，也都必须考虑采样和估计方差。然而，教师分布并不天然等同于真实任务奖励。学生即使很好地模仿教师，也可能继承教师的错误或偏见；反过来，学生与教师分布更接近，也不一定意味着端到端任务表现按同样幅度提高。因此，蒸馏损失应该被视为训练信号，而不能直接当作最终能力指标。</w:t>
      </w:r>
    </w:p>
    <w:p>
      <w:pPr>
        <w:pStyle w:val="Heading2"/>
      </w:pPr>
      <w:r>
        <w:t>6.3 OPD是一组相互耦合的设计选择</w:t>
      </w:r>
    </w:p>
    <w:p>
      <w:r>
        <w:t>综合已有研究，可以把OPD拆成五个相互耦合的部分：学生如何生成状态，教师在什么前缀上给出反馈，保留多少教师信息，采用什么散度或估计器，以及如何控制计算与数值稳定性。GKD、MiniLLM、DistiLLM及后续工作分别改变了其中不同部分[9–18]。因此，“是否采用OPD”只是第一层问题，更关键的是具体采用哪一种状态采样与监督协议。两项都叫OPD的实验，如果rollout比例、教师支持集或损失归一化不同，其优化过程可能差别很大。</w:t>
      </w:r>
    </w:p>
    <w:p>
      <w:r>
        <w:t>我对OPD的基本判断是：它最有价值的地方不是让教师输出更多答案，而是让教师观察学生真正会走到的位置；它最困难的地方也不是写出KL公式，而是保证师生在同一前缀、同一token边界和同一有效位置上比较，并控制不断变化的状态分布。实验设计需要优先保证定义和接口清楚，再讨论复杂的混合散度、数据回放或动态策略。</w:t>
      </w:r>
    </w:p>
    <w:p>
      <w:pPr>
        <w:pStyle w:val="Heading1"/>
      </w:pPr>
      <w:r>
        <w:t>7 应用任务与评测材料的作用</w:t>
      </w:r>
    </w:p>
    <w:p>
      <w:r>
        <w:t>项目维护的ReAct、Gorilla、API-Bank、ToolLLM、APIGen、ToolACE、BFCL和AgentBench等文献[26–33]主要用于选择可自动验证的应用任务和分层评测方法，而不是本综述的理论主线。它们说明工具使用可以从格式、函数选择、参数和执行结果等层面检查，适合观察token级蒸馏是否转化为实际行为。GSM8K与MATH则提供数学推理和验证器研究的补充来源[34–35]，后续可用于检查方法是否具有跨任务趋势。现阶段这些材料只承担实验载体和评测依据的角色，OPD机制、散度选择与监督成本仍是本课题的核心。</w:t>
      </w:r>
    </w:p>
    <w:p>
      <w:pPr>
        <w:pStyle w:val="Heading1"/>
      </w:pPr>
      <w:r>
        <w:t>8 现有研究的主要不足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vAlign w:val="center"/>
            <w:shd w:fill="D9EAF7"/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eastAsia="Heiti SC"/>
                <w:b/>
                <w:sz w:val="19"/>
              </w:rPr>
              <w:t>问题</w:t>
            </w:r>
          </w:p>
        </w:tc>
        <w:tc>
          <w:tcPr>
            <w:tcW w:type="dxa" w:w="3097"/>
            <w:vAlign w:val="center"/>
            <w:shd w:fill="D9EAF7"/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eastAsia="Heiti SC"/>
                <w:b/>
                <w:sz w:val="19"/>
              </w:rPr>
              <w:t>现有研究中的表现</w:t>
            </w:r>
          </w:p>
        </w:tc>
        <w:tc>
          <w:tcPr>
            <w:tcW w:type="dxa" w:w="3097"/>
            <w:vAlign w:val="center"/>
            <w:shd w:fill="D9EAF7"/>
          </w:tcPr>
          <w:p>
            <w:pPr>
              <w:spacing w:line="276" w:lineRule="auto"/>
              <w:ind w:firstLine="0"/>
              <w:jc w:val="center"/>
            </w:pPr>
            <w:r/>
            <w:r>
              <w:rPr>
                <w:rFonts w:eastAsia="Heiti SC"/>
                <w:b/>
                <w:sz w:val="19"/>
              </w:rPr>
              <w:t>对本项目的要求</w:t>
            </w:r>
          </w:p>
        </w:tc>
      </w:tr>
      <w:tr>
        <w:tc>
          <w:tcPr>
            <w:tcW w:type="dxa" w:w="309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eastAsia="Songti SC"/>
                <w:b w:val="0"/>
                <w:sz w:val="19"/>
              </w:rPr>
              <w:t>变量耦合</w:t>
            </w:r>
          </w:p>
        </w:tc>
        <w:tc>
          <w:tcPr>
            <w:tcW w:type="dxa" w:w="309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eastAsia="Songti SC"/>
                <w:b w:val="0"/>
                <w:sz w:val="19"/>
              </w:rPr>
              <w:t>状态采样、散度、支持集和数据混合常同时变化，难以判断收益来源。</w:t>
            </w:r>
          </w:p>
        </w:tc>
        <w:tc>
          <w:tcPr>
            <w:tcW w:type="dxa" w:w="309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eastAsia="Songti SC"/>
                <w:b w:val="0"/>
                <w:sz w:val="19"/>
              </w:rPr>
              <w:t>采用二维主矩阵并固定模型、数据、预算和生成协议。</w:t>
            </w:r>
          </w:p>
        </w:tc>
      </w:tr>
      <w:tr>
        <w:tc>
          <w:tcPr>
            <w:tcW w:type="dxa" w:w="309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eastAsia="Songti SC"/>
                <w:b w:val="0"/>
                <w:sz w:val="19"/>
              </w:rPr>
              <w:t>成本报告不完整</w:t>
            </w:r>
          </w:p>
        </w:tc>
        <w:tc>
          <w:tcPr>
            <w:tcW w:type="dxa" w:w="309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eastAsia="Songti SC"/>
                <w:b w:val="0"/>
                <w:sz w:val="19"/>
              </w:rPr>
              <w:t>部分工作重点报告任务指标，教师调用与rollout开销口径不统一。</w:t>
            </w:r>
          </w:p>
        </w:tc>
        <w:tc>
          <w:tcPr>
            <w:tcW w:type="dxa" w:w="309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eastAsia="Songti SC"/>
                <w:b w:val="0"/>
                <w:sz w:val="19"/>
              </w:rPr>
              <w:t>分别记录教师前向、学生生成、损失计算、显存与墙钟时间。</w:t>
            </w:r>
          </w:p>
        </w:tc>
      </w:tr>
      <w:tr>
        <w:tc>
          <w:tcPr>
            <w:tcW w:type="dxa" w:w="309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eastAsia="Songti SC"/>
                <w:b w:val="0"/>
                <w:sz w:val="19"/>
              </w:rPr>
              <w:t>兼容性不足</w:t>
            </w:r>
          </w:p>
        </w:tc>
        <w:tc>
          <w:tcPr>
            <w:tcW w:type="dxa" w:w="309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eastAsia="Songti SC"/>
                <w:b w:val="0"/>
                <w:sz w:val="19"/>
              </w:rPr>
              <w:t>师生模板、tokenizer、推理习惯和特殊token差异可能被忽略。</w:t>
            </w:r>
          </w:p>
        </w:tc>
        <w:tc>
          <w:tcPr>
            <w:tcW w:type="dxa" w:w="309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eastAsia="Songti SC"/>
                <w:b w:val="0"/>
                <w:sz w:val="19"/>
              </w:rPr>
              <w:t>训练前执行模板回环、token对齐和小批量损失测试。</w:t>
            </w:r>
          </w:p>
        </w:tc>
      </w:tr>
      <w:tr>
        <w:tc>
          <w:tcPr>
            <w:tcW w:type="dxa" w:w="309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eastAsia="Songti SC"/>
                <w:b w:val="0"/>
                <w:sz w:val="19"/>
              </w:rPr>
              <w:t>任务解释不足</w:t>
            </w:r>
          </w:p>
        </w:tc>
        <w:tc>
          <w:tcPr>
            <w:tcW w:type="dxa" w:w="309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eastAsia="Songti SC"/>
                <w:b w:val="0"/>
                <w:sz w:val="19"/>
              </w:rPr>
              <w:t>通用生成指标难以定位错误发生在内容、格式还是执行阶段。</w:t>
            </w:r>
          </w:p>
        </w:tc>
        <w:tc>
          <w:tcPr>
            <w:tcW w:type="dxa" w:w="309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eastAsia="Songti SC"/>
                <w:b w:val="0"/>
                <w:sz w:val="19"/>
              </w:rPr>
              <w:t>使用Function Calling分层指标和可执行验证。</w:t>
            </w:r>
          </w:p>
        </w:tc>
      </w:tr>
      <w:tr>
        <w:tc>
          <w:tcPr>
            <w:tcW w:type="dxa" w:w="309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eastAsia="Songti SC"/>
                <w:b w:val="0"/>
                <w:sz w:val="19"/>
              </w:rPr>
              <w:t>复现信息不足</w:t>
            </w:r>
          </w:p>
        </w:tc>
        <w:tc>
          <w:tcPr>
            <w:tcW w:type="dxa" w:w="309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eastAsia="Songti SC"/>
                <w:b w:val="0"/>
                <w:sz w:val="19"/>
              </w:rPr>
              <w:t>在线采样和估计器对随机种子、温度、版本和停止规则敏感。</w:t>
            </w:r>
          </w:p>
        </w:tc>
        <w:tc>
          <w:tcPr>
            <w:tcW w:type="dxa" w:w="309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eastAsia="Songti SC"/>
                <w:b w:val="0"/>
                <w:sz w:val="19"/>
              </w:rPr>
              <w:t>保存配置、提交号、数据版本、模型版本和原始轨迹。</w:t>
            </w:r>
          </w:p>
        </w:tc>
      </w:tr>
      <w:tr>
        <w:tc>
          <w:tcPr>
            <w:tcW w:type="dxa" w:w="309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eastAsia="Songti SC"/>
                <w:b w:val="0"/>
                <w:sz w:val="19"/>
              </w:rPr>
              <w:t>近期结论尚不稳定</w:t>
            </w:r>
          </w:p>
        </w:tc>
        <w:tc>
          <w:tcPr>
            <w:tcW w:type="dxa" w:w="309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eastAsia="Songti SC"/>
                <w:b w:val="0"/>
                <w:sz w:val="19"/>
              </w:rPr>
              <w:t>2026年OPD预印本提出多种新现象，但独立复核仍有限。</w:t>
            </w:r>
          </w:p>
        </w:tc>
        <w:tc>
          <w:tcPr>
            <w:tcW w:type="dxa" w:w="3097"/>
            <w:vAlign w:val="center"/>
          </w:tcPr>
          <w:p>
            <w:pPr>
              <w:spacing w:line="276" w:lineRule="auto"/>
              <w:ind w:firstLine="0"/>
              <w:jc w:val="left"/>
            </w:pPr>
            <w:r/>
            <w:r>
              <w:rPr>
                <w:rFonts w:eastAsia="Songti SC"/>
                <w:b w:val="0"/>
                <w:sz w:val="19"/>
              </w:rPr>
              <w:t>将其作为假设来源，以受控实验验证，不预写结论。</w:t>
            </w:r>
          </w:p>
        </w:tc>
      </w:tr>
    </w:tbl>
    <w:p>
      <w:r>
        <w:t>综合上述文献，当前研究最大的空缺不是缺少新的算法名称，而是缺少在统一条件下对状态来源、散度方向、监督粒度和教师成本的联合比较。很多论文在不同模型、数据和预算上报告结果，横向数字并不天然可比；近期失败模式研究又表明，教师能力、学生容量和提示分布之间存在明显交互。因而，本科毕业设计更有价值的方向是建立定义清楚、记录完整、能够解释差异来源的实验体系，而不是在尚未稳定的训练链路上堆叠过多技巧。</w:t>
      </w:r>
    </w:p>
    <w:p>
      <w:pPr>
        <w:pStyle w:val="Heading1"/>
      </w:pPr>
      <w:r>
        <w:t>9 本项目的研究定位与拟解决问题</w:t>
      </w:r>
    </w:p>
    <w:p>
      <w:r>
        <w:t>基于现有工作，本项目把OPD定义为：学生按照当前策略在给定Function Calling输入上生成轨迹，教师在学生已经访问的前缀上提供分布或局部token反馈，学生使用明确规定的散度和估计器更新LoRA参数。该定义同时约束状态来源、教师观察对象和优化信号，能够与离线SFT、教师序列蒸馏、偏好优化和强化学习区分开。</w:t>
      </w:r>
    </w:p>
    <w:p>
      <w:r>
        <w:t>项目拟重点回答四个问题。第一，在相同学生、教师、数据和预算下，Forward KL、Reverse KL与代表性广义散度对函数选择、参数生成和训练稳定性的影响有何不同；第二，全词表、Top-K和K1 sampled-token在任务收益与教师反馈成本之间如何权衡；第三，师生在tokenizer、消息模板和工具调用格式上的兼容性如何影响蒸馏结果；第四，token级散度改善是否能够稳定转化为结构化调用和端到端任务成功率。</w:t>
      </w:r>
    </w:p>
    <w:p>
      <w:r>
        <w:t>实验上以Qwen3-0.6B为学生、Qwen3-4B为冻结教师，学生采用LoRA更新。所有主比较固定数据划分、训练步数、生成条件、LoRA配置和评测脚本；全词表、Top-K和K1分别记录支持集、重归一化、proposal和梯度估计规则。评测同时报告任务指标、训练稳定性、分布统计与资源消耗，并用可执行或模拟工具验证调用结果。任何尚未运行的组合均标为“待实验验证”，不提前填写性能结论。</w:t>
      </w:r>
    </w:p>
    <w:p>
      <w:pPr>
        <w:pStyle w:val="Heading1"/>
      </w:pPr>
      <w:r>
        <w:t>10 初步结论</w:t>
      </w:r>
    </w:p>
    <w:p>
      <w:r>
        <w:t>现有文献已经形成一条相对清楚的研究链：经典知识蒸馏说明教师软分布能够传递比硬标签更丰富的信息；序列级蒸馏把监督从单个位置扩展到完整生成；DAgger和ImitKD揭示学生自身状态覆盖的重要性；GKD、MiniLLM和DistiLLM等工作进一步把在线采样、散度选择与效率问题引入大语言模型蒸馏；近期研究则开始系统讨论教师兼容性、失败模式和混合策略。与此同时，Function Calling数据和评测从静态API生成走向可执行、多工具和Agent式任务，为分析蒸馏效果提供了更清楚的行为指标。</w:t>
      </w:r>
    </w:p>
    <w:p>
      <w:r>
        <w:t>对本项目而言，合理的工作重点是建立受控且可复现的比较，而不是预设某一种散度或监督粒度必然最好。Forward KL、Reverse KL、广义散度、全词表、Top-K和K1各自包含明确的统计与工程取舍，其效果需要放在相同状态分布和资源预算下检验。只要训练定义、数据审计、评测分层和资源记录保持一致，本项目就能够对“在线蒸馏为什么有效、在什么条件下失效、付出了多少教师成本”给出可信的回答。</w:t>
      </w:r>
    </w:p>
    <w:p>
      <w:pPr>
        <w:pStyle w:val="Heading1"/>
      </w:pPr>
      <w:r>
        <w:t>参考文献</w:t>
      </w:r>
    </w:p>
    <w:p>
      <w:pPr>
        <w:spacing w:line="276" w:lineRule="auto" w:after="40"/>
        <w:ind w:hanging="420" w:left="420"/>
      </w:pPr>
      <w:r>
        <w:rPr>
          <w:sz w:val="19"/>
        </w:rPr>
        <w:t>[1] Hinton G, Vinyals O, Dean J. Distilling the Knowledge in a Neural Network[EB/OL]. arXiv:1503.02531, 2015.</w:t>
      </w:r>
    </w:p>
    <w:p>
      <w:pPr>
        <w:spacing w:line="276" w:lineRule="auto" w:after="40"/>
        <w:ind w:hanging="420" w:left="420"/>
      </w:pPr>
      <w:r>
        <w:rPr>
          <w:sz w:val="19"/>
        </w:rPr>
        <w:t>[2] Kim Y, Rush A M. Sequence-Level Knowledge Distillation[C]//Proceedings of EMNLP. ACL, 2016: 1317–1327.</w:t>
      </w:r>
    </w:p>
    <w:p>
      <w:pPr>
        <w:spacing w:line="276" w:lineRule="auto" w:after="40"/>
        <w:ind w:hanging="420" w:left="420"/>
      </w:pPr>
      <w:r>
        <w:rPr>
          <w:sz w:val="19"/>
        </w:rPr>
        <w:t>[3] Ross S, Gordon G J, Bagnell J A. A Reduction of Imitation Learning and Structured Prediction to No-Regret Online Learning[C]//AISTATS. PMLR, 2011, 15: 627–635.</w:t>
      </w:r>
    </w:p>
    <w:p>
      <w:pPr>
        <w:spacing w:line="276" w:lineRule="auto" w:after="40"/>
        <w:ind w:hanging="420" w:left="420"/>
      </w:pPr>
      <w:r>
        <w:rPr>
          <w:sz w:val="19"/>
        </w:rPr>
        <w:t>[4] Huszár F. How (not) to Train your Generative Model: Scheduled Sampling, Likelihood, Adversary?[EB/OL]. arXiv:1511.05101, 2015.</w:t>
      </w:r>
    </w:p>
    <w:p>
      <w:pPr>
        <w:spacing w:line="276" w:lineRule="auto" w:after="40"/>
        <w:ind w:hanging="420" w:left="420"/>
      </w:pPr>
      <w:r>
        <w:rPr>
          <w:sz w:val="19"/>
        </w:rPr>
        <w:t>[5] Lin A, Wohlwend J, Chen H, et al. Autoregressive Knowledge Distillation through Imitation Learning[C]//EMNLP. ACL, 2020: 6121–6133.</w:t>
      </w:r>
    </w:p>
    <w:p>
      <w:pPr>
        <w:spacing w:line="276" w:lineRule="auto" w:after="40"/>
        <w:ind w:hanging="420" w:left="420"/>
      </w:pPr>
      <w:r>
        <w:rPr>
          <w:sz w:val="19"/>
        </w:rPr>
        <w:t>[6] Kullback S, Leibler R A. On Information and Sufficiency[J]. The Annals of Mathematical Statistics, 1951, 22(1): 79–86.</w:t>
      </w:r>
    </w:p>
    <w:p>
      <w:pPr>
        <w:spacing w:line="276" w:lineRule="auto" w:after="40"/>
        <w:ind w:hanging="420" w:left="420"/>
      </w:pPr>
      <w:r>
        <w:rPr>
          <w:sz w:val="19"/>
        </w:rPr>
        <w:t>[7] Lin J. Divergence Measures Based on the Shannon Entropy[J]. IEEE Transactions on Information Theory, 1991, 37(1): 145–151.</w:t>
      </w:r>
    </w:p>
    <w:p>
      <w:pPr>
        <w:spacing w:line="276" w:lineRule="auto" w:after="40"/>
        <w:ind w:hanging="420" w:left="420"/>
      </w:pPr>
      <w:r>
        <w:rPr>
          <w:sz w:val="19"/>
        </w:rPr>
        <w:t>[8] Wen Y, Li Z, Du W, et al. f-Divergence Minimization for Sequence-Level Knowledge Distillation[C]//ACL. 2023: 10817–10834.</w:t>
      </w:r>
    </w:p>
    <w:p>
      <w:pPr>
        <w:spacing w:line="276" w:lineRule="auto" w:after="40"/>
        <w:ind w:hanging="420" w:left="420"/>
      </w:pPr>
      <w:r>
        <w:rPr>
          <w:sz w:val="19"/>
        </w:rPr>
        <w:t>[9] Agarwal R, Vieillard N, Zhou Y, et al. On-Policy Distillation of Language Models: Learning from Self-Generated Mistakes[C]//ICLR. 2024.</w:t>
      </w:r>
    </w:p>
    <w:p>
      <w:pPr>
        <w:spacing w:line="276" w:lineRule="auto" w:after="40"/>
        <w:ind w:hanging="420" w:left="420"/>
      </w:pPr>
      <w:r>
        <w:rPr>
          <w:sz w:val="19"/>
        </w:rPr>
        <w:t>[10] Gu Y, Dong L, Wei F, et al. MiniLLM: Knowledge Distillation of Large Language Models[C]//ICLR. 2024.</w:t>
      </w:r>
    </w:p>
    <w:p>
      <w:pPr>
        <w:spacing w:line="276" w:lineRule="auto" w:after="40"/>
        <w:ind w:hanging="420" w:left="420"/>
      </w:pPr>
      <w:r>
        <w:rPr>
          <w:sz w:val="19"/>
        </w:rPr>
        <w:t>[11] Ko J, Kim S, Chen T, et al. DistiLLM: Towards Streamlined Distillation for Large Language Models[C]//ICML. PMLR, 2024, 235: 24872–24895.</w:t>
      </w:r>
    </w:p>
    <w:p>
      <w:pPr>
        <w:spacing w:line="276" w:lineRule="auto" w:after="40"/>
        <w:ind w:hanging="420" w:left="420"/>
      </w:pPr>
      <w:r>
        <w:rPr>
          <w:sz w:val="19"/>
        </w:rPr>
        <w:t>[12] Ko J, Chen T, Kim S, et al. DistiLLM-2: A Contrastive Approach Boosts the Distillation of LLMs[C]//ICML. PMLR, 2025, 267: 31044–31062.</w:t>
      </w:r>
    </w:p>
    <w:p>
      <w:pPr>
        <w:spacing w:line="276" w:lineRule="auto" w:after="40"/>
        <w:ind w:hanging="420" w:left="420"/>
      </w:pPr>
      <w:r>
        <w:rPr>
          <w:sz w:val="19"/>
        </w:rPr>
        <w:t>[13] Lu K, Thinking Machines Lab. On-Policy Distillation[EB/OL]. Thinking Machines Lab: Connectionism, 2025.</w:t>
      </w:r>
    </w:p>
    <w:p>
      <w:pPr>
        <w:spacing w:line="276" w:lineRule="auto" w:after="40"/>
        <w:ind w:hanging="420" w:left="420"/>
      </w:pPr>
      <w:r>
        <w:rPr>
          <w:sz w:val="19"/>
        </w:rPr>
        <w:t>[14] Li Y, Zuo Y, He B, et al. Rethinking On-Policy Distillation of Large Language Models: Phenomenology, Mechanism, and Recipe[EB/OL]. arXiv:2604.13016, 2026.</w:t>
      </w:r>
    </w:p>
    <w:p>
      <w:pPr>
        <w:spacing w:line="276" w:lineRule="auto" w:after="40"/>
        <w:ind w:hanging="420" w:left="420"/>
      </w:pPr>
      <w:r>
        <w:rPr>
          <w:sz w:val="19"/>
        </w:rPr>
        <w:t>[15] Fu Z, He B, Zuo Y, et al. Rethinking On-Policy Distillation of Large Language Models II: One Training Example[EB/OL]. arXiv:2609.04172, 2026.</w:t>
      </w:r>
    </w:p>
    <w:p>
      <w:pPr>
        <w:spacing w:line="276" w:lineRule="auto" w:after="40"/>
        <w:ind w:hanging="420" w:left="420"/>
      </w:pPr>
      <w:r>
        <w:rPr>
          <w:sz w:val="19"/>
        </w:rPr>
        <w:t>[16] Fu Y, Huang H, Jiang K, et al. Revisiting On-Policy Distillation: Empirical Failure Modes and Simple Fixes[EB/OL]. arXiv:2603.25562, 2026.</w:t>
      </w:r>
    </w:p>
    <w:p>
      <w:pPr>
        <w:spacing w:line="276" w:lineRule="auto" w:after="40"/>
        <w:ind w:hanging="420" w:left="420"/>
      </w:pPr>
      <w:r>
        <w:rPr>
          <w:sz w:val="19"/>
        </w:rPr>
        <w:t>[17] Zhu W, Xie R, Wang R, et al. Hybrid Policy Distillation for LLMs[EB/OL]. arXiv:2604.20244, 2026.</w:t>
      </w:r>
    </w:p>
    <w:p>
      <w:pPr>
        <w:spacing w:line="276" w:lineRule="auto" w:after="40"/>
        <w:ind w:hanging="420" w:left="420"/>
      </w:pPr>
      <w:r>
        <w:rPr>
          <w:sz w:val="19"/>
        </w:rPr>
        <w:t>[18] Song M, Zheng M. A Survey of On-Policy Distillation for Large Language Models[EB/OL]. arXiv:2604.00626, 2026.</w:t>
      </w:r>
    </w:p>
    <w:p>
      <w:pPr>
        <w:spacing w:line="276" w:lineRule="auto" w:after="40"/>
        <w:ind w:hanging="420" w:left="420"/>
      </w:pPr>
      <w:r>
        <w:rPr>
          <w:sz w:val="19"/>
        </w:rPr>
        <w:t>[19] Schulman J, Wolski F, Dhariwal P, et al. Proximal Policy Optimization Algorithms[EB/OL]. arXiv:1707.06347, 2017.</w:t>
      </w:r>
    </w:p>
    <w:p>
      <w:pPr>
        <w:spacing w:line="276" w:lineRule="auto" w:after="40"/>
        <w:ind w:hanging="420" w:left="420"/>
      </w:pPr>
      <w:r>
        <w:rPr>
          <w:sz w:val="19"/>
        </w:rPr>
        <w:t>[20] Rafailov R, Sharma A, Mitchell E, et al. Direct Preference Optimization: Your Language Model is Secretly a Reward Model[C]//NeurIPS. 2023, 36.</w:t>
      </w:r>
    </w:p>
    <w:p>
      <w:pPr>
        <w:spacing w:line="276" w:lineRule="auto" w:after="40"/>
        <w:ind w:hanging="420" w:left="420"/>
      </w:pPr>
      <w:r>
        <w:rPr>
          <w:sz w:val="19"/>
        </w:rPr>
        <w:t>[21] Qwen Team. Qwen3 Technical Report[EB/OL]. arXiv:2505.09388, 2025.</w:t>
      </w:r>
    </w:p>
    <w:p>
      <w:pPr>
        <w:spacing w:line="276" w:lineRule="auto" w:after="40"/>
        <w:ind w:hanging="420" w:left="420"/>
      </w:pPr>
      <w:r>
        <w:rPr>
          <w:sz w:val="19"/>
        </w:rPr>
        <w:t>[22] DeepSeek-AI. DeepSeek-V4: Towards Highly Efficient Million-Token Context Intelligence[EB/OL]. arXiv:2606.19348, 2026.</w:t>
      </w:r>
    </w:p>
    <w:p>
      <w:pPr>
        <w:spacing w:line="276" w:lineRule="auto" w:after="40"/>
        <w:ind w:hanging="420" w:left="420"/>
      </w:pPr>
      <w:r>
        <w:rPr>
          <w:sz w:val="19"/>
        </w:rPr>
        <w:t>[23] Xiaomi LLM-Core Team. MiMo-V2-Flash Technical Report[EB/OL]. arXiv:2601.02780, 2026.</w:t>
      </w:r>
    </w:p>
    <w:p>
      <w:pPr>
        <w:spacing w:line="276" w:lineRule="auto" w:after="40"/>
        <w:ind w:hanging="420" w:left="420"/>
      </w:pPr>
      <w:r>
        <w:rPr>
          <w:sz w:val="19"/>
        </w:rPr>
        <w:t>[24] Hu E J, Shen Y, Wallis P, et al. LoRA: Low-Rank Adaptation of Large Language Models[C]//ICLR. 2022.</w:t>
      </w:r>
    </w:p>
    <w:p>
      <w:pPr>
        <w:spacing w:line="276" w:lineRule="auto" w:after="40"/>
        <w:ind w:hanging="420" w:left="420"/>
      </w:pPr>
      <w:r>
        <w:rPr>
          <w:sz w:val="19"/>
        </w:rPr>
        <w:t>[25] Kwon W, Li Z, Zhuang S, et al. Efficient Memory Management for Large Language Model Serving with PagedAttention[C]//SOSP. ACM, 2023: 611–626.</w:t>
      </w:r>
    </w:p>
    <w:p>
      <w:pPr>
        <w:spacing w:line="276" w:lineRule="auto" w:after="40"/>
        <w:ind w:hanging="420" w:left="420"/>
      </w:pPr>
      <w:r>
        <w:rPr>
          <w:sz w:val="19"/>
        </w:rPr>
        <w:t>[26] Yao S, Zhao J, Yu D, et al. ReAct: Synergizing Reasoning and Acting in Language Models[C]//ICLR. 2023.</w:t>
      </w:r>
    </w:p>
    <w:p>
      <w:pPr>
        <w:spacing w:line="276" w:lineRule="auto" w:after="40"/>
        <w:ind w:hanging="420" w:left="420"/>
      </w:pPr>
      <w:r>
        <w:rPr>
          <w:sz w:val="19"/>
        </w:rPr>
        <w:t>[27] Patil S G, Zhang T, Wang X, et al. Gorilla: Large Language Model Connected with Massive APIs[EB/OL]. arXiv:2305.15334, 2023.</w:t>
      </w:r>
    </w:p>
    <w:p>
      <w:pPr>
        <w:spacing w:line="276" w:lineRule="auto" w:after="40"/>
        <w:ind w:hanging="420" w:left="420"/>
      </w:pPr>
      <w:r>
        <w:rPr>
          <w:sz w:val="19"/>
        </w:rPr>
        <w:t>[28] Li M, Zhao Y, Yu B, et al. API-Bank: A Comprehensive Benchmark for Tool-Augmented LLMs[C]//EMNLP. ACL, 2023: 3102–3116.</w:t>
      </w:r>
    </w:p>
    <w:p>
      <w:pPr>
        <w:spacing w:line="276" w:lineRule="auto" w:after="40"/>
        <w:ind w:hanging="420" w:left="420"/>
      </w:pPr>
      <w:r>
        <w:rPr>
          <w:sz w:val="19"/>
        </w:rPr>
        <w:t>[29] Qin Y, Liang S, Ye Y, et al. ToolLLM: Facilitating Large Language Models to Master 16000+ Real-world APIs[EB/OL]. arXiv:2307.16789, 2023.</w:t>
      </w:r>
    </w:p>
    <w:p>
      <w:pPr>
        <w:spacing w:line="276" w:lineRule="auto" w:after="40"/>
        <w:ind w:hanging="420" w:left="420"/>
      </w:pPr>
      <w:r>
        <w:rPr>
          <w:sz w:val="19"/>
        </w:rPr>
        <w:t>[30] Liu Z, Hoang T, Zhang J, et al. APIGen: Automated Pipeline for Generating Verifiable and Diverse Function-Calling Datasets[C]//NeurIPS. 2024.</w:t>
      </w:r>
    </w:p>
    <w:p>
      <w:pPr>
        <w:spacing w:line="276" w:lineRule="auto" w:after="40"/>
        <w:ind w:hanging="420" w:left="420"/>
      </w:pPr>
      <w:r>
        <w:rPr>
          <w:sz w:val="19"/>
        </w:rPr>
        <w:t>[31] Liu W, Huang X, Zeng X, et al. ToolACE: Winning the Points of LLM Function Calling[C]//ICLR. 2025.</w:t>
      </w:r>
    </w:p>
    <w:p>
      <w:pPr>
        <w:spacing w:line="276" w:lineRule="auto" w:after="40"/>
        <w:ind w:hanging="420" w:left="420"/>
      </w:pPr>
      <w:r>
        <w:rPr>
          <w:sz w:val="19"/>
        </w:rPr>
        <w:t>[32] Patil S G, Mao H, Yan F, et al. The Berkeley Function Calling Leaderboard (BFCL): From Tool Use to Agentic Evaluation of Large Language Models[C]//ICML. PMLR, 2025, 267: 48371–48392.</w:t>
      </w:r>
    </w:p>
    <w:p>
      <w:pPr>
        <w:spacing w:line="276" w:lineRule="auto" w:after="40"/>
        <w:ind w:hanging="420" w:left="420"/>
      </w:pPr>
      <w:r>
        <w:rPr>
          <w:sz w:val="19"/>
        </w:rPr>
        <w:t>[33] Liu X, Yu H, Zhang H, et al. AgentBench: Evaluating LLMs as Agents[C]//ICLR. 2024.</w:t>
      </w:r>
    </w:p>
    <w:p>
      <w:pPr>
        <w:spacing w:line="276" w:lineRule="auto" w:after="40"/>
        <w:ind w:hanging="420" w:left="420"/>
      </w:pPr>
      <w:r>
        <w:rPr>
          <w:sz w:val="19"/>
        </w:rPr>
        <w:t>[34] Cobbe K, Kosaraju V, Bavarian M, et al. Training Verifiers to Solve Math Word Problems[EB/OL]. arXiv:2110.14168, 2021.</w:t>
      </w:r>
    </w:p>
    <w:p>
      <w:pPr>
        <w:spacing w:line="276" w:lineRule="auto" w:after="40"/>
        <w:ind w:hanging="420" w:left="420"/>
      </w:pPr>
      <w:r>
        <w:rPr>
          <w:sz w:val="19"/>
        </w:rPr>
        <w:t>[35] Hendrycks D, Burns C, Kadavath S, et al. Measuring Mathematical Problem Solving With the MATH Dataset[C]//NeurIPS Datasets and Benchmarks. 2021, 1.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center"/>
    </w:pPr>
    <w:r>
      <w:rPr>
        <w:rFonts w:eastAsia="Songti SC"/>
        <w:color w:val="646464"/>
        <w:sz w:val="18"/>
      </w:rPr>
      <w:t>在线策略蒸馏项目前置文献综述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/>
      <w:ind w:firstLine="420"/>
    </w:pPr>
    <w:rPr>
      <w:rFonts w:ascii="Times New Roman" w:hAnsi="Times New Roman" w:eastAsia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ind w:firstLine="0"/>
      <w:outlineLvl w:val="0"/>
    </w:pPr>
    <w:rPr>
      <w:rFonts w:asciiTheme="majorHAnsi" w:eastAsiaTheme="majorEastAsia" w:hAnsiTheme="majorHAnsi" w:cstheme="majorBidi" w:ascii="Times New Roman" w:hAnsi="Times New Roman" w:eastAsia="Heiti SC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ind w:firstLine="0"/>
      <w:outlineLvl w:val="1"/>
    </w:pPr>
    <w:rPr>
      <w:rFonts w:asciiTheme="majorHAnsi" w:eastAsiaTheme="majorEastAsia" w:hAnsiTheme="majorHAnsi" w:cstheme="majorBidi" w:ascii="Times New Roman" w:hAnsi="Times New Roman" w:eastAsia="Heiti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ind w:firstLine="0"/>
      <w:contextualSpacing/>
    </w:pPr>
    <w:rPr>
      <w:rFonts w:asciiTheme="majorHAnsi" w:eastAsiaTheme="majorEastAsia" w:hAnsiTheme="majorHAnsi" w:cstheme="majorBidi" w:ascii="Times New Roman" w:hAnsi="Times New Roman" w:eastAsia="Heiti SC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