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75C38" w14:textId="4789A4D4" w:rsidR="00500674" w:rsidRDefault="00802C14" w:rsidP="00CF08BB">
      <w:r>
        <w:t>Fitting a Model Using Provided Variables</w:t>
      </w:r>
    </w:p>
    <w:p w14:paraId="7D5533C0" w14:textId="2D1C0AB7" w:rsidR="00C8682A" w:rsidRDefault="00802C14" w:rsidP="00CF08BB">
      <w:r>
        <w:t>We use all the variable provided in the data except id and data in our analysis to find a linear model that have the best fit. We choose AIC backwards selection method by using step function. After we get the lowest</w:t>
      </w:r>
      <w:r w:rsidR="00EE7CAC">
        <w:t xml:space="preserve"> AIC </w:t>
      </w:r>
      <w:proofErr w:type="gramStart"/>
      <w:r w:rsidR="00EE7CAC">
        <w:t>scores</w:t>
      </w:r>
      <w:r w:rsidR="00297F40">
        <w:t>(</w:t>
      </w:r>
      <w:proofErr w:type="gramEnd"/>
      <w:r w:rsidR="00297F40">
        <w:t>3359.82)</w:t>
      </w:r>
      <w:r>
        <w:t>, we get the model with following variables</w:t>
      </w:r>
      <w:r w:rsidR="00DE74A2">
        <w:t xml:space="preserve"> </w:t>
      </w:r>
      <w:r>
        <w:t xml:space="preserve">(table 1). </w:t>
      </w:r>
    </w:p>
    <w:tbl>
      <w:tblPr>
        <w:tblW w:w="9287" w:type="dxa"/>
        <w:tblInd w:w="-113" w:type="dxa"/>
        <w:tblLook w:val="04A0" w:firstRow="1" w:lastRow="0" w:firstColumn="1" w:lastColumn="0" w:noHBand="0" w:noVBand="1"/>
      </w:tblPr>
      <w:tblGrid>
        <w:gridCol w:w="1281"/>
        <w:gridCol w:w="1234"/>
        <w:gridCol w:w="1080"/>
        <w:gridCol w:w="1170"/>
        <w:gridCol w:w="1135"/>
        <w:gridCol w:w="1007"/>
        <w:gridCol w:w="1080"/>
        <w:gridCol w:w="1300"/>
      </w:tblGrid>
      <w:tr w:rsidR="00A108AE" w:rsidRPr="00A108AE" w14:paraId="754ADD61" w14:textId="77777777" w:rsidTr="00A108AE">
        <w:trPr>
          <w:trHeight w:val="320"/>
        </w:trPr>
        <w:tc>
          <w:tcPr>
            <w:tcW w:w="1281" w:type="dxa"/>
            <w:tcBorders>
              <w:top w:val="single" w:sz="4" w:space="0" w:color="8EA9DB"/>
              <w:left w:val="single" w:sz="4" w:space="0" w:color="8EA9DB"/>
              <w:bottom w:val="single" w:sz="4" w:space="0" w:color="8EA9DB"/>
              <w:right w:val="nil"/>
            </w:tcBorders>
            <w:shd w:val="clear" w:color="4472C4" w:fill="4472C4"/>
            <w:noWrap/>
            <w:vAlign w:val="bottom"/>
            <w:hideMark/>
          </w:tcPr>
          <w:p w14:paraId="4EF20F23" w14:textId="77777777" w:rsidR="00A108AE" w:rsidRPr="00A108AE" w:rsidRDefault="00A108AE" w:rsidP="00A108AE">
            <w:pPr>
              <w:jc w:val="center"/>
              <w:rPr>
                <w:rFonts w:ascii="Calibri" w:eastAsia="Times New Roman" w:hAnsi="Calibri" w:cs="Calibri"/>
                <w:b/>
                <w:bCs/>
                <w:color w:val="FFFFFF"/>
              </w:rPr>
            </w:pPr>
            <w:r w:rsidRPr="00A108AE">
              <w:rPr>
                <w:rFonts w:ascii="Calibri" w:eastAsia="Times New Roman" w:hAnsi="Calibri" w:cs="Calibri"/>
                <w:b/>
                <w:bCs/>
                <w:color w:val="FFFFFF"/>
              </w:rPr>
              <w:t>(Intercept)</w:t>
            </w:r>
          </w:p>
        </w:tc>
        <w:tc>
          <w:tcPr>
            <w:tcW w:w="1234" w:type="dxa"/>
            <w:tcBorders>
              <w:top w:val="single" w:sz="4" w:space="0" w:color="8EA9DB"/>
              <w:left w:val="nil"/>
              <w:bottom w:val="single" w:sz="4" w:space="0" w:color="8EA9DB"/>
              <w:right w:val="nil"/>
            </w:tcBorders>
            <w:shd w:val="clear" w:color="4472C4" w:fill="4472C4"/>
            <w:noWrap/>
            <w:vAlign w:val="bottom"/>
            <w:hideMark/>
          </w:tcPr>
          <w:p w14:paraId="373B8184" w14:textId="77777777" w:rsidR="00A108AE" w:rsidRPr="00A108AE" w:rsidRDefault="00A108AE" w:rsidP="00A108AE">
            <w:pPr>
              <w:jc w:val="center"/>
              <w:rPr>
                <w:rFonts w:ascii="Calibri" w:eastAsia="Times New Roman" w:hAnsi="Calibri" w:cs="Calibri"/>
                <w:b/>
                <w:bCs/>
                <w:color w:val="FFFFFF"/>
              </w:rPr>
            </w:pPr>
            <w:r w:rsidRPr="00A108AE">
              <w:rPr>
                <w:rFonts w:ascii="Calibri" w:eastAsia="Times New Roman" w:hAnsi="Calibri" w:cs="Calibri"/>
                <w:b/>
                <w:bCs/>
                <w:color w:val="FFFFFF"/>
              </w:rPr>
              <w:t>gestation</w:t>
            </w:r>
          </w:p>
        </w:tc>
        <w:tc>
          <w:tcPr>
            <w:tcW w:w="1080" w:type="dxa"/>
            <w:tcBorders>
              <w:top w:val="single" w:sz="4" w:space="0" w:color="8EA9DB"/>
              <w:left w:val="nil"/>
              <w:bottom w:val="single" w:sz="4" w:space="0" w:color="8EA9DB"/>
              <w:right w:val="nil"/>
            </w:tcBorders>
            <w:shd w:val="clear" w:color="4472C4" w:fill="4472C4"/>
            <w:noWrap/>
            <w:vAlign w:val="bottom"/>
            <w:hideMark/>
          </w:tcPr>
          <w:p w14:paraId="00E46997" w14:textId="77777777" w:rsidR="00A108AE" w:rsidRPr="00A108AE" w:rsidRDefault="00A108AE" w:rsidP="00A108AE">
            <w:pPr>
              <w:jc w:val="center"/>
              <w:rPr>
                <w:rFonts w:ascii="Calibri" w:eastAsia="Times New Roman" w:hAnsi="Calibri" w:cs="Calibri"/>
                <w:b/>
                <w:bCs/>
                <w:color w:val="FFFFFF"/>
              </w:rPr>
            </w:pPr>
            <w:r w:rsidRPr="00A108AE">
              <w:rPr>
                <w:rFonts w:ascii="Calibri" w:eastAsia="Times New Roman" w:hAnsi="Calibri" w:cs="Calibri"/>
                <w:b/>
                <w:bCs/>
                <w:color w:val="FFFFFF"/>
              </w:rPr>
              <w:t>parity</w:t>
            </w:r>
          </w:p>
        </w:tc>
        <w:tc>
          <w:tcPr>
            <w:tcW w:w="1170" w:type="dxa"/>
            <w:tcBorders>
              <w:top w:val="single" w:sz="4" w:space="0" w:color="8EA9DB"/>
              <w:left w:val="nil"/>
              <w:bottom w:val="single" w:sz="4" w:space="0" w:color="8EA9DB"/>
              <w:right w:val="nil"/>
            </w:tcBorders>
            <w:shd w:val="clear" w:color="4472C4" w:fill="4472C4"/>
            <w:noWrap/>
            <w:vAlign w:val="bottom"/>
            <w:hideMark/>
          </w:tcPr>
          <w:p w14:paraId="55B38804" w14:textId="77777777" w:rsidR="00A108AE" w:rsidRPr="00A108AE" w:rsidRDefault="00A108AE" w:rsidP="00A108AE">
            <w:pPr>
              <w:jc w:val="center"/>
              <w:rPr>
                <w:rFonts w:ascii="Calibri" w:eastAsia="Times New Roman" w:hAnsi="Calibri" w:cs="Calibri"/>
                <w:b/>
                <w:bCs/>
                <w:color w:val="FFFFFF"/>
              </w:rPr>
            </w:pPr>
            <w:proofErr w:type="spellStart"/>
            <w:r w:rsidRPr="00A108AE">
              <w:rPr>
                <w:rFonts w:ascii="Calibri" w:eastAsia="Times New Roman" w:hAnsi="Calibri" w:cs="Calibri"/>
                <w:b/>
                <w:bCs/>
                <w:color w:val="FFFFFF"/>
              </w:rPr>
              <w:t>ht</w:t>
            </w:r>
            <w:proofErr w:type="spellEnd"/>
          </w:p>
        </w:tc>
        <w:tc>
          <w:tcPr>
            <w:tcW w:w="1135" w:type="dxa"/>
            <w:tcBorders>
              <w:top w:val="single" w:sz="4" w:space="0" w:color="8EA9DB"/>
              <w:left w:val="nil"/>
              <w:bottom w:val="single" w:sz="4" w:space="0" w:color="8EA9DB"/>
              <w:right w:val="nil"/>
            </w:tcBorders>
            <w:shd w:val="clear" w:color="4472C4" w:fill="4472C4"/>
            <w:noWrap/>
            <w:vAlign w:val="bottom"/>
            <w:hideMark/>
          </w:tcPr>
          <w:p w14:paraId="6375EA34" w14:textId="77777777" w:rsidR="00A108AE" w:rsidRPr="00A108AE" w:rsidRDefault="00A108AE" w:rsidP="00A108AE">
            <w:pPr>
              <w:jc w:val="center"/>
              <w:rPr>
                <w:rFonts w:ascii="Calibri" w:eastAsia="Times New Roman" w:hAnsi="Calibri" w:cs="Calibri"/>
                <w:b/>
                <w:bCs/>
                <w:color w:val="FFFFFF"/>
              </w:rPr>
            </w:pPr>
            <w:proofErr w:type="spellStart"/>
            <w:r w:rsidRPr="00A108AE">
              <w:rPr>
                <w:rFonts w:ascii="Calibri" w:eastAsia="Times New Roman" w:hAnsi="Calibri" w:cs="Calibri"/>
                <w:b/>
                <w:bCs/>
                <w:color w:val="FFFFFF"/>
              </w:rPr>
              <w:t>drace</w:t>
            </w:r>
            <w:proofErr w:type="spellEnd"/>
          </w:p>
        </w:tc>
        <w:tc>
          <w:tcPr>
            <w:tcW w:w="1007" w:type="dxa"/>
            <w:tcBorders>
              <w:top w:val="single" w:sz="4" w:space="0" w:color="8EA9DB"/>
              <w:left w:val="nil"/>
              <w:bottom w:val="single" w:sz="4" w:space="0" w:color="8EA9DB"/>
              <w:right w:val="nil"/>
            </w:tcBorders>
            <w:shd w:val="clear" w:color="4472C4" w:fill="4472C4"/>
            <w:noWrap/>
            <w:vAlign w:val="bottom"/>
            <w:hideMark/>
          </w:tcPr>
          <w:p w14:paraId="3DA6AFA6" w14:textId="77777777" w:rsidR="00A108AE" w:rsidRPr="00A108AE" w:rsidRDefault="00A108AE" w:rsidP="00A108AE">
            <w:pPr>
              <w:jc w:val="center"/>
              <w:rPr>
                <w:rFonts w:ascii="Calibri" w:eastAsia="Times New Roman" w:hAnsi="Calibri" w:cs="Calibri"/>
                <w:b/>
                <w:bCs/>
                <w:color w:val="FFFFFF"/>
              </w:rPr>
            </w:pPr>
            <w:r w:rsidRPr="00A108AE">
              <w:rPr>
                <w:rFonts w:ascii="Calibri" w:eastAsia="Times New Roman" w:hAnsi="Calibri" w:cs="Calibri"/>
                <w:b/>
                <w:bCs/>
                <w:color w:val="FFFFFF"/>
              </w:rPr>
              <w:t>dwt</w:t>
            </w:r>
          </w:p>
        </w:tc>
        <w:tc>
          <w:tcPr>
            <w:tcW w:w="1080" w:type="dxa"/>
            <w:tcBorders>
              <w:top w:val="single" w:sz="4" w:space="0" w:color="8EA9DB"/>
              <w:left w:val="nil"/>
              <w:bottom w:val="single" w:sz="4" w:space="0" w:color="8EA9DB"/>
              <w:right w:val="nil"/>
            </w:tcBorders>
            <w:shd w:val="clear" w:color="4472C4" w:fill="4472C4"/>
            <w:noWrap/>
            <w:vAlign w:val="bottom"/>
            <w:hideMark/>
          </w:tcPr>
          <w:p w14:paraId="3EAD3637" w14:textId="77777777" w:rsidR="00A108AE" w:rsidRPr="00A108AE" w:rsidRDefault="00A108AE" w:rsidP="00A108AE">
            <w:pPr>
              <w:jc w:val="center"/>
              <w:rPr>
                <w:rFonts w:ascii="Calibri" w:eastAsia="Times New Roman" w:hAnsi="Calibri" w:cs="Calibri"/>
                <w:b/>
                <w:bCs/>
                <w:color w:val="FFFFFF"/>
              </w:rPr>
            </w:pPr>
            <w:r w:rsidRPr="00A108AE">
              <w:rPr>
                <w:rFonts w:ascii="Calibri" w:eastAsia="Times New Roman" w:hAnsi="Calibri" w:cs="Calibri"/>
                <w:b/>
                <w:bCs/>
                <w:color w:val="FFFFFF"/>
              </w:rPr>
              <w:t>smoke</w:t>
            </w:r>
          </w:p>
        </w:tc>
        <w:tc>
          <w:tcPr>
            <w:tcW w:w="1300" w:type="dxa"/>
            <w:tcBorders>
              <w:top w:val="single" w:sz="4" w:space="0" w:color="8EA9DB"/>
              <w:left w:val="nil"/>
              <w:bottom w:val="single" w:sz="4" w:space="0" w:color="8EA9DB"/>
              <w:right w:val="single" w:sz="4" w:space="0" w:color="8EA9DB"/>
            </w:tcBorders>
            <w:shd w:val="clear" w:color="4472C4" w:fill="4472C4"/>
            <w:noWrap/>
            <w:vAlign w:val="bottom"/>
            <w:hideMark/>
          </w:tcPr>
          <w:p w14:paraId="1605BDB1" w14:textId="77777777" w:rsidR="00A108AE" w:rsidRPr="00A108AE" w:rsidRDefault="00A108AE" w:rsidP="00A108AE">
            <w:pPr>
              <w:jc w:val="center"/>
              <w:rPr>
                <w:rFonts w:ascii="Calibri" w:eastAsia="Times New Roman" w:hAnsi="Calibri" w:cs="Calibri"/>
                <w:b/>
                <w:bCs/>
                <w:color w:val="FFFFFF"/>
              </w:rPr>
            </w:pPr>
            <w:r w:rsidRPr="00A108AE">
              <w:rPr>
                <w:rFonts w:ascii="Calibri" w:eastAsia="Times New Roman" w:hAnsi="Calibri" w:cs="Calibri"/>
                <w:b/>
                <w:bCs/>
                <w:color w:val="FFFFFF"/>
              </w:rPr>
              <w:t>number</w:t>
            </w:r>
          </w:p>
        </w:tc>
      </w:tr>
      <w:tr w:rsidR="00A108AE" w:rsidRPr="00A108AE" w14:paraId="1410E6D5" w14:textId="77777777" w:rsidTr="00A108AE">
        <w:trPr>
          <w:trHeight w:val="320"/>
        </w:trPr>
        <w:tc>
          <w:tcPr>
            <w:tcW w:w="1281" w:type="dxa"/>
            <w:tcBorders>
              <w:top w:val="single" w:sz="4" w:space="0" w:color="8EA9DB"/>
              <w:left w:val="single" w:sz="4" w:space="0" w:color="8EA9DB"/>
              <w:bottom w:val="single" w:sz="4" w:space="0" w:color="8EA9DB"/>
              <w:right w:val="nil"/>
            </w:tcBorders>
            <w:shd w:val="clear" w:color="D9E1F2" w:fill="D9E1F2"/>
            <w:noWrap/>
            <w:vAlign w:val="bottom"/>
            <w:hideMark/>
          </w:tcPr>
          <w:p w14:paraId="541BC746" w14:textId="77777777" w:rsidR="00A108AE" w:rsidRPr="00A108AE" w:rsidRDefault="00A108AE" w:rsidP="00A108AE">
            <w:pPr>
              <w:jc w:val="center"/>
              <w:rPr>
                <w:rFonts w:ascii="Calibri" w:eastAsia="Times New Roman" w:hAnsi="Calibri" w:cs="Calibri"/>
                <w:color w:val="000000"/>
              </w:rPr>
            </w:pPr>
            <w:r w:rsidRPr="00A108AE">
              <w:rPr>
                <w:rFonts w:ascii="Calibri" w:eastAsia="Times New Roman" w:hAnsi="Calibri" w:cs="Calibri"/>
                <w:color w:val="000000"/>
              </w:rPr>
              <w:t>-98.99311</w:t>
            </w:r>
          </w:p>
        </w:tc>
        <w:tc>
          <w:tcPr>
            <w:tcW w:w="1234" w:type="dxa"/>
            <w:tcBorders>
              <w:top w:val="single" w:sz="4" w:space="0" w:color="8EA9DB"/>
              <w:left w:val="nil"/>
              <w:bottom w:val="single" w:sz="4" w:space="0" w:color="8EA9DB"/>
              <w:right w:val="nil"/>
            </w:tcBorders>
            <w:shd w:val="clear" w:color="D9E1F2" w:fill="D9E1F2"/>
            <w:noWrap/>
            <w:vAlign w:val="bottom"/>
            <w:hideMark/>
          </w:tcPr>
          <w:p w14:paraId="48B8BE24" w14:textId="77777777" w:rsidR="00A108AE" w:rsidRPr="00A108AE" w:rsidRDefault="00A108AE" w:rsidP="00A108AE">
            <w:pPr>
              <w:jc w:val="center"/>
              <w:rPr>
                <w:rFonts w:ascii="Calibri" w:eastAsia="Times New Roman" w:hAnsi="Calibri" w:cs="Calibri"/>
                <w:color w:val="000000"/>
              </w:rPr>
            </w:pPr>
            <w:r w:rsidRPr="00A108AE">
              <w:rPr>
                <w:rFonts w:ascii="Calibri" w:eastAsia="Times New Roman" w:hAnsi="Calibri" w:cs="Calibri"/>
                <w:color w:val="000000"/>
              </w:rPr>
              <w:t>0.454</w:t>
            </w:r>
          </w:p>
        </w:tc>
        <w:tc>
          <w:tcPr>
            <w:tcW w:w="1080" w:type="dxa"/>
            <w:tcBorders>
              <w:top w:val="single" w:sz="4" w:space="0" w:color="8EA9DB"/>
              <w:left w:val="nil"/>
              <w:bottom w:val="single" w:sz="4" w:space="0" w:color="8EA9DB"/>
              <w:right w:val="nil"/>
            </w:tcBorders>
            <w:shd w:val="clear" w:color="D9E1F2" w:fill="D9E1F2"/>
            <w:noWrap/>
            <w:vAlign w:val="bottom"/>
            <w:hideMark/>
          </w:tcPr>
          <w:p w14:paraId="726352A0" w14:textId="77777777" w:rsidR="00A108AE" w:rsidRPr="00A108AE" w:rsidRDefault="00A108AE" w:rsidP="00A108AE">
            <w:pPr>
              <w:jc w:val="center"/>
              <w:rPr>
                <w:rFonts w:ascii="Calibri" w:eastAsia="Times New Roman" w:hAnsi="Calibri" w:cs="Calibri"/>
                <w:color w:val="000000"/>
              </w:rPr>
            </w:pPr>
            <w:r w:rsidRPr="00A108AE">
              <w:rPr>
                <w:rFonts w:ascii="Calibri" w:eastAsia="Times New Roman" w:hAnsi="Calibri" w:cs="Calibri"/>
                <w:color w:val="000000"/>
              </w:rPr>
              <w:t>0.74966</w:t>
            </w:r>
          </w:p>
        </w:tc>
        <w:tc>
          <w:tcPr>
            <w:tcW w:w="1170" w:type="dxa"/>
            <w:tcBorders>
              <w:top w:val="single" w:sz="4" w:space="0" w:color="8EA9DB"/>
              <w:left w:val="nil"/>
              <w:bottom w:val="single" w:sz="4" w:space="0" w:color="8EA9DB"/>
              <w:right w:val="nil"/>
            </w:tcBorders>
            <w:shd w:val="clear" w:color="D9E1F2" w:fill="D9E1F2"/>
            <w:noWrap/>
            <w:vAlign w:val="bottom"/>
            <w:hideMark/>
          </w:tcPr>
          <w:p w14:paraId="6765C560" w14:textId="77777777" w:rsidR="00A108AE" w:rsidRPr="00A108AE" w:rsidRDefault="00A108AE" w:rsidP="00A108AE">
            <w:pPr>
              <w:jc w:val="center"/>
              <w:rPr>
                <w:rFonts w:ascii="Calibri" w:eastAsia="Times New Roman" w:hAnsi="Calibri" w:cs="Calibri"/>
                <w:color w:val="000000"/>
              </w:rPr>
            </w:pPr>
            <w:r w:rsidRPr="00A108AE">
              <w:rPr>
                <w:rFonts w:ascii="Calibri" w:eastAsia="Times New Roman" w:hAnsi="Calibri" w:cs="Calibri"/>
                <w:color w:val="000000"/>
              </w:rPr>
              <w:t>1.26968</w:t>
            </w:r>
          </w:p>
        </w:tc>
        <w:tc>
          <w:tcPr>
            <w:tcW w:w="1135" w:type="dxa"/>
            <w:tcBorders>
              <w:top w:val="single" w:sz="4" w:space="0" w:color="8EA9DB"/>
              <w:left w:val="nil"/>
              <w:bottom w:val="single" w:sz="4" w:space="0" w:color="8EA9DB"/>
              <w:right w:val="nil"/>
            </w:tcBorders>
            <w:shd w:val="clear" w:color="D9E1F2" w:fill="D9E1F2"/>
            <w:noWrap/>
            <w:vAlign w:val="bottom"/>
            <w:hideMark/>
          </w:tcPr>
          <w:p w14:paraId="4651DA74" w14:textId="77777777" w:rsidR="00A108AE" w:rsidRPr="00A108AE" w:rsidRDefault="00A108AE" w:rsidP="00A108AE">
            <w:pPr>
              <w:jc w:val="center"/>
              <w:rPr>
                <w:rFonts w:ascii="Calibri" w:eastAsia="Times New Roman" w:hAnsi="Calibri" w:cs="Calibri"/>
                <w:color w:val="000000"/>
              </w:rPr>
            </w:pPr>
            <w:r w:rsidRPr="00A108AE">
              <w:rPr>
                <w:rFonts w:ascii="Calibri" w:eastAsia="Times New Roman" w:hAnsi="Calibri" w:cs="Calibri"/>
                <w:color w:val="000000"/>
              </w:rPr>
              <w:t>-0.56526</w:t>
            </w:r>
          </w:p>
        </w:tc>
        <w:tc>
          <w:tcPr>
            <w:tcW w:w="1007" w:type="dxa"/>
            <w:tcBorders>
              <w:top w:val="single" w:sz="4" w:space="0" w:color="8EA9DB"/>
              <w:left w:val="nil"/>
              <w:bottom w:val="single" w:sz="4" w:space="0" w:color="8EA9DB"/>
              <w:right w:val="nil"/>
            </w:tcBorders>
            <w:shd w:val="clear" w:color="D9E1F2" w:fill="D9E1F2"/>
            <w:noWrap/>
            <w:vAlign w:val="bottom"/>
            <w:hideMark/>
          </w:tcPr>
          <w:p w14:paraId="4D36612B" w14:textId="77777777" w:rsidR="00A108AE" w:rsidRPr="00A108AE" w:rsidRDefault="00A108AE" w:rsidP="00A108AE">
            <w:pPr>
              <w:jc w:val="center"/>
              <w:rPr>
                <w:rFonts w:ascii="Calibri" w:eastAsia="Times New Roman" w:hAnsi="Calibri" w:cs="Calibri"/>
                <w:color w:val="000000"/>
              </w:rPr>
            </w:pPr>
            <w:r w:rsidRPr="00A108AE">
              <w:rPr>
                <w:rFonts w:ascii="Calibri" w:eastAsia="Times New Roman" w:hAnsi="Calibri" w:cs="Calibri"/>
                <w:color w:val="000000"/>
              </w:rPr>
              <w:t>0.07689</w:t>
            </w:r>
          </w:p>
        </w:tc>
        <w:tc>
          <w:tcPr>
            <w:tcW w:w="1080" w:type="dxa"/>
            <w:tcBorders>
              <w:top w:val="single" w:sz="4" w:space="0" w:color="8EA9DB"/>
              <w:left w:val="nil"/>
              <w:bottom w:val="single" w:sz="4" w:space="0" w:color="8EA9DB"/>
              <w:right w:val="nil"/>
            </w:tcBorders>
            <w:shd w:val="clear" w:color="D9E1F2" w:fill="D9E1F2"/>
            <w:noWrap/>
            <w:vAlign w:val="bottom"/>
            <w:hideMark/>
          </w:tcPr>
          <w:p w14:paraId="3A3A7DF9" w14:textId="77777777" w:rsidR="00A108AE" w:rsidRPr="00A108AE" w:rsidRDefault="00A108AE" w:rsidP="00A108AE">
            <w:pPr>
              <w:jc w:val="center"/>
              <w:rPr>
                <w:rFonts w:ascii="Calibri" w:eastAsia="Times New Roman" w:hAnsi="Calibri" w:cs="Calibri"/>
                <w:color w:val="000000"/>
              </w:rPr>
            </w:pPr>
            <w:r w:rsidRPr="00A108AE">
              <w:rPr>
                <w:rFonts w:ascii="Calibri" w:eastAsia="Times New Roman" w:hAnsi="Calibri" w:cs="Calibri"/>
                <w:color w:val="000000"/>
              </w:rPr>
              <w:t>2.15663</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70FF7AA4" w14:textId="77777777" w:rsidR="00A108AE" w:rsidRPr="00A108AE" w:rsidRDefault="00A108AE" w:rsidP="00A108AE">
            <w:pPr>
              <w:jc w:val="center"/>
              <w:rPr>
                <w:rFonts w:ascii="Calibri" w:eastAsia="Times New Roman" w:hAnsi="Calibri" w:cs="Calibri"/>
                <w:color w:val="000000"/>
              </w:rPr>
            </w:pPr>
            <w:r w:rsidRPr="00A108AE">
              <w:rPr>
                <w:rFonts w:ascii="Calibri" w:eastAsia="Times New Roman" w:hAnsi="Calibri" w:cs="Calibri"/>
                <w:color w:val="000000"/>
              </w:rPr>
              <w:t>-2.16762</w:t>
            </w:r>
          </w:p>
        </w:tc>
      </w:tr>
    </w:tbl>
    <w:p w14:paraId="581F3202" w14:textId="77777777" w:rsidR="00C8682A" w:rsidRDefault="00C8682A" w:rsidP="00CF08BB"/>
    <w:p w14:paraId="4E776CE9" w14:textId="61AA34B1" w:rsidR="00BF58B1" w:rsidRDefault="00DE74A2" w:rsidP="00CF08BB">
      <w:r>
        <w:t xml:space="preserve">We also use </w:t>
      </w:r>
      <w:proofErr w:type="spellStart"/>
      <w:r>
        <w:t>Anova</w:t>
      </w:r>
      <w:proofErr w:type="spellEnd"/>
      <w:r>
        <w:t xml:space="preserve"> function to </w:t>
      </w:r>
      <w:r>
        <w:rPr>
          <w:rFonts w:hint="eastAsia"/>
        </w:rPr>
        <w:t>check</w:t>
      </w:r>
      <w:r>
        <w:t xml:space="preserve"> whether the variable have contribute</w:t>
      </w:r>
      <w:r w:rsidR="00BB7F0B">
        <w:rPr>
          <w:rFonts w:hint="eastAsia"/>
        </w:rPr>
        <w:t>d</w:t>
      </w:r>
      <w:r>
        <w:t xml:space="preserve"> to the predictive ability of the model, all the p value is less than 0.05, which means all the variables that we selection contribute to the model’s predictive ability.  </w:t>
      </w:r>
      <w:r w:rsidR="00EE7CAC">
        <w:t xml:space="preserve">We trace down the extreme residuals in the model. </w:t>
      </w:r>
      <w:r>
        <w:t>Then we want to check the assumption</w:t>
      </w:r>
      <w:r w:rsidR="00CD0102">
        <w:t>s</w:t>
      </w:r>
      <w:r>
        <w:t xml:space="preserve"> about the model. For normality, we use Shapiro Wilk normality test which null hypothesis is the population is normally distributed which our p value is 0.09, we fail to reject the hypothesis. From QQ plot of residuals of the model below and Shapiro Wilk normality test, we could conclude that the model fit normality. For </w:t>
      </w:r>
      <w:r w:rsidR="00BB7F0B">
        <w:t>linearity, we have plot</w:t>
      </w:r>
      <w:r w:rsidR="009D55EC">
        <w:t>ted</w:t>
      </w:r>
      <w:r w:rsidR="00BB7F0B">
        <w:t xml:space="preserve"> a </w:t>
      </w:r>
      <w:r w:rsidR="009D55EC">
        <w:t>residual</w:t>
      </w:r>
      <w:r w:rsidR="00BB7F0B">
        <w:t xml:space="preserve"> against fitted values graph, even though our graph is not perfect, it is a well-behaved graph that show the linearity of the model.</w:t>
      </w:r>
      <w:r w:rsidR="009D55EC">
        <w:t xml:space="preserve"> For heteroskedasticity, we use </w:t>
      </w:r>
      <w:proofErr w:type="spellStart"/>
      <w:r w:rsidR="009D55EC">
        <w:t>Breusche</w:t>
      </w:r>
      <w:proofErr w:type="spellEnd"/>
      <w:r w:rsidR="009D55EC">
        <w:t>-Pagan test (</w:t>
      </w:r>
      <w:proofErr w:type="spellStart"/>
      <w:r w:rsidR="009D55EC">
        <w:t>ncvTest</w:t>
      </w:r>
      <w:proofErr w:type="spellEnd"/>
      <w:r w:rsidR="009D55EC">
        <w:t>) which null hypothesis is constant error variance, p value is 0.05</w:t>
      </w:r>
      <w:r w:rsidR="00CD0102">
        <w:t xml:space="preserve"> which reject the null hypothesis. So heteroskedasticity do exist and we could also see from the graph of residual against fitted data. For autocorrelation, we use Durbin Watson statistic which null hypothesis is linear regression residuals are uncorrelated, p value is 0.54 which means that we fail to reject the null hypothesis. </w:t>
      </w:r>
      <w:r w:rsidR="002F0F36">
        <w:t>For collinearity, we use</w:t>
      </w:r>
      <w:r w:rsidR="00EE7CAC">
        <w:t xml:space="preserve"> variance inflation factors to find collinearity in our model. Since all of our variance inflation factor is less than 10, we don’t need to worry about collinearity in our model. </w:t>
      </w:r>
      <w:r w:rsidR="008642A8">
        <w:t xml:space="preserve">(The name of the model is </w:t>
      </w:r>
      <w:proofErr w:type="spellStart"/>
      <w:r w:rsidR="008642A8">
        <w:t>dataModel</w:t>
      </w:r>
      <w:proofErr w:type="spellEnd"/>
      <w:r w:rsidR="008642A8">
        <w:t xml:space="preserve"> in r file, you could find all the r file in appendix </w:t>
      </w:r>
      <w:proofErr w:type="spellStart"/>
      <w:r w:rsidR="008642A8">
        <w:t>modelselection-</w:t>
      </w:r>
      <w:proofErr w:type="gramStart"/>
      <w:r w:rsidR="008642A8">
        <w:t>Su.r</w:t>
      </w:r>
      <w:proofErr w:type="spellEnd"/>
      <w:proofErr w:type="gramEnd"/>
      <w:r w:rsidR="008642A8">
        <w:t>)</w:t>
      </w:r>
    </w:p>
    <w:p w14:paraId="43C834F2" w14:textId="72A4025A" w:rsidR="00A745A9" w:rsidRDefault="00A745A9" w:rsidP="00CF08BB"/>
    <w:p w14:paraId="18FB19C1" w14:textId="1F4F57B7" w:rsidR="00A745A9" w:rsidRDefault="00216C78" w:rsidP="00CF08BB">
      <w:r>
        <w:t>Fitting a First Order Interaction Model</w:t>
      </w:r>
    </w:p>
    <w:p w14:paraId="034A7411" w14:textId="77777777" w:rsidR="003730CF" w:rsidRPr="003730CF" w:rsidRDefault="00216C78" w:rsidP="003730CF">
      <w:pPr>
        <w:rPr>
          <w:lang w:val="en-GB"/>
        </w:rPr>
      </w:pPr>
      <w:r>
        <w:rPr>
          <w:rFonts w:hint="eastAsia"/>
        </w:rPr>
        <w:t>In</w:t>
      </w:r>
      <w:r>
        <w:t xml:space="preserve"> this model. We only looked at first order interactions between two variables. There is a possible that second order interaction between three or more variables maybe useful to analysis. We</w:t>
      </w:r>
      <w:r w:rsidR="00D34121">
        <w:t xml:space="preserve"> use all the variables and first order interaction between every two variables in the data except id and date, so we have roughly 200 to 300 variables to start with. </w:t>
      </w:r>
      <w:r w:rsidR="00D34121">
        <w:rPr>
          <w:lang w:val="en-GB"/>
        </w:rPr>
        <w:t xml:space="preserve">Then we will proceed, </w:t>
      </w:r>
      <w:r w:rsidR="00CB09D2">
        <w:rPr>
          <w:lang w:val="en-GB"/>
        </w:rPr>
        <w:t>choose AIC backwards</w:t>
      </w:r>
      <w:r w:rsidR="00D34121" w:rsidRPr="00077F36">
        <w:rPr>
          <w:lang w:val="en-GB"/>
        </w:rPr>
        <w:t xml:space="preserve"> selection approaches</w:t>
      </w:r>
      <w:r w:rsidR="00CB09D2">
        <w:rPr>
          <w:lang w:val="en-GB"/>
        </w:rPr>
        <w:t xml:space="preserve"> using step function.</w:t>
      </w:r>
      <w:r w:rsidR="00D34121">
        <w:t xml:space="preserve"> </w:t>
      </w:r>
      <w:r w:rsidR="003730CF">
        <w:t xml:space="preserve">After this stage, we eliminate </w:t>
      </w:r>
      <w:r w:rsidR="003730CF">
        <w:rPr>
          <w:lang w:val="en-GB"/>
        </w:rPr>
        <w:t xml:space="preserve">eliminated a high number of variables, being now reduced to some 50 – 60 variables. Then </w:t>
      </w:r>
      <w:r w:rsidR="003730CF" w:rsidRPr="003730CF">
        <w:rPr>
          <w:lang w:val="en-GB"/>
        </w:rPr>
        <w:t>we examine the collinearity of the first order Model. It is observed that there are a considerable number of variable which GVIF number is larger than 10, which prompt us to the following step.</w:t>
      </w:r>
    </w:p>
    <w:p w14:paraId="5A536EAA" w14:textId="7BA99987" w:rsidR="003730CF" w:rsidRPr="003730CF" w:rsidRDefault="003730CF" w:rsidP="003730CF">
      <w:pPr>
        <w:rPr>
          <w:lang w:val="en-GB"/>
        </w:rPr>
      </w:pPr>
      <w:r>
        <w:rPr>
          <w:lang w:val="en-GB"/>
        </w:rPr>
        <w:t>1. W</w:t>
      </w:r>
      <w:r w:rsidRPr="003730CF">
        <w:rPr>
          <w:lang w:val="en-GB"/>
        </w:rPr>
        <w:t>e find the maximum number of GVIF; if it is larger than 10 then we remove it;</w:t>
      </w:r>
    </w:p>
    <w:p w14:paraId="41E4DB8D" w14:textId="5513D688" w:rsidR="00216C78" w:rsidRDefault="003730CF" w:rsidP="003730CF">
      <w:pPr>
        <w:rPr>
          <w:lang w:val="en-GB"/>
        </w:rPr>
      </w:pPr>
      <w:r>
        <w:rPr>
          <w:lang w:val="en-GB"/>
        </w:rPr>
        <w:t xml:space="preserve">2. </w:t>
      </w:r>
      <w:r w:rsidRPr="003730CF">
        <w:rPr>
          <w:lang w:val="en-GB"/>
        </w:rPr>
        <w:t xml:space="preserve">Repeat </w:t>
      </w:r>
      <w:r>
        <w:rPr>
          <w:lang w:val="en-GB"/>
        </w:rPr>
        <w:t xml:space="preserve">checking collinearity using </w:t>
      </w:r>
      <w:proofErr w:type="spellStart"/>
      <w:r w:rsidRPr="003730CF">
        <w:rPr>
          <w:lang w:val="en-GB"/>
        </w:rPr>
        <w:t>vif</w:t>
      </w:r>
      <w:proofErr w:type="spellEnd"/>
      <w:r w:rsidRPr="003730CF">
        <w:rPr>
          <w:lang w:val="en-GB"/>
        </w:rPr>
        <w:t xml:space="preserve"> function get the maximum - repeat the step 1;</w:t>
      </w:r>
    </w:p>
    <w:p w14:paraId="69F3A850" w14:textId="41378AD5" w:rsidR="00A108AE" w:rsidRDefault="003730CF" w:rsidP="003730CF">
      <w:pPr>
        <w:rPr>
          <w:lang w:val="en-GB"/>
        </w:rPr>
      </w:pPr>
      <w:r>
        <w:rPr>
          <w:lang w:val="en-GB"/>
        </w:rPr>
        <w:t xml:space="preserve">After we remove all the collinearity that </w:t>
      </w:r>
      <w:r w:rsidR="00815627">
        <w:rPr>
          <w:lang w:val="en-GB"/>
        </w:rPr>
        <w:t xml:space="preserve">variance inflation number </w:t>
      </w:r>
      <w:r>
        <w:rPr>
          <w:lang w:val="en-GB"/>
        </w:rPr>
        <w:t xml:space="preserve">is larger than 10, we use </w:t>
      </w:r>
      <w:r w:rsidR="00815627">
        <w:rPr>
          <w:lang w:val="en-GB"/>
        </w:rPr>
        <w:t xml:space="preserve">AIC </w:t>
      </w:r>
      <w:r>
        <w:rPr>
          <w:lang w:val="en-GB"/>
        </w:rPr>
        <w:t xml:space="preserve">backwards </w:t>
      </w:r>
      <w:r w:rsidR="00815627">
        <w:rPr>
          <w:lang w:val="en-GB"/>
        </w:rPr>
        <w:t>selection again since we already form a new model by deleting a lot of collinear variables. After model selection, we are left with 12 variables</w:t>
      </w:r>
      <w:r w:rsidR="00297F40">
        <w:rPr>
          <w:lang w:val="en-GB"/>
        </w:rPr>
        <w:t xml:space="preserve">, the AIC scores of the model is </w:t>
      </w:r>
      <w:r w:rsidR="00297F40">
        <w:rPr>
          <w:lang w:val="en-GB"/>
        </w:rPr>
        <w:lastRenderedPageBreak/>
        <w:t xml:space="preserve">3358.58. </w:t>
      </w:r>
      <w:r w:rsidR="00815627">
        <w:rPr>
          <w:lang w:val="en-GB"/>
        </w:rPr>
        <w:t xml:space="preserve"> </w:t>
      </w:r>
      <w:r w:rsidR="00297F40">
        <w:rPr>
          <w:lang w:val="en-GB"/>
        </w:rPr>
        <w:t>W</w:t>
      </w:r>
      <w:r w:rsidR="00815627">
        <w:rPr>
          <w:lang w:val="en-GB"/>
        </w:rPr>
        <w:t>e check the collinearity again and the variance inflation factor, now all VIF are less than 10. After we get the model</w:t>
      </w:r>
      <w:r w:rsidR="00A108AE">
        <w:rPr>
          <w:lang w:val="en-GB"/>
        </w:rPr>
        <w:t xml:space="preserve"> below,</w:t>
      </w:r>
      <w:r w:rsidR="00815627">
        <w:rPr>
          <w:lang w:val="en-GB"/>
        </w:rPr>
        <w:t xml:space="preserve"> we check for the assumption.</w:t>
      </w:r>
    </w:p>
    <w:p w14:paraId="0AD5D1A4" w14:textId="77777777" w:rsidR="00A108AE" w:rsidRDefault="00A108AE" w:rsidP="003730CF">
      <w:pPr>
        <w:rPr>
          <w:lang w:val="en-GB"/>
        </w:rPr>
      </w:pPr>
    </w:p>
    <w:tbl>
      <w:tblPr>
        <w:tblW w:w="8344" w:type="dxa"/>
        <w:tblInd w:w="607" w:type="dxa"/>
        <w:tblLook w:val="04A0" w:firstRow="1" w:lastRow="0" w:firstColumn="1" w:lastColumn="0" w:noHBand="0" w:noVBand="1"/>
      </w:tblPr>
      <w:tblGrid>
        <w:gridCol w:w="1202"/>
        <w:gridCol w:w="148"/>
        <w:gridCol w:w="1148"/>
        <w:gridCol w:w="1159"/>
        <w:gridCol w:w="1169"/>
        <w:gridCol w:w="1086"/>
        <w:gridCol w:w="1115"/>
        <w:gridCol w:w="1317"/>
      </w:tblGrid>
      <w:tr w:rsidR="00A108AE" w:rsidRPr="00C8682A" w14:paraId="74D8EB8D" w14:textId="77777777" w:rsidTr="00A108AE">
        <w:trPr>
          <w:trHeight w:val="310"/>
        </w:trPr>
        <w:tc>
          <w:tcPr>
            <w:tcW w:w="1350" w:type="dxa"/>
            <w:gridSpan w:val="2"/>
            <w:tcBorders>
              <w:top w:val="single" w:sz="4" w:space="0" w:color="8EA9DB"/>
              <w:left w:val="single" w:sz="4" w:space="0" w:color="8EA9DB"/>
              <w:bottom w:val="single" w:sz="4" w:space="0" w:color="8EA9DB"/>
              <w:right w:val="nil"/>
            </w:tcBorders>
            <w:shd w:val="clear" w:color="4472C4" w:fill="4472C4"/>
            <w:noWrap/>
            <w:vAlign w:val="bottom"/>
            <w:hideMark/>
          </w:tcPr>
          <w:p w14:paraId="4B908E26" w14:textId="71F5B4D1" w:rsidR="00A108AE" w:rsidRPr="00C8682A" w:rsidRDefault="00A108AE" w:rsidP="005D2A7F">
            <w:pPr>
              <w:rPr>
                <w:rFonts w:ascii="Calibri" w:eastAsia="Times New Roman" w:hAnsi="Calibri" w:cs="Calibri"/>
                <w:b/>
                <w:bCs/>
                <w:color w:val="FFFFFF"/>
              </w:rPr>
            </w:pPr>
            <w:r w:rsidRPr="00C8682A">
              <w:rPr>
                <w:rFonts w:ascii="Calibri" w:eastAsia="Times New Roman" w:hAnsi="Calibri" w:cs="Calibri"/>
                <w:b/>
                <w:bCs/>
                <w:color w:val="FFFFFF"/>
              </w:rPr>
              <w:t>(Intercept)</w:t>
            </w:r>
          </w:p>
        </w:tc>
        <w:tc>
          <w:tcPr>
            <w:tcW w:w="1148" w:type="dxa"/>
            <w:tcBorders>
              <w:top w:val="single" w:sz="4" w:space="0" w:color="8EA9DB"/>
              <w:left w:val="nil"/>
              <w:bottom w:val="single" w:sz="4" w:space="0" w:color="8EA9DB"/>
              <w:right w:val="nil"/>
            </w:tcBorders>
            <w:shd w:val="clear" w:color="4472C4" w:fill="4472C4"/>
            <w:noWrap/>
            <w:vAlign w:val="bottom"/>
            <w:hideMark/>
          </w:tcPr>
          <w:p w14:paraId="03AA2698" w14:textId="77777777" w:rsidR="00A108AE" w:rsidRPr="00C8682A" w:rsidRDefault="00A108AE" w:rsidP="005D2A7F">
            <w:pPr>
              <w:rPr>
                <w:rFonts w:ascii="Calibri" w:eastAsia="Times New Roman" w:hAnsi="Calibri" w:cs="Calibri"/>
                <w:b/>
                <w:bCs/>
                <w:color w:val="FFFFFF"/>
              </w:rPr>
            </w:pPr>
            <w:r w:rsidRPr="00C8682A">
              <w:rPr>
                <w:rFonts w:ascii="Calibri" w:eastAsia="Times New Roman" w:hAnsi="Calibri" w:cs="Calibri"/>
                <w:b/>
                <w:bCs/>
                <w:color w:val="FFFFFF"/>
              </w:rPr>
              <w:t>gestation</w:t>
            </w:r>
          </w:p>
        </w:tc>
        <w:tc>
          <w:tcPr>
            <w:tcW w:w="1159" w:type="dxa"/>
            <w:tcBorders>
              <w:top w:val="single" w:sz="4" w:space="0" w:color="8EA9DB"/>
              <w:left w:val="nil"/>
              <w:bottom w:val="single" w:sz="4" w:space="0" w:color="8EA9DB"/>
              <w:right w:val="nil"/>
            </w:tcBorders>
            <w:shd w:val="clear" w:color="4472C4" w:fill="4472C4"/>
            <w:noWrap/>
            <w:vAlign w:val="bottom"/>
            <w:hideMark/>
          </w:tcPr>
          <w:p w14:paraId="31974014" w14:textId="77777777" w:rsidR="00A108AE" w:rsidRPr="00C8682A" w:rsidRDefault="00A108AE" w:rsidP="005D2A7F">
            <w:pPr>
              <w:rPr>
                <w:rFonts w:ascii="Calibri" w:eastAsia="Times New Roman" w:hAnsi="Calibri" w:cs="Calibri"/>
                <w:b/>
                <w:bCs/>
                <w:color w:val="FFFFFF"/>
              </w:rPr>
            </w:pPr>
            <w:proofErr w:type="spellStart"/>
            <w:r w:rsidRPr="00C8682A">
              <w:rPr>
                <w:rFonts w:ascii="Calibri" w:eastAsia="Times New Roman" w:hAnsi="Calibri" w:cs="Calibri"/>
                <w:b/>
                <w:bCs/>
                <w:color w:val="FFFFFF"/>
              </w:rPr>
              <w:t>ht</w:t>
            </w:r>
            <w:proofErr w:type="spellEnd"/>
          </w:p>
        </w:tc>
        <w:tc>
          <w:tcPr>
            <w:tcW w:w="1169" w:type="dxa"/>
            <w:tcBorders>
              <w:top w:val="single" w:sz="4" w:space="0" w:color="8EA9DB"/>
              <w:left w:val="nil"/>
              <w:bottom w:val="single" w:sz="4" w:space="0" w:color="8EA9DB"/>
              <w:right w:val="nil"/>
            </w:tcBorders>
            <w:shd w:val="clear" w:color="4472C4" w:fill="4472C4"/>
            <w:noWrap/>
            <w:vAlign w:val="bottom"/>
            <w:hideMark/>
          </w:tcPr>
          <w:p w14:paraId="12821536" w14:textId="77777777" w:rsidR="00A108AE" w:rsidRPr="00C8682A" w:rsidRDefault="00A108AE" w:rsidP="005D2A7F">
            <w:pPr>
              <w:rPr>
                <w:rFonts w:ascii="Calibri" w:eastAsia="Times New Roman" w:hAnsi="Calibri" w:cs="Calibri"/>
                <w:b/>
                <w:bCs/>
                <w:color w:val="FFFFFF"/>
              </w:rPr>
            </w:pPr>
            <w:proofErr w:type="spellStart"/>
            <w:r w:rsidRPr="00C8682A">
              <w:rPr>
                <w:rFonts w:ascii="Calibri" w:eastAsia="Times New Roman" w:hAnsi="Calibri" w:cs="Calibri"/>
                <w:b/>
                <w:bCs/>
                <w:color w:val="FFFFFF"/>
              </w:rPr>
              <w:t>ded</w:t>
            </w:r>
            <w:proofErr w:type="spellEnd"/>
          </w:p>
        </w:tc>
        <w:tc>
          <w:tcPr>
            <w:tcW w:w="1086" w:type="dxa"/>
            <w:tcBorders>
              <w:top w:val="single" w:sz="4" w:space="0" w:color="8EA9DB"/>
              <w:left w:val="nil"/>
              <w:bottom w:val="single" w:sz="4" w:space="0" w:color="8EA9DB"/>
              <w:right w:val="nil"/>
            </w:tcBorders>
            <w:shd w:val="clear" w:color="4472C4" w:fill="4472C4"/>
            <w:noWrap/>
            <w:vAlign w:val="bottom"/>
            <w:hideMark/>
          </w:tcPr>
          <w:p w14:paraId="23747935" w14:textId="77777777" w:rsidR="00A108AE" w:rsidRPr="00C8682A" w:rsidRDefault="00A108AE" w:rsidP="005D2A7F">
            <w:pPr>
              <w:rPr>
                <w:rFonts w:ascii="Calibri" w:eastAsia="Times New Roman" w:hAnsi="Calibri" w:cs="Calibri"/>
                <w:b/>
                <w:bCs/>
                <w:color w:val="FFFFFF"/>
              </w:rPr>
            </w:pPr>
            <w:r w:rsidRPr="00C8682A">
              <w:rPr>
                <w:rFonts w:ascii="Calibri" w:eastAsia="Times New Roman" w:hAnsi="Calibri" w:cs="Calibri"/>
                <w:b/>
                <w:bCs/>
                <w:color w:val="FFFFFF"/>
              </w:rPr>
              <w:t>dwt</w:t>
            </w:r>
          </w:p>
        </w:tc>
        <w:tc>
          <w:tcPr>
            <w:tcW w:w="1115" w:type="dxa"/>
            <w:tcBorders>
              <w:top w:val="single" w:sz="4" w:space="0" w:color="8EA9DB"/>
              <w:left w:val="nil"/>
              <w:bottom w:val="single" w:sz="4" w:space="0" w:color="8EA9DB"/>
              <w:right w:val="nil"/>
            </w:tcBorders>
            <w:shd w:val="clear" w:color="4472C4" w:fill="4472C4"/>
            <w:noWrap/>
            <w:vAlign w:val="bottom"/>
            <w:hideMark/>
          </w:tcPr>
          <w:p w14:paraId="465AAFC2" w14:textId="77777777" w:rsidR="00A108AE" w:rsidRPr="00C8682A" w:rsidRDefault="00A108AE" w:rsidP="005D2A7F">
            <w:pPr>
              <w:rPr>
                <w:rFonts w:ascii="Calibri" w:eastAsia="Times New Roman" w:hAnsi="Calibri" w:cs="Calibri"/>
                <w:b/>
                <w:bCs/>
                <w:color w:val="FFFFFF"/>
              </w:rPr>
            </w:pPr>
            <w:proofErr w:type="spellStart"/>
            <w:r w:rsidRPr="00C8682A">
              <w:rPr>
                <w:rFonts w:ascii="Calibri" w:eastAsia="Times New Roman" w:hAnsi="Calibri" w:cs="Calibri"/>
                <w:b/>
                <w:bCs/>
                <w:color w:val="FFFFFF"/>
              </w:rPr>
              <w:t>inc</w:t>
            </w:r>
            <w:proofErr w:type="spellEnd"/>
          </w:p>
        </w:tc>
        <w:tc>
          <w:tcPr>
            <w:tcW w:w="1317" w:type="dxa"/>
            <w:tcBorders>
              <w:top w:val="single" w:sz="4" w:space="0" w:color="8EA9DB"/>
              <w:left w:val="nil"/>
              <w:bottom w:val="single" w:sz="4" w:space="0" w:color="8EA9DB"/>
              <w:right w:val="single" w:sz="4" w:space="0" w:color="8EA9DB"/>
            </w:tcBorders>
            <w:shd w:val="clear" w:color="4472C4" w:fill="4472C4"/>
            <w:noWrap/>
            <w:vAlign w:val="bottom"/>
            <w:hideMark/>
          </w:tcPr>
          <w:p w14:paraId="20158696" w14:textId="77777777" w:rsidR="00A108AE" w:rsidRPr="00C8682A" w:rsidRDefault="00A108AE" w:rsidP="005D2A7F">
            <w:pPr>
              <w:rPr>
                <w:rFonts w:ascii="Calibri" w:eastAsia="Times New Roman" w:hAnsi="Calibri" w:cs="Calibri"/>
                <w:b/>
                <w:bCs/>
                <w:color w:val="FFFFFF"/>
              </w:rPr>
            </w:pPr>
            <w:r w:rsidRPr="00C8682A">
              <w:rPr>
                <w:rFonts w:ascii="Calibri" w:eastAsia="Times New Roman" w:hAnsi="Calibri" w:cs="Calibri"/>
                <w:b/>
                <w:bCs/>
                <w:color w:val="FFFFFF"/>
              </w:rPr>
              <w:t>time</w:t>
            </w:r>
          </w:p>
        </w:tc>
      </w:tr>
      <w:tr w:rsidR="00A108AE" w:rsidRPr="00C8682A" w14:paraId="26E291A7" w14:textId="77777777" w:rsidTr="00A108AE">
        <w:trPr>
          <w:trHeight w:val="310"/>
        </w:trPr>
        <w:tc>
          <w:tcPr>
            <w:tcW w:w="1202" w:type="dxa"/>
            <w:tcBorders>
              <w:top w:val="single" w:sz="4" w:space="0" w:color="8EA9DB"/>
              <w:left w:val="single" w:sz="4" w:space="0" w:color="8EA9DB"/>
              <w:bottom w:val="single" w:sz="4" w:space="0" w:color="8EA9DB"/>
              <w:right w:val="nil"/>
            </w:tcBorders>
            <w:shd w:val="clear" w:color="D9E1F2" w:fill="D9E1F2"/>
            <w:noWrap/>
            <w:vAlign w:val="bottom"/>
            <w:hideMark/>
          </w:tcPr>
          <w:p w14:paraId="40D16FDE"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-83.21759</w:t>
            </w:r>
          </w:p>
        </w:tc>
        <w:tc>
          <w:tcPr>
            <w:tcW w:w="1296" w:type="dxa"/>
            <w:gridSpan w:val="2"/>
            <w:tcBorders>
              <w:top w:val="single" w:sz="4" w:space="0" w:color="8EA9DB"/>
              <w:left w:val="nil"/>
              <w:bottom w:val="single" w:sz="4" w:space="0" w:color="8EA9DB"/>
              <w:right w:val="nil"/>
            </w:tcBorders>
            <w:shd w:val="clear" w:color="D9E1F2" w:fill="D9E1F2"/>
            <w:noWrap/>
            <w:vAlign w:val="bottom"/>
            <w:hideMark/>
          </w:tcPr>
          <w:p w14:paraId="3DBD6400"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0.44988</w:t>
            </w:r>
          </w:p>
        </w:tc>
        <w:tc>
          <w:tcPr>
            <w:tcW w:w="1159" w:type="dxa"/>
            <w:tcBorders>
              <w:top w:val="single" w:sz="4" w:space="0" w:color="8EA9DB"/>
              <w:left w:val="nil"/>
              <w:bottom w:val="single" w:sz="4" w:space="0" w:color="8EA9DB"/>
              <w:right w:val="nil"/>
            </w:tcBorders>
            <w:shd w:val="clear" w:color="D9E1F2" w:fill="D9E1F2"/>
            <w:noWrap/>
            <w:vAlign w:val="bottom"/>
            <w:hideMark/>
          </w:tcPr>
          <w:p w14:paraId="25B2315D"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1.04438</w:t>
            </w:r>
          </w:p>
        </w:tc>
        <w:tc>
          <w:tcPr>
            <w:tcW w:w="1169" w:type="dxa"/>
            <w:tcBorders>
              <w:top w:val="single" w:sz="4" w:space="0" w:color="8EA9DB"/>
              <w:left w:val="nil"/>
              <w:bottom w:val="single" w:sz="4" w:space="0" w:color="8EA9DB"/>
              <w:right w:val="nil"/>
            </w:tcBorders>
            <w:shd w:val="clear" w:color="D9E1F2" w:fill="D9E1F2"/>
            <w:noWrap/>
            <w:vAlign w:val="bottom"/>
            <w:hideMark/>
          </w:tcPr>
          <w:p w14:paraId="401C7CB3"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-1.33282</w:t>
            </w:r>
          </w:p>
        </w:tc>
        <w:tc>
          <w:tcPr>
            <w:tcW w:w="1086" w:type="dxa"/>
            <w:tcBorders>
              <w:top w:val="single" w:sz="4" w:space="0" w:color="8EA9DB"/>
              <w:left w:val="nil"/>
              <w:bottom w:val="single" w:sz="4" w:space="0" w:color="8EA9DB"/>
              <w:right w:val="nil"/>
            </w:tcBorders>
            <w:shd w:val="clear" w:color="D9E1F2" w:fill="D9E1F2"/>
            <w:noWrap/>
            <w:vAlign w:val="bottom"/>
            <w:hideMark/>
          </w:tcPr>
          <w:p w14:paraId="1FE8B68C"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0.07541</w:t>
            </w:r>
          </w:p>
        </w:tc>
        <w:tc>
          <w:tcPr>
            <w:tcW w:w="1115" w:type="dxa"/>
            <w:tcBorders>
              <w:top w:val="single" w:sz="4" w:space="0" w:color="8EA9DB"/>
              <w:left w:val="nil"/>
              <w:bottom w:val="single" w:sz="4" w:space="0" w:color="8EA9DB"/>
              <w:right w:val="nil"/>
            </w:tcBorders>
            <w:shd w:val="clear" w:color="D9E1F2" w:fill="D9E1F2"/>
            <w:noWrap/>
            <w:vAlign w:val="bottom"/>
            <w:hideMark/>
          </w:tcPr>
          <w:p w14:paraId="3DAFD254"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-0.50323</w:t>
            </w:r>
          </w:p>
        </w:tc>
        <w:tc>
          <w:tcPr>
            <w:tcW w:w="1317" w:type="dxa"/>
            <w:tcBorders>
              <w:top w:val="single" w:sz="4" w:space="0" w:color="8EA9DB"/>
              <w:left w:val="nil"/>
              <w:bottom w:val="single" w:sz="4" w:space="0" w:color="8EA9DB"/>
              <w:right w:val="single" w:sz="4" w:space="0" w:color="8EA9DB"/>
            </w:tcBorders>
            <w:shd w:val="clear" w:color="D9E1F2" w:fill="D9E1F2"/>
            <w:noWrap/>
            <w:vAlign w:val="bottom"/>
            <w:hideMark/>
          </w:tcPr>
          <w:p w14:paraId="1D24C692"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1.99309</w:t>
            </w:r>
          </w:p>
        </w:tc>
      </w:tr>
      <w:tr w:rsidR="00A108AE" w:rsidRPr="00C8682A" w14:paraId="191BDCCF" w14:textId="77777777" w:rsidTr="00A108AE">
        <w:trPr>
          <w:trHeight w:val="310"/>
        </w:trPr>
        <w:tc>
          <w:tcPr>
            <w:tcW w:w="1202" w:type="dxa"/>
            <w:tcBorders>
              <w:top w:val="nil"/>
              <w:left w:val="nil"/>
              <w:bottom w:val="nil"/>
              <w:right w:val="nil"/>
            </w:tcBorders>
            <w:shd w:val="clear" w:color="auto" w:fill="auto"/>
            <w:noWrap/>
            <w:vAlign w:val="bottom"/>
            <w:hideMark/>
          </w:tcPr>
          <w:p w14:paraId="5CFA7980" w14:textId="77777777" w:rsidR="00A108AE" w:rsidRPr="00C8682A" w:rsidRDefault="00A108AE" w:rsidP="005D2A7F">
            <w:pPr>
              <w:jc w:val="right"/>
              <w:rPr>
                <w:rFonts w:ascii="Calibri" w:eastAsia="Times New Roman" w:hAnsi="Calibri" w:cs="Calibri"/>
                <w:color w:val="000000"/>
              </w:rPr>
            </w:pPr>
          </w:p>
        </w:tc>
        <w:tc>
          <w:tcPr>
            <w:tcW w:w="1296" w:type="dxa"/>
            <w:gridSpan w:val="2"/>
            <w:tcBorders>
              <w:top w:val="single" w:sz="4" w:space="0" w:color="8EA9DB"/>
              <w:left w:val="single" w:sz="4" w:space="0" w:color="8EA9DB"/>
              <w:bottom w:val="single" w:sz="4" w:space="0" w:color="8EA9DB"/>
              <w:right w:val="nil"/>
            </w:tcBorders>
            <w:shd w:val="clear" w:color="4472C4" w:fill="4472C4"/>
            <w:noWrap/>
            <w:vAlign w:val="bottom"/>
            <w:hideMark/>
          </w:tcPr>
          <w:p w14:paraId="1014086F" w14:textId="77777777" w:rsidR="00A108AE" w:rsidRPr="00C8682A" w:rsidRDefault="00A108AE" w:rsidP="005D2A7F">
            <w:pPr>
              <w:rPr>
                <w:rFonts w:ascii="Calibri" w:eastAsia="Times New Roman" w:hAnsi="Calibri" w:cs="Calibri"/>
                <w:b/>
                <w:bCs/>
                <w:color w:val="FFFFFF"/>
              </w:rPr>
            </w:pPr>
            <w:r w:rsidRPr="00C8682A">
              <w:rPr>
                <w:rFonts w:ascii="Calibri" w:eastAsia="Times New Roman" w:hAnsi="Calibri" w:cs="Calibri"/>
                <w:b/>
                <w:bCs/>
                <w:color w:val="FFFFFF"/>
              </w:rPr>
              <w:t>number</w:t>
            </w:r>
          </w:p>
        </w:tc>
        <w:tc>
          <w:tcPr>
            <w:tcW w:w="1159" w:type="dxa"/>
            <w:tcBorders>
              <w:top w:val="single" w:sz="4" w:space="0" w:color="8EA9DB"/>
              <w:left w:val="nil"/>
              <w:bottom w:val="single" w:sz="4" w:space="0" w:color="8EA9DB"/>
              <w:right w:val="nil"/>
            </w:tcBorders>
            <w:shd w:val="clear" w:color="4472C4" w:fill="4472C4"/>
            <w:noWrap/>
            <w:vAlign w:val="bottom"/>
            <w:hideMark/>
          </w:tcPr>
          <w:p w14:paraId="6B943122" w14:textId="77777777" w:rsidR="00A108AE" w:rsidRPr="00C8682A" w:rsidRDefault="00A108AE" w:rsidP="005D2A7F">
            <w:pPr>
              <w:rPr>
                <w:rFonts w:ascii="Calibri" w:eastAsia="Times New Roman" w:hAnsi="Calibri" w:cs="Calibri"/>
                <w:b/>
                <w:bCs/>
                <w:color w:val="FFFFFF"/>
              </w:rPr>
            </w:pPr>
            <w:proofErr w:type="spellStart"/>
            <w:proofErr w:type="gramStart"/>
            <w:r w:rsidRPr="00C8682A">
              <w:rPr>
                <w:rFonts w:ascii="Calibri" w:eastAsia="Times New Roman" w:hAnsi="Calibri" w:cs="Calibri"/>
                <w:b/>
                <w:bCs/>
                <w:color w:val="FFFFFF"/>
              </w:rPr>
              <w:t>inc:parity</w:t>
            </w:r>
            <w:proofErr w:type="spellEnd"/>
            <w:proofErr w:type="gramEnd"/>
          </w:p>
        </w:tc>
        <w:tc>
          <w:tcPr>
            <w:tcW w:w="1169" w:type="dxa"/>
            <w:tcBorders>
              <w:top w:val="single" w:sz="4" w:space="0" w:color="8EA9DB"/>
              <w:left w:val="nil"/>
              <w:bottom w:val="single" w:sz="4" w:space="0" w:color="8EA9DB"/>
              <w:right w:val="nil"/>
            </w:tcBorders>
            <w:shd w:val="clear" w:color="4472C4" w:fill="4472C4"/>
            <w:noWrap/>
            <w:vAlign w:val="bottom"/>
            <w:hideMark/>
          </w:tcPr>
          <w:p w14:paraId="2F2DE900" w14:textId="77777777" w:rsidR="00A108AE" w:rsidRPr="00C8682A" w:rsidRDefault="00A108AE" w:rsidP="005D2A7F">
            <w:pPr>
              <w:rPr>
                <w:rFonts w:ascii="Calibri" w:eastAsia="Times New Roman" w:hAnsi="Calibri" w:cs="Calibri"/>
                <w:b/>
                <w:bCs/>
                <w:color w:val="FFFFFF"/>
              </w:rPr>
            </w:pPr>
            <w:r w:rsidRPr="00C8682A">
              <w:rPr>
                <w:rFonts w:ascii="Calibri" w:eastAsia="Times New Roman" w:hAnsi="Calibri" w:cs="Calibri"/>
                <w:b/>
                <w:bCs/>
                <w:color w:val="FFFFFF"/>
              </w:rPr>
              <w:t>wt.</w:t>
            </w:r>
            <w:proofErr w:type="gramStart"/>
            <w:r w:rsidRPr="00C8682A">
              <w:rPr>
                <w:rFonts w:ascii="Calibri" w:eastAsia="Times New Roman" w:hAnsi="Calibri" w:cs="Calibri"/>
                <w:b/>
                <w:bCs/>
                <w:color w:val="FFFFFF"/>
              </w:rPr>
              <w:t>1:ed</w:t>
            </w:r>
            <w:proofErr w:type="gramEnd"/>
          </w:p>
        </w:tc>
        <w:tc>
          <w:tcPr>
            <w:tcW w:w="1086" w:type="dxa"/>
            <w:tcBorders>
              <w:top w:val="single" w:sz="4" w:space="0" w:color="8EA9DB"/>
              <w:left w:val="nil"/>
              <w:bottom w:val="single" w:sz="4" w:space="0" w:color="8EA9DB"/>
              <w:right w:val="nil"/>
            </w:tcBorders>
            <w:shd w:val="clear" w:color="4472C4" w:fill="4472C4"/>
            <w:noWrap/>
            <w:vAlign w:val="bottom"/>
            <w:hideMark/>
          </w:tcPr>
          <w:p w14:paraId="0F508463" w14:textId="77777777" w:rsidR="00A108AE" w:rsidRPr="00C8682A" w:rsidRDefault="00A108AE" w:rsidP="005D2A7F">
            <w:pPr>
              <w:rPr>
                <w:rFonts w:ascii="Calibri" w:eastAsia="Times New Roman" w:hAnsi="Calibri" w:cs="Calibri"/>
                <w:b/>
                <w:bCs/>
                <w:color w:val="FFFFFF"/>
              </w:rPr>
            </w:pPr>
            <w:proofErr w:type="spellStart"/>
            <w:proofErr w:type="gramStart"/>
            <w:r w:rsidRPr="00C8682A">
              <w:rPr>
                <w:rFonts w:ascii="Calibri" w:eastAsia="Times New Roman" w:hAnsi="Calibri" w:cs="Calibri"/>
                <w:b/>
                <w:bCs/>
                <w:color w:val="FFFFFF"/>
              </w:rPr>
              <w:t>ed:drace</w:t>
            </w:r>
            <w:proofErr w:type="spellEnd"/>
            <w:proofErr w:type="gramEnd"/>
          </w:p>
        </w:tc>
        <w:tc>
          <w:tcPr>
            <w:tcW w:w="1115" w:type="dxa"/>
            <w:tcBorders>
              <w:top w:val="single" w:sz="4" w:space="0" w:color="8EA9DB"/>
              <w:left w:val="nil"/>
              <w:bottom w:val="single" w:sz="4" w:space="0" w:color="8EA9DB"/>
              <w:right w:val="nil"/>
            </w:tcBorders>
            <w:shd w:val="clear" w:color="4472C4" w:fill="4472C4"/>
            <w:noWrap/>
            <w:vAlign w:val="bottom"/>
            <w:hideMark/>
          </w:tcPr>
          <w:p w14:paraId="1EF38636" w14:textId="77777777" w:rsidR="00A108AE" w:rsidRPr="00C8682A" w:rsidRDefault="00A108AE" w:rsidP="005D2A7F">
            <w:pPr>
              <w:rPr>
                <w:rFonts w:ascii="Calibri" w:eastAsia="Times New Roman" w:hAnsi="Calibri" w:cs="Calibri"/>
                <w:b/>
                <w:bCs/>
                <w:color w:val="FFFFFF"/>
              </w:rPr>
            </w:pPr>
            <w:proofErr w:type="spellStart"/>
            <w:proofErr w:type="gramStart"/>
            <w:r w:rsidRPr="00C8682A">
              <w:rPr>
                <w:rFonts w:ascii="Calibri" w:eastAsia="Times New Roman" w:hAnsi="Calibri" w:cs="Calibri"/>
                <w:b/>
                <w:bCs/>
                <w:color w:val="FFFFFF"/>
              </w:rPr>
              <w:t>time:ed</w:t>
            </w:r>
            <w:proofErr w:type="spellEnd"/>
            <w:proofErr w:type="gramEnd"/>
          </w:p>
        </w:tc>
        <w:tc>
          <w:tcPr>
            <w:tcW w:w="1317" w:type="dxa"/>
            <w:tcBorders>
              <w:top w:val="single" w:sz="4" w:space="0" w:color="8EA9DB"/>
              <w:left w:val="nil"/>
              <w:bottom w:val="single" w:sz="4" w:space="0" w:color="8EA9DB"/>
              <w:right w:val="single" w:sz="4" w:space="0" w:color="8EA9DB"/>
            </w:tcBorders>
            <w:shd w:val="clear" w:color="4472C4" w:fill="4472C4"/>
            <w:noWrap/>
            <w:vAlign w:val="bottom"/>
            <w:hideMark/>
          </w:tcPr>
          <w:p w14:paraId="7F707A97" w14:textId="77777777" w:rsidR="00A108AE" w:rsidRPr="00C8682A" w:rsidRDefault="00A108AE" w:rsidP="005D2A7F">
            <w:pPr>
              <w:rPr>
                <w:rFonts w:ascii="Calibri" w:eastAsia="Times New Roman" w:hAnsi="Calibri" w:cs="Calibri"/>
                <w:b/>
                <w:bCs/>
                <w:color w:val="FFFFFF"/>
              </w:rPr>
            </w:pPr>
            <w:proofErr w:type="spellStart"/>
            <w:proofErr w:type="gramStart"/>
            <w:r w:rsidRPr="00C8682A">
              <w:rPr>
                <w:rFonts w:ascii="Calibri" w:eastAsia="Times New Roman" w:hAnsi="Calibri" w:cs="Calibri"/>
                <w:b/>
                <w:bCs/>
                <w:color w:val="FFFFFF"/>
              </w:rPr>
              <w:t>ded:smoke</w:t>
            </w:r>
            <w:proofErr w:type="spellEnd"/>
            <w:proofErr w:type="gramEnd"/>
          </w:p>
        </w:tc>
      </w:tr>
      <w:tr w:rsidR="00A108AE" w:rsidRPr="00C8682A" w14:paraId="714308BF" w14:textId="77777777" w:rsidTr="00A108AE">
        <w:trPr>
          <w:trHeight w:val="310"/>
        </w:trPr>
        <w:tc>
          <w:tcPr>
            <w:tcW w:w="1202" w:type="dxa"/>
            <w:tcBorders>
              <w:top w:val="nil"/>
              <w:left w:val="nil"/>
              <w:bottom w:val="nil"/>
              <w:right w:val="nil"/>
            </w:tcBorders>
            <w:shd w:val="clear" w:color="auto" w:fill="auto"/>
            <w:noWrap/>
            <w:vAlign w:val="bottom"/>
            <w:hideMark/>
          </w:tcPr>
          <w:p w14:paraId="5CF29EAE" w14:textId="77777777" w:rsidR="00A108AE" w:rsidRPr="00C8682A" w:rsidRDefault="00A108AE" w:rsidP="005D2A7F">
            <w:pPr>
              <w:rPr>
                <w:rFonts w:ascii="Calibri" w:eastAsia="Times New Roman" w:hAnsi="Calibri" w:cs="Calibri"/>
                <w:b/>
                <w:bCs/>
                <w:color w:val="FFFFFF"/>
              </w:rPr>
            </w:pPr>
          </w:p>
        </w:tc>
        <w:tc>
          <w:tcPr>
            <w:tcW w:w="1296" w:type="dxa"/>
            <w:gridSpan w:val="2"/>
            <w:tcBorders>
              <w:top w:val="single" w:sz="4" w:space="0" w:color="8EA9DB"/>
              <w:left w:val="single" w:sz="4" w:space="0" w:color="8EA9DB"/>
              <w:bottom w:val="single" w:sz="4" w:space="0" w:color="8EA9DB"/>
              <w:right w:val="nil"/>
            </w:tcBorders>
            <w:shd w:val="clear" w:color="D9E1F2" w:fill="D9E1F2"/>
            <w:noWrap/>
            <w:vAlign w:val="bottom"/>
            <w:hideMark/>
          </w:tcPr>
          <w:p w14:paraId="62BE5CDD"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-2.02635</w:t>
            </w:r>
          </w:p>
        </w:tc>
        <w:tc>
          <w:tcPr>
            <w:tcW w:w="1159" w:type="dxa"/>
            <w:tcBorders>
              <w:top w:val="single" w:sz="4" w:space="0" w:color="8EA9DB"/>
              <w:left w:val="nil"/>
              <w:bottom w:val="single" w:sz="4" w:space="0" w:color="8EA9DB"/>
              <w:right w:val="nil"/>
            </w:tcBorders>
            <w:shd w:val="clear" w:color="D9E1F2" w:fill="D9E1F2"/>
            <w:noWrap/>
            <w:vAlign w:val="bottom"/>
            <w:hideMark/>
          </w:tcPr>
          <w:p w14:paraId="3BFD7A74"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0.15018</w:t>
            </w:r>
          </w:p>
        </w:tc>
        <w:tc>
          <w:tcPr>
            <w:tcW w:w="1169" w:type="dxa"/>
            <w:tcBorders>
              <w:top w:val="single" w:sz="4" w:space="0" w:color="8EA9DB"/>
              <w:left w:val="nil"/>
              <w:bottom w:val="single" w:sz="4" w:space="0" w:color="8EA9DB"/>
              <w:right w:val="nil"/>
            </w:tcBorders>
            <w:shd w:val="clear" w:color="D9E1F2" w:fill="D9E1F2"/>
            <w:noWrap/>
            <w:vAlign w:val="bottom"/>
            <w:hideMark/>
          </w:tcPr>
          <w:p w14:paraId="064F8AC3"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0.01692</w:t>
            </w:r>
          </w:p>
        </w:tc>
        <w:tc>
          <w:tcPr>
            <w:tcW w:w="1086" w:type="dxa"/>
            <w:tcBorders>
              <w:top w:val="single" w:sz="4" w:space="0" w:color="8EA9DB"/>
              <w:left w:val="nil"/>
              <w:bottom w:val="single" w:sz="4" w:space="0" w:color="8EA9DB"/>
              <w:right w:val="nil"/>
            </w:tcBorders>
            <w:shd w:val="clear" w:color="D9E1F2" w:fill="D9E1F2"/>
            <w:noWrap/>
            <w:vAlign w:val="bottom"/>
            <w:hideMark/>
          </w:tcPr>
          <w:p w14:paraId="348B0D6B"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-0.20793</w:t>
            </w:r>
          </w:p>
        </w:tc>
        <w:tc>
          <w:tcPr>
            <w:tcW w:w="1115" w:type="dxa"/>
            <w:tcBorders>
              <w:top w:val="single" w:sz="4" w:space="0" w:color="8EA9DB"/>
              <w:left w:val="nil"/>
              <w:bottom w:val="single" w:sz="4" w:space="0" w:color="8EA9DB"/>
              <w:right w:val="nil"/>
            </w:tcBorders>
            <w:shd w:val="clear" w:color="D9E1F2" w:fill="D9E1F2"/>
            <w:noWrap/>
            <w:vAlign w:val="bottom"/>
            <w:hideMark/>
          </w:tcPr>
          <w:p w14:paraId="558E8CA6"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-0.64961</w:t>
            </w:r>
          </w:p>
        </w:tc>
        <w:tc>
          <w:tcPr>
            <w:tcW w:w="1317" w:type="dxa"/>
            <w:tcBorders>
              <w:top w:val="single" w:sz="4" w:space="0" w:color="8EA9DB"/>
              <w:left w:val="nil"/>
              <w:bottom w:val="single" w:sz="4" w:space="0" w:color="8EA9DB"/>
              <w:right w:val="single" w:sz="4" w:space="0" w:color="8EA9DB"/>
            </w:tcBorders>
            <w:shd w:val="clear" w:color="D9E1F2" w:fill="D9E1F2"/>
            <w:noWrap/>
            <w:vAlign w:val="bottom"/>
            <w:hideMark/>
          </w:tcPr>
          <w:p w14:paraId="58B6A0C8"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0.61855</w:t>
            </w:r>
          </w:p>
        </w:tc>
      </w:tr>
    </w:tbl>
    <w:p w14:paraId="10164129" w14:textId="654A4B72" w:rsidR="00A108AE" w:rsidRDefault="00A108AE" w:rsidP="003730CF">
      <w:pPr>
        <w:rPr>
          <w:lang w:val="en-GB"/>
        </w:rPr>
      </w:pPr>
      <w:r>
        <w:rPr>
          <w:lang w:val="en-GB"/>
        </w:rPr>
        <w:t xml:space="preserve">Table.2 </w:t>
      </w:r>
      <w:proofErr w:type="spellStart"/>
      <w:r>
        <w:rPr>
          <w:lang w:val="en-GB"/>
        </w:rPr>
        <w:t>finalModel</w:t>
      </w:r>
      <w:proofErr w:type="spellEnd"/>
      <w:r>
        <w:rPr>
          <w:lang w:val="en-GB"/>
        </w:rPr>
        <w:t xml:space="preserve"> coefficients </w:t>
      </w:r>
    </w:p>
    <w:p w14:paraId="6E3D501E" w14:textId="77777777" w:rsidR="00A108AE" w:rsidRDefault="00A108AE" w:rsidP="003730CF">
      <w:pPr>
        <w:rPr>
          <w:lang w:val="en-GB"/>
        </w:rPr>
      </w:pPr>
    </w:p>
    <w:p w14:paraId="77994D54" w14:textId="0BBC8550" w:rsidR="008642A8" w:rsidRDefault="00815627" w:rsidP="008642A8">
      <w:r>
        <w:t xml:space="preserve">For normality, we use Shapiro Wilk normality test which null hypothesis is the population is normally distributed which our p value is 0.22, we fail to reject the hypothesis. From QQ plot of residuals of the model below and Shapiro Wilk normality test, we could conclude that the model fit normality. For linearity, we have plotted a residual against fitted values graph, even though our graph is not perfect, it is a well-behaved graph that show the linearity of the model. For heteroskedasticity, we use </w:t>
      </w:r>
      <w:proofErr w:type="spellStart"/>
      <w:r>
        <w:t>Breusche</w:t>
      </w:r>
      <w:proofErr w:type="spellEnd"/>
      <w:r>
        <w:t>-Pagan test (</w:t>
      </w:r>
      <w:proofErr w:type="spellStart"/>
      <w:r>
        <w:t>ncvTest</w:t>
      </w:r>
      <w:proofErr w:type="spellEnd"/>
      <w:r>
        <w:t>) which null hypothesis is constant error variance, p value is 0.</w:t>
      </w:r>
      <w:r w:rsidR="00C41559">
        <w:t>16</w:t>
      </w:r>
      <w:r>
        <w:t xml:space="preserve"> which </w:t>
      </w:r>
      <w:r w:rsidR="00C41559">
        <w:t xml:space="preserve">fail to </w:t>
      </w:r>
      <w:r>
        <w:t>reject the null hypothesis. So heteroskedasticity do</w:t>
      </w:r>
      <w:r w:rsidR="00C41559">
        <w:t xml:space="preserve"> not</w:t>
      </w:r>
      <w:r>
        <w:t xml:space="preserve"> exist and we could also see from the graph of residual against fitted data. For autocorrelation, we use Durbin Watson statistic which null hypothesis is linear regression residuals are uncorrelated, p value is 0.</w:t>
      </w:r>
      <w:r w:rsidR="00C41559">
        <w:t>08</w:t>
      </w:r>
      <w:r>
        <w:t xml:space="preserve"> which means that we fail to reject the null hypothesis</w:t>
      </w:r>
      <w:r w:rsidR="00C41559">
        <w:t xml:space="preserve">. Now this model </w:t>
      </w:r>
      <w:proofErr w:type="gramStart"/>
      <w:r w:rsidR="00C41559">
        <w:t>pass</w:t>
      </w:r>
      <w:proofErr w:type="gramEnd"/>
      <w:r w:rsidR="00C41559">
        <w:t xml:space="preserve"> all the assumption.</w:t>
      </w:r>
      <w:r w:rsidR="008642A8">
        <w:t xml:space="preserve"> </w:t>
      </w:r>
      <w:r w:rsidR="008642A8">
        <w:t xml:space="preserve">(The name of the model is </w:t>
      </w:r>
      <w:proofErr w:type="spellStart"/>
      <w:r w:rsidR="008642A8">
        <w:t>final</w:t>
      </w:r>
      <w:r w:rsidR="008642A8">
        <w:t>Model</w:t>
      </w:r>
      <w:proofErr w:type="spellEnd"/>
      <w:r w:rsidR="008642A8">
        <w:t xml:space="preserve">, you could find all the r file in appendix </w:t>
      </w:r>
      <w:proofErr w:type="spellStart"/>
      <w:r w:rsidR="008642A8">
        <w:t>modelselection-Su.r</w:t>
      </w:r>
      <w:bookmarkStart w:id="0" w:name="_GoBack"/>
      <w:bookmarkEnd w:id="0"/>
      <w:proofErr w:type="spellEnd"/>
      <w:r w:rsidR="008642A8">
        <w:t>)</w:t>
      </w:r>
    </w:p>
    <w:p w14:paraId="751A0A7A" w14:textId="59B45E7A" w:rsidR="003730CF" w:rsidRPr="008642A8" w:rsidRDefault="003730CF" w:rsidP="003730CF"/>
    <w:sectPr w:rsidR="003730CF" w:rsidRPr="008642A8" w:rsidSect="00304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8BB"/>
    <w:rsid w:val="00216C78"/>
    <w:rsid w:val="00297F40"/>
    <w:rsid w:val="002F0F36"/>
    <w:rsid w:val="00304D01"/>
    <w:rsid w:val="003730CF"/>
    <w:rsid w:val="004135F6"/>
    <w:rsid w:val="00483882"/>
    <w:rsid w:val="00500674"/>
    <w:rsid w:val="005836DC"/>
    <w:rsid w:val="00802C14"/>
    <w:rsid w:val="00815627"/>
    <w:rsid w:val="008642A8"/>
    <w:rsid w:val="008F7102"/>
    <w:rsid w:val="009D55EC"/>
    <w:rsid w:val="00A108AE"/>
    <w:rsid w:val="00A745A9"/>
    <w:rsid w:val="00BB7F0B"/>
    <w:rsid w:val="00BF58B1"/>
    <w:rsid w:val="00C41559"/>
    <w:rsid w:val="00C8682A"/>
    <w:rsid w:val="00CB09D2"/>
    <w:rsid w:val="00CD0102"/>
    <w:rsid w:val="00CF08BB"/>
    <w:rsid w:val="00D34121"/>
    <w:rsid w:val="00DE74A2"/>
    <w:rsid w:val="00DF2366"/>
    <w:rsid w:val="00EE7C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BEE3B17"/>
  <w15:chartTrackingRefBased/>
  <w15:docId w15:val="{CB9AD05B-4833-EB4C-A145-89F8FE58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1489">
      <w:bodyDiv w:val="1"/>
      <w:marLeft w:val="0"/>
      <w:marRight w:val="0"/>
      <w:marTop w:val="0"/>
      <w:marBottom w:val="0"/>
      <w:divBdr>
        <w:top w:val="none" w:sz="0" w:space="0" w:color="auto"/>
        <w:left w:val="none" w:sz="0" w:space="0" w:color="auto"/>
        <w:bottom w:val="none" w:sz="0" w:space="0" w:color="auto"/>
        <w:right w:val="none" w:sz="0" w:space="0" w:color="auto"/>
      </w:divBdr>
    </w:div>
    <w:div w:id="241647274">
      <w:bodyDiv w:val="1"/>
      <w:marLeft w:val="0"/>
      <w:marRight w:val="0"/>
      <w:marTop w:val="0"/>
      <w:marBottom w:val="0"/>
      <w:divBdr>
        <w:top w:val="none" w:sz="0" w:space="0" w:color="auto"/>
        <w:left w:val="none" w:sz="0" w:space="0" w:color="auto"/>
        <w:bottom w:val="none" w:sz="0" w:space="0" w:color="auto"/>
        <w:right w:val="none" w:sz="0" w:space="0" w:color="auto"/>
      </w:divBdr>
    </w:div>
    <w:div w:id="826018117">
      <w:bodyDiv w:val="1"/>
      <w:marLeft w:val="0"/>
      <w:marRight w:val="0"/>
      <w:marTop w:val="0"/>
      <w:marBottom w:val="0"/>
      <w:divBdr>
        <w:top w:val="none" w:sz="0" w:space="0" w:color="auto"/>
        <w:left w:val="none" w:sz="0" w:space="0" w:color="auto"/>
        <w:bottom w:val="none" w:sz="0" w:space="0" w:color="auto"/>
        <w:right w:val="none" w:sz="0" w:space="0" w:color="auto"/>
      </w:divBdr>
    </w:div>
    <w:div w:id="174825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2018-11-02T01:59:00Z</dcterms:created>
  <dcterms:modified xsi:type="dcterms:W3CDTF">2018-11-02T13:58:00Z</dcterms:modified>
</cp:coreProperties>
</file>