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1F3A5F"/>
          <w:sz w:val="40"/>
          <w:szCs w:val="40"/>
        </w:rPr>
        <w:t xml:space="preserve">Payment Infrastructure Recommendation</w:t>
      </w:r>
    </w:p>
    <w:p>
      <w:pPr>
        <w:spacing w:after="200"/>
      </w:pPr>
      <w:r>
        <w:rPr>
          <w:i/>
          <w:iCs/>
          <w:color w:val="555555"/>
          <w:sz w:val="22"/>
          <w:szCs w:val="22"/>
        </w:rPr>
        <w:t xml:space="preserve">Selecting a Payment Service Provider for the Zirclaire platform</w:t>
      </w:r>
    </w:p>
    <w:p>
      <w:pPr>
        <w:spacing w:after="20"/>
      </w:pPr>
      <w:r>
        <w:rPr>
          <w:b/>
          <w:bCs/>
          <w:sz w:val="20"/>
          <w:szCs w:val="20"/>
        </w:rPr>
        <w:t xml:space="preserve">Prepared by: </w:t>
      </w:r>
      <w:r>
        <w:rPr>
          <w:sz w:val="20"/>
          <w:szCs w:val="20"/>
        </w:rPr>
        <w:t xml:space="preserve">MORATT INC</w:t>
      </w:r>
    </w:p>
    <w:p>
      <w:pPr>
        <w:spacing w:after="20"/>
      </w:pPr>
      <w:r>
        <w:rPr>
          <w:b/>
          <w:bCs/>
          <w:sz w:val="20"/>
          <w:szCs w:val="20"/>
        </w:rPr>
        <w:t xml:space="preserve">Recommendation: </w:t>
      </w:r>
      <w:r>
        <w:rPr>
          <w:sz w:val="20"/>
          <w:szCs w:val="20"/>
        </w:rPr>
        <w:t xml:space="preserve">Xendit (Payex PLT)</w:t>
      </w:r>
    </w:p>
    <w:p>
      <w:pPr>
        <w:spacing w:after="160"/>
      </w:pPr>
      <w:r>
        <w:rPr>
          <w:b/>
          <w:bCs/>
          <w:sz w:val="20"/>
          <w:szCs w:val="20"/>
        </w:rPr>
        <w:t xml:space="preserve">Date: </w:t>
      </w:r>
      <w:r>
        <w:rPr>
          <w:sz w:val="20"/>
          <w:szCs w:val="20"/>
        </w:rPr>
        <w:t xml:space="preserve">11 August 2026</w:t>
      </w:r>
    </w:p>
    <w:p>
      <w:pPr>
        <w:pBdr>
          <w:bottom w:val="single" w:color="CCCCCC" w:sz="6" w:space="1"/>
        </w:pBdr>
        <w:spacing w:after="120"/>
      </w:pPr>
      <w:r>
        <w:t xml:space="preserve"/>
      </w:r>
    </w:p>
    <w:p>
      <w:pPr>
        <w:pStyle w:val="Heading1"/>
        <w:spacing w:after="120" w:before="260"/>
      </w:pPr>
      <w:r>
        <w:rPr>
          <w:b/>
          <w:bCs/>
          <w:color w:val="1F3A5F"/>
          <w:sz w:val="26"/>
          <w:szCs w:val="26"/>
        </w:rPr>
        <w:t xml:space="preserve">Executive summary</w:t>
      </w:r>
    </w:p>
    <w:p>
      <w:pPr>
        <w:spacing w:after="140" w:line="276"/>
        <w:jc w:val="both"/>
      </w:pPr>
      <w:r>
        <w:rPr>
          <w:sz w:val="21"/>
          <w:szCs w:val="21"/>
        </w:rPr>
        <w:t xml:space="preserve">Zirclaire operates as an escrow-backed marketplace: money is collected from a service requester, held while work is carried out, and released to the service provider once the job is complete. This makes the choice of payment partner central to the platform — it must reliably </w:t>
      </w:r>
      <w:r>
        <w:rPr>
          <w:b/>
          <w:bCs/>
          <w:sz w:val="21"/>
          <w:szCs w:val="21"/>
        </w:rPr>
        <w:t xml:space="preserve">take money in</w:t>
      </w:r>
      <w:r>
        <w:rPr>
          <w:sz w:val="21"/>
          <w:szCs w:val="21"/>
        </w:rPr>
        <w:t xml:space="preserve">, </w:t>
      </w:r>
      <w:r>
        <w:rPr>
          <w:b/>
          <w:bCs/>
          <w:sz w:val="21"/>
          <w:szCs w:val="21"/>
        </w:rPr>
        <w:t xml:space="preserve">hold it safely</w:t>
      </w:r>
      <w:r>
        <w:rPr>
          <w:sz w:val="21"/>
          <w:szCs w:val="21"/>
        </w:rPr>
        <w:t xml:space="preserve">, and </w:t>
      </w:r>
      <w:r>
        <w:rPr>
          <w:b/>
          <w:bCs/>
          <w:sz w:val="21"/>
          <w:szCs w:val="21"/>
        </w:rPr>
        <w:t xml:space="preserve">pay providers out automatically</w:t>
      </w:r>
      <w:r>
        <w:rPr>
          <w:sz w:val="21"/>
          <w:szCs w:val="21"/>
        </w:rPr>
        <w:t xml:space="preserve">, using the payment methods Malaysian users expect. After reviewing the available providers, we recommend </w:t>
      </w:r>
      <w:r>
        <w:rPr>
          <w:b/>
          <w:bCs/>
          <w:sz w:val="21"/>
          <w:szCs w:val="21"/>
        </w:rPr>
        <w:t xml:space="preserve">Xendit</w:t>
      </w:r>
      <w:r>
        <w:rPr>
          <w:sz w:val="21"/>
          <w:szCs w:val="21"/>
        </w:rPr>
        <w:t xml:space="preserve">. It is licensed by Bank Negara Malaysia, handles both collection and payouts through a single integration, supports all major local payment methods, and is built for the kind of automated, event-driven payments Zirclaire depends on — with a security model that keeps client funds with a regulated institution rather than on the platform itself.</w:t>
      </w:r>
    </w:p>
    <w:p>
      <w:pPr>
        <w:pStyle w:val="Heading1"/>
        <w:spacing w:after="120" w:before="260"/>
      </w:pPr>
      <w:r>
        <w:rPr>
          <w:b/>
          <w:bCs/>
          <w:color w:val="1F3A5F"/>
          <w:sz w:val="26"/>
          <w:szCs w:val="26"/>
        </w:rPr>
        <w:t xml:space="preserve">What Zirclaire’s payments must do</w:t>
      </w:r>
    </w:p>
    <w:p>
      <w:pPr>
        <w:spacing w:after="140" w:line="276"/>
        <w:jc w:val="both"/>
      </w:pPr>
      <w:r>
        <w:rPr>
          <w:sz w:val="21"/>
          <w:szCs w:val="21"/>
        </w:rPr>
        <w:t xml:space="preserve">Because funds are held in escrow between two parties, the platform has requirements beyond a normal online store. It must be able to accept payment from requesters through familiar local channels; hold those funds securely until a job is confirmed; and then disburse the provider’s share automatically, while retaining the platform fee. Each of these steps must be safe, traceable, and require as little manual handling as possible. A provider that only does one side of this — collection but not automated payouts, or the reverse — would force us to bolt together two vendors and reconcile between them, adding cost and risk.</w:t>
      </w:r>
    </w:p>
    <w:p>
      <w:pPr>
        <w:pStyle w:val="Heading1"/>
        <w:spacing w:after="120" w:before="260"/>
      </w:pPr>
      <w:r>
        <w:rPr>
          <w:b/>
          <w:bCs/>
          <w:color w:val="1F3A5F"/>
          <w:sz w:val="26"/>
          <w:szCs w:val="26"/>
        </w:rPr>
        <w:t xml:space="preserve">Why Xendit</w:t>
      </w:r>
    </w:p>
    <w:p>
      <w:pPr>
        <w:pStyle w:val="ListParagraph"/>
        <w:numPr>
          <w:ilvl w:val="0"/>
          <w:numId w:val="1"/>
        </w:numPr>
        <w:spacing w:after="90" w:line="270"/>
      </w:pPr>
      <w:r>
        <w:rPr>
          <w:b/>
          <w:bCs/>
          <w:sz w:val="21"/>
          <w:szCs w:val="21"/>
        </w:rPr>
        <w:t xml:space="preserve">Regulated and compliant.  </w:t>
      </w:r>
      <w:r>
        <w:rPr>
          <w:sz w:val="21"/>
          <w:szCs w:val="21"/>
        </w:rPr>
        <w:t xml:space="preserve">Xendit is licensed by Bank Negara Malaysia (operating as Payex PLT) and is PCI-DSS compliant. Client funds are held by a supervised financial institution in regulated accounts — not on Zirclaire’s servers. The platform holds records of who is owed what; the actual money sits with the regulated provider.</w:t>
      </w:r>
    </w:p>
    <w:p>
      <w:pPr>
        <w:pStyle w:val="ListParagraph"/>
        <w:numPr>
          <w:ilvl w:val="0"/>
          <w:numId w:val="1"/>
        </w:numPr>
        <w:spacing w:after="90" w:line="270"/>
      </w:pPr>
      <w:r>
        <w:rPr>
          <w:b/>
          <w:bCs/>
          <w:sz w:val="21"/>
          <w:szCs w:val="21"/>
        </w:rPr>
        <w:t xml:space="preserve">Complete, two-sided coverage.  </w:t>
      </w:r>
      <w:r>
        <w:rPr>
          <w:sz w:val="21"/>
          <w:szCs w:val="21"/>
        </w:rPr>
        <w:t xml:space="preserve">Xendit handles both collection (FPX, cards, DuitNow and Touch ’n Go) and automated payouts to bank accounts and e-wallets, through one integration and one balance. Money collected sits in the platform’s Xendit balance and payouts are drawn from it — a single system of record and a single reconciliation, which maps directly onto the escrow model.</w:t>
      </w:r>
    </w:p>
    <w:p>
      <w:pPr>
        <w:pStyle w:val="ListParagraph"/>
        <w:numPr>
          <w:ilvl w:val="0"/>
          <w:numId w:val="1"/>
        </w:numPr>
        <w:spacing w:after="90" w:line="270"/>
      </w:pPr>
      <w:r>
        <w:rPr>
          <w:b/>
          <w:bCs/>
          <w:sz w:val="21"/>
          <w:szCs w:val="21"/>
        </w:rPr>
        <w:t xml:space="preserve">The local methods users expect.  </w:t>
      </w:r>
      <w:r>
        <w:rPr>
          <w:sz w:val="21"/>
          <w:szCs w:val="21"/>
        </w:rPr>
        <w:t xml:space="preserve">Requesters and providers in Malaysia can pay and be paid through the channels they already use, which reduces friction and failed transactions.</w:t>
      </w:r>
    </w:p>
    <w:p>
      <w:pPr>
        <w:pStyle w:val="ListParagraph"/>
        <w:numPr>
          <w:ilvl w:val="0"/>
          <w:numId w:val="1"/>
        </w:numPr>
        <w:spacing w:after="90" w:line="270"/>
      </w:pPr>
      <w:r>
        <w:rPr>
          <w:b/>
          <w:bCs/>
          <w:sz w:val="21"/>
          <w:szCs w:val="21"/>
        </w:rPr>
        <w:t xml:space="preserve">Built for automation.  </w:t>
      </w:r>
      <w:r>
        <w:rPr>
          <w:sz w:val="21"/>
          <w:szCs w:val="21"/>
        </w:rPr>
        <w:t xml:space="preserve">Xendit’s developer platform — its API, webhooks and safeguards — is the strongest in the region. This means payouts can be triggered automatically by events in Zirclaire, and it lowers both the time to build and the long-term cost to maintain.</w:t>
      </w:r>
    </w:p>
    <w:p>
      <w:pPr>
        <w:pStyle w:val="Heading1"/>
        <w:spacing w:after="120" w:before="260"/>
      </w:pPr>
      <w:r>
        <w:rPr>
          <w:b/>
          <w:bCs/>
          <w:color w:val="1F3A5F"/>
          <w:sz w:val="26"/>
          <w:szCs w:val="26"/>
        </w:rPr>
        <w:t xml:space="preserve">How funds move</w:t>
      </w:r>
    </w:p>
    <w:p>
      <w:pPr>
        <w:spacing w:after="140" w:line="276"/>
        <w:jc w:val="both"/>
      </w:pPr>
      <w:r>
        <w:rPr>
          <w:sz w:val="21"/>
          <w:szCs w:val="21"/>
        </w:rPr>
        <w:t xml:space="preserve">The flow is simple and closed. When a job is awarded, the requester funds it through Xendit and the money lands in Zirclaire’s Xendit balance, held in escrow. When the job is confirmed complete — either by the requester or automatically after a set window with no dispute — the system calculates the split from its own records, pays the provider’s share out to their bank or e-wallet, and leaves the platform fee in the balance. That accumulated fee is later settled to MORATT’s registered company bank account on a routine schedule. At no point does the platform handle cash directly; it instructs a regulated provider, which moves the money.</w:t>
      </w:r>
    </w:p>
    <w:p>
      <w:pPr>
        <w:pStyle w:val="Heading1"/>
        <w:spacing w:after="120" w:before="260"/>
      </w:pPr>
      <w:r>
        <w:rPr>
          <w:b/>
          <w:bCs/>
          <w:color w:val="1F3A5F"/>
          <w:sz w:val="26"/>
          <w:szCs w:val="26"/>
        </w:rPr>
        <w:t xml:space="preserve">Security: concerns and safeguards</w:t>
      </w:r>
    </w:p>
    <w:p>
      <w:pPr>
        <w:spacing w:after="140" w:line="276"/>
        <w:jc w:val="both"/>
      </w:pPr>
      <w:r>
        <w:rPr>
          <w:sz w:val="21"/>
          <w:szCs w:val="21"/>
        </w:rPr>
        <w:t xml:space="preserve">Holding funds on behalf of others is a serious responsibility, and it is right to scrutinise it. The design addresses this at every layer.</w:t>
      </w:r>
    </w:p>
    <w:p>
      <w:pPr>
        <w:spacing w:after="140" w:line="276"/>
        <w:jc w:val="both"/>
      </w:pPr>
      <w:r>
        <w:rPr>
          <w:b/>
          <w:bCs/>
          <w:sz w:val="21"/>
          <w:szCs w:val="21"/>
        </w:rPr>
        <w:t xml:space="preserve">The platform never holds the money. </w:t>
      </w:r>
      <w:r>
        <w:rPr>
          <w:sz w:val="21"/>
          <w:szCs w:val="21"/>
        </w:rPr>
        <w:t xml:space="preserve">Funds are held by Xendit, a Bank Negara–licensed, PCI-DSS-compliant institution, in regulated bank accounts. Zirclaire’s systems store only records — a ledger of entitlements — never cash.</w:t>
      </w:r>
    </w:p>
    <w:p>
      <w:pPr>
        <w:spacing w:after="140" w:line="276"/>
        <w:jc w:val="both"/>
      </w:pPr>
      <w:r>
        <w:rPr>
          <w:b/>
          <w:bCs/>
          <w:sz w:val="21"/>
          <w:szCs w:val="21"/>
        </w:rPr>
        <w:t xml:space="preserve">The website is never in the money path. </w:t>
      </w:r>
      <w:r>
        <w:rPr>
          <w:sz w:val="21"/>
          <w:szCs w:val="21"/>
        </w:rPr>
        <w:t xml:space="preserve">Moving money requires a secret key that exists only on the server, never in the browser or the database. As a result, a breach of the public website, or even of the platform’s database, cannot move funds: the means to instruct a payment is simply not present in those places.</w:t>
      </w:r>
    </w:p>
    <w:p>
      <w:pPr>
        <w:spacing w:after="140" w:line="276"/>
        <w:jc w:val="both"/>
      </w:pPr>
      <w:r>
        <w:rPr>
          <w:sz w:val="21"/>
          <w:szCs w:val="21"/>
        </w:rPr>
        <w:t xml:space="preserve">Beyond that, the following controls limit exposure even in a worst case:</w:t>
      </w:r>
    </w:p>
    <w:p>
      <w:pPr>
        <w:pStyle w:val="ListParagraph"/>
        <w:numPr>
          <w:ilvl w:val="0"/>
          <w:numId w:val="1"/>
        </w:numPr>
        <w:spacing w:after="90" w:line="270"/>
      </w:pPr>
      <w:r>
        <w:rPr>
          <w:b/>
          <w:bCs/>
          <w:sz w:val="21"/>
          <w:szCs w:val="21"/>
        </w:rPr>
        <w:t xml:space="preserve">Withdrawals are locked to a registered account.  </w:t>
      </w:r>
      <w:r>
        <w:rPr>
          <w:sz w:val="21"/>
          <w:szCs w:val="21"/>
        </w:rPr>
        <w:t xml:space="preserve">Funds can only be settled to MORATT’s pre-registered company bank account. Adding a new destination requires signing in to Xendit and passing its own verification, so funds cannot be redirected to a stranger.</w:t>
      </w:r>
    </w:p>
    <w:p>
      <w:pPr>
        <w:pStyle w:val="ListParagraph"/>
        <w:numPr>
          <w:ilvl w:val="0"/>
          <w:numId w:val="1"/>
        </w:numPr>
        <w:spacing w:after="90" w:line="270"/>
      </w:pPr>
      <w:r>
        <w:rPr>
          <w:b/>
          <w:bCs/>
          <w:sz w:val="21"/>
          <w:szCs w:val="21"/>
        </w:rPr>
        <w:t xml:space="preserve">Payout limits.  </w:t>
      </w:r>
      <w:r>
        <w:rPr>
          <w:sz w:val="21"/>
          <w:szCs w:val="21"/>
        </w:rPr>
        <w:t xml:space="preserve">Per-transaction and daily caps are set at the provider level, so no single event or breach can drain the balance at once.</w:t>
      </w:r>
    </w:p>
    <w:p>
      <w:pPr>
        <w:pStyle w:val="ListParagraph"/>
        <w:numPr>
          <w:ilvl w:val="0"/>
          <w:numId w:val="1"/>
        </w:numPr>
        <w:spacing w:after="90" w:line="270"/>
      </w:pPr>
      <w:r>
        <w:rPr>
          <w:b/>
          <w:bCs/>
          <w:sz w:val="21"/>
          <w:szCs w:val="21"/>
        </w:rPr>
        <w:t xml:space="preserve">Restricted, rotatable keys and two-factor access.  </w:t>
      </w:r>
      <w:r>
        <w:rPr>
          <w:sz w:val="21"/>
          <w:szCs w:val="21"/>
        </w:rPr>
        <w:t xml:space="preserve">API keys are least-privilege and can be rotated, and the Xendit dashboard is protected with two-factor authentication.</w:t>
      </w:r>
    </w:p>
    <w:p>
      <w:pPr>
        <w:pStyle w:val="ListParagraph"/>
        <w:numPr>
          <w:ilvl w:val="0"/>
          <w:numId w:val="1"/>
        </w:numPr>
        <w:spacing w:after="90" w:line="270"/>
      </w:pPr>
      <w:r>
        <w:rPr>
          <w:b/>
          <w:bCs/>
          <w:sz w:val="21"/>
          <w:szCs w:val="21"/>
        </w:rPr>
        <w:t xml:space="preserve">Verified, tamper-proof automation.  </w:t>
      </w:r>
      <w:r>
        <w:rPr>
          <w:sz w:val="21"/>
          <w:szCs w:val="21"/>
        </w:rPr>
        <w:t xml:space="preserve">Incoming payment confirmations are cryptographically signed and verified, so a forged “payment received” cannot be injected; and each payout carries a unique identifier so a repeated instruction can never pay twice.</w:t>
      </w:r>
    </w:p>
    <w:p>
      <w:pPr>
        <w:pStyle w:val="ListParagraph"/>
        <w:numPr>
          <w:ilvl w:val="0"/>
          <w:numId w:val="1"/>
        </w:numPr>
        <w:spacing w:after="90" w:line="270"/>
      </w:pPr>
      <w:r>
        <w:rPr>
          <w:b/>
          <w:bCs/>
          <w:sz w:val="21"/>
          <w:szCs w:val="21"/>
        </w:rPr>
        <w:t xml:space="preserve">A review window before funds leave.  </w:t>
      </w:r>
      <w:r>
        <w:rPr>
          <w:sz w:val="21"/>
          <w:szCs w:val="21"/>
        </w:rPr>
        <w:t xml:space="preserve">Payouts can be held for a buffer period (for example, 24 hours) during which an administrator can review and stop any transaction before the money is actually sent. Larger amounts can additionally require explicit approval.</w:t>
      </w:r>
    </w:p>
    <w:p>
      <w:pPr>
        <w:pStyle w:val="ListParagraph"/>
        <w:numPr>
          <w:ilvl w:val="0"/>
          <w:numId w:val="1"/>
        </w:numPr>
        <w:spacing w:after="90" w:line="270"/>
      </w:pPr>
      <w:r>
        <w:rPr>
          <w:b/>
          <w:bCs/>
          <w:sz w:val="21"/>
          <w:szCs w:val="21"/>
        </w:rPr>
        <w:t xml:space="preserve">Monitoring and reconciliation.  </w:t>
      </w:r>
      <w:r>
        <w:rPr>
          <w:sz w:val="21"/>
          <w:szCs w:val="21"/>
        </w:rPr>
        <w:t xml:space="preserve">Payouts trigger alerts, and the platform’s records are reconciled against the provider’s daily, so any discrepancy surfaces quickly.</w:t>
      </w:r>
    </w:p>
    <w:p>
      <w:pPr>
        <w:spacing w:after="140" w:line="276"/>
        <w:jc w:val="both"/>
      </w:pPr>
      <w:r>
        <w:rPr>
          <w:b/>
          <w:bCs/>
          <w:sz w:val="21"/>
          <w:szCs w:val="21"/>
        </w:rPr>
        <w:t xml:space="preserve">Exposure is bounded by design. </w:t>
      </w:r>
      <w:r>
        <w:rPr>
          <w:sz w:val="21"/>
          <w:szCs w:val="21"/>
        </w:rPr>
        <w:t xml:space="preserve">The platform only ever holds in-flight escrow for active jobs, and platform fees are settled to the company bank on a short cycle. The balance held at any moment is therefore limited, not an ever-growing pool.</w:t>
      </w:r>
    </w:p>
    <w:p>
      <w:pPr>
        <w:pStyle w:val="Heading1"/>
        <w:spacing w:after="120" w:before="260"/>
      </w:pPr>
      <w:r>
        <w:rPr>
          <w:b/>
          <w:bCs/>
          <w:color w:val="1F3A5F"/>
          <w:sz w:val="26"/>
          <w:szCs w:val="26"/>
        </w:rPr>
        <w:t xml:space="preserve">Alternatives considered</w:t>
      </w:r>
    </w:p>
    <w:p>
      <w:pPr>
        <w:spacing w:after="140" w:line="276"/>
        <w:jc w:val="both"/>
      </w:pPr>
      <w:r>
        <w:rPr>
          <w:sz w:val="21"/>
          <w:szCs w:val="21"/>
        </w:rPr>
        <w:t xml:space="preserve">Other Malaysian providers are strong at accepting payments but weaker at the automated payout side that Zirclaire depends on — choosing one would likely mean running a second vendor for disbursement and reconciling between them. An international option such as Stripe offers an excellent developer experience but cannot perform cross-border provider payouts from a Malaysia-based platform, and requires each provider to complete a separate onboarding before they can be paid. Xendit is the only option that covers collection and automated local payouts cleanly under one regulated roof.</w:t>
      </w:r>
    </w:p>
    <w:p>
      <w:pPr>
        <w:pStyle w:val="Heading1"/>
        <w:spacing w:after="120" w:before="260"/>
      </w:pPr>
      <w:r>
        <w:rPr>
          <w:b/>
          <w:bCs/>
          <w:color w:val="1F3A5F"/>
          <w:sz w:val="26"/>
          <w:szCs w:val="26"/>
        </w:rPr>
        <w:t xml:space="preserve">Recommendation</w:t>
      </w:r>
    </w:p>
    <w:p>
      <w:pPr>
        <w:spacing w:after="140" w:line="276"/>
        <w:jc w:val="both"/>
      </w:pPr>
      <w:r>
        <w:rPr>
          <w:sz w:val="21"/>
          <w:szCs w:val="21"/>
        </w:rPr>
        <w:t xml:space="preserve">We recommend adopting </w:t>
      </w:r>
      <w:r>
        <w:rPr>
          <w:b/>
          <w:bCs/>
          <w:sz w:val="21"/>
          <w:szCs w:val="21"/>
        </w:rPr>
        <w:t xml:space="preserve">Xendit</w:t>
      </w:r>
      <w:r>
        <w:rPr>
          <w:sz w:val="21"/>
          <w:szCs w:val="21"/>
        </w:rPr>
        <w:t xml:space="preserve"> as Zirclaire’s payment service provider. It is regulated, locally complete, automation-ready, and its security model keeps client funds with a supervised institution while giving the platform strong, layered controls over how and when money moves. It is the safest and most efficient foundation for Zirclaire’s escrow payments, and it can be integrated and tested in full before going live.</w:t>
      </w:r>
    </w:p>
    <w:sectPr>
      <w:footerReference w:type="default" r:id="rId7"/>
      <w:pgSz w:w="11906" w:h="16838" w:orient="portrait"/>
      <w:pgMar w:top="1100" w:right="1200" w:bottom="11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55555"/>
        <w:sz w:val="16"/>
        <w:szCs w:val="16"/>
      </w:rPr>
      <w:t xml:space="preserve">MORATT INC  ·  Zirclaire  ·  Confidential</w:t>
    </w:r>
    <w:r>
      <w:rPr>
        <w:color w:val="555555"/>
        <w:sz w:val="16"/>
        <w:szCs w:val="16"/>
      </w:rPr>
      <w:t xml:space="preserve">     Page </w:t>
    </w:r>
    <w:r>
      <w:rPr>
        <w:color w:val="555555"/>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Payment Infrastructure Recommendation — Zirclaire</dc:title>
  <dc:creator>MORATT INC</dc:creator>
  <cp:lastModifiedBy>Un-named</cp:lastModifiedBy>
  <cp:revision>1</cp:revision>
  <dcterms:created xsi:type="dcterms:W3CDTF">2026-08-11T06:29:08.110Z</dcterms:created>
  <dcterms:modified xsi:type="dcterms:W3CDTF">2026-08-11T06:29:08.110Z</dcterms:modified>
</cp:coreProperties>
</file>

<file path=docProps/custom.xml><?xml version="1.0" encoding="utf-8"?>
<Properties xmlns="http://schemas.openxmlformats.org/officeDocument/2006/custom-properties" xmlns:vt="http://schemas.openxmlformats.org/officeDocument/2006/docPropsVTypes"/>
</file>