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2F6AC7" w14:textId="77777777" w:rsidR="00897705" w:rsidRDefault="00000000">
      <w:pPr>
        <w:spacing w:beforeLines="200" w:before="624"/>
        <w:jc w:val="center"/>
        <w:rPr>
          <w:rFonts w:ascii="黑体" w:eastAsia="黑体" w:hAnsi="黑体"/>
          <w:sz w:val="48"/>
          <w:szCs w:val="48"/>
        </w:rPr>
      </w:pPr>
      <w:r>
        <w:rPr>
          <w:rFonts w:hint="eastAsia"/>
          <w:noProof/>
          <w:sz w:val="16"/>
          <w:szCs w:val="20"/>
        </w:rPr>
        <w:drawing>
          <wp:anchor distT="0" distB="0" distL="114300" distR="114300" simplePos="0" relativeHeight="251659264" behindDoc="0" locked="0" layoutInCell="1" allowOverlap="1" wp14:anchorId="01C2B0CA" wp14:editId="2504DCDF">
            <wp:simplePos x="0" y="0"/>
            <wp:positionH relativeFrom="margin">
              <wp:posOffset>1275715</wp:posOffset>
            </wp:positionH>
            <wp:positionV relativeFrom="paragraph">
              <wp:posOffset>614045</wp:posOffset>
            </wp:positionV>
            <wp:extent cx="3028950" cy="848995"/>
            <wp:effectExtent l="0" t="0" r="0" b="8255"/>
            <wp:wrapTopAndBottom/>
            <wp:docPr id="2" name="图片 2" descr="5标志与中文校名组合规范 [转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标志与中文校名组合规范 [转换]"/>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028950" cy="848995"/>
                    </a:xfrm>
                    <a:prstGeom prst="rect">
                      <a:avLst/>
                    </a:prstGeom>
                    <a:noFill/>
                    <a:ln>
                      <a:noFill/>
                    </a:ln>
                  </pic:spPr>
                </pic:pic>
              </a:graphicData>
            </a:graphic>
          </wp:anchor>
        </w:drawing>
      </w:r>
      <w:r>
        <w:rPr>
          <w:rFonts w:ascii="黑体" w:eastAsia="黑体" w:hAnsi="黑体" w:hint="eastAsia"/>
          <w:sz w:val="48"/>
          <w:szCs w:val="48"/>
        </w:rPr>
        <w:t>管理科学 课程论文 第三组</w:t>
      </w:r>
    </w:p>
    <w:p w14:paraId="23204390" w14:textId="77777777" w:rsidR="00897705" w:rsidRDefault="00897705">
      <w:pPr>
        <w:spacing w:beforeLines="200" w:before="624"/>
        <w:jc w:val="center"/>
        <w:rPr>
          <w:rFonts w:ascii="黑体" w:eastAsia="黑体" w:hAnsi="黑体"/>
          <w:sz w:val="40"/>
          <w:szCs w:val="40"/>
        </w:rPr>
      </w:pPr>
    </w:p>
    <w:p w14:paraId="27CCBB0A" w14:textId="77777777" w:rsidR="00897705" w:rsidRDefault="00897705">
      <w:pPr>
        <w:spacing w:beforeLines="200" w:before="624"/>
        <w:jc w:val="center"/>
        <w:rPr>
          <w:rFonts w:ascii="黑体" w:eastAsia="黑体" w:hAnsi="黑体"/>
          <w:sz w:val="40"/>
          <w:szCs w:val="40"/>
        </w:rPr>
      </w:pPr>
    </w:p>
    <w:p w14:paraId="74302C4C" w14:textId="77777777" w:rsidR="00897705" w:rsidRDefault="00000000">
      <w:pPr>
        <w:spacing w:beforeLines="50" w:before="156"/>
        <w:jc w:val="center"/>
        <w:rPr>
          <w:rFonts w:ascii="黑体" w:eastAsia="黑体" w:hAnsi="黑体"/>
          <w:b/>
          <w:bCs/>
          <w:sz w:val="48"/>
          <w:szCs w:val="48"/>
        </w:rPr>
      </w:pPr>
      <w:r>
        <w:rPr>
          <w:rFonts w:ascii="黑体" w:eastAsia="黑体" w:hAnsi="黑体" w:hint="eastAsia"/>
          <w:b/>
          <w:bCs/>
          <w:sz w:val="48"/>
          <w:szCs w:val="48"/>
        </w:rPr>
        <w:t>关键时点下的结构性变化：</w:t>
      </w:r>
    </w:p>
    <w:p w14:paraId="77204C41" w14:textId="77777777" w:rsidR="00897705" w:rsidRDefault="00000000">
      <w:pPr>
        <w:spacing w:beforeLines="50" w:before="156"/>
        <w:jc w:val="center"/>
        <w:rPr>
          <w:rFonts w:ascii="黑体" w:eastAsia="黑体" w:hAnsi="黑体"/>
          <w:b/>
          <w:bCs/>
          <w:sz w:val="40"/>
          <w:szCs w:val="40"/>
        </w:rPr>
      </w:pPr>
      <w:r>
        <w:rPr>
          <w:rFonts w:ascii="黑体" w:eastAsia="黑体" w:hAnsi="黑体" w:hint="eastAsia"/>
          <w:b/>
          <w:bCs/>
          <w:sz w:val="40"/>
          <w:szCs w:val="40"/>
        </w:rPr>
        <w:t>基于方向距离函数和断点回归的二氧化碳减排</w:t>
      </w:r>
    </w:p>
    <w:p w14:paraId="2D1A4224" w14:textId="77777777" w:rsidR="00897705" w:rsidRDefault="00000000">
      <w:pPr>
        <w:jc w:val="center"/>
        <w:rPr>
          <w:rFonts w:ascii="黑体" w:eastAsia="黑体" w:hAnsi="黑体"/>
          <w:b/>
          <w:bCs/>
          <w:sz w:val="40"/>
          <w:szCs w:val="40"/>
        </w:rPr>
      </w:pPr>
      <w:r>
        <w:rPr>
          <w:rFonts w:ascii="黑体" w:eastAsia="黑体" w:hAnsi="黑体" w:hint="eastAsia"/>
          <w:b/>
          <w:bCs/>
          <w:sz w:val="40"/>
          <w:szCs w:val="40"/>
        </w:rPr>
        <w:t>相关政策与事件研究</w:t>
      </w:r>
    </w:p>
    <w:p w14:paraId="6368218A" w14:textId="77777777" w:rsidR="00897705" w:rsidRDefault="00897705">
      <w:pPr>
        <w:spacing w:line="300" w:lineRule="auto"/>
        <w:rPr>
          <w:rFonts w:ascii="宋体" w:hAnsi="宋体"/>
        </w:rPr>
      </w:pPr>
    </w:p>
    <w:p w14:paraId="2CDB8965" w14:textId="77777777" w:rsidR="00897705" w:rsidRDefault="00897705">
      <w:pPr>
        <w:spacing w:line="300" w:lineRule="auto"/>
        <w:rPr>
          <w:rFonts w:ascii="黑体" w:eastAsia="黑体" w:hAnsi="黑体" w:cs="MS Mincho"/>
          <w:sz w:val="32"/>
          <w:szCs w:val="32"/>
        </w:rPr>
      </w:pPr>
    </w:p>
    <w:p w14:paraId="7D32AE7F" w14:textId="77777777" w:rsidR="00897705" w:rsidRDefault="00897705">
      <w:pPr>
        <w:spacing w:line="300" w:lineRule="auto"/>
        <w:rPr>
          <w:rFonts w:ascii="黑体" w:eastAsia="黑体" w:hAnsi="黑体" w:cs="MS Mincho"/>
          <w:sz w:val="32"/>
          <w:szCs w:val="32"/>
        </w:rPr>
      </w:pPr>
    </w:p>
    <w:p w14:paraId="1C5D30EE" w14:textId="77777777" w:rsidR="00897705" w:rsidRDefault="00000000">
      <w:pPr>
        <w:spacing w:line="300" w:lineRule="auto"/>
        <w:jc w:val="center"/>
        <w:rPr>
          <w:rFonts w:ascii="黑体" w:eastAsia="黑体" w:hAnsi="黑体" w:cs="MS Mincho"/>
          <w:sz w:val="32"/>
          <w:szCs w:val="32"/>
        </w:rPr>
      </w:pPr>
      <w:r>
        <w:rPr>
          <w:rFonts w:ascii="黑体" w:eastAsia="黑体" w:hAnsi="黑体" w:cs="MS Mincho" w:hint="eastAsia"/>
          <w:sz w:val="32"/>
          <w:szCs w:val="32"/>
        </w:rPr>
        <w:t>- 小组成员 -</w:t>
      </w:r>
    </w:p>
    <w:p w14:paraId="3E2AD86D" w14:textId="77777777" w:rsidR="00897705" w:rsidRDefault="00000000">
      <w:pPr>
        <w:spacing w:line="300" w:lineRule="auto"/>
        <w:jc w:val="center"/>
        <w:rPr>
          <w:rFonts w:ascii="黑体" w:eastAsia="黑体" w:hAnsi="黑体" w:cs="MS Mincho"/>
          <w:sz w:val="32"/>
          <w:szCs w:val="32"/>
        </w:rPr>
      </w:pPr>
      <w:r>
        <w:rPr>
          <w:rFonts w:ascii="黑体" w:eastAsia="黑体" w:hAnsi="黑体" w:cs="MS Mincho" w:hint="eastAsia"/>
          <w:sz w:val="32"/>
          <w:szCs w:val="32"/>
        </w:rPr>
        <w:t xml:space="preserve">马梓飒  王翊扬  徐俐欣  杨  苗  </w:t>
      </w:r>
    </w:p>
    <w:p w14:paraId="0CBDAFC2" w14:textId="77777777" w:rsidR="00897705" w:rsidRDefault="00000000">
      <w:pPr>
        <w:spacing w:line="300" w:lineRule="auto"/>
        <w:jc w:val="center"/>
        <w:rPr>
          <w:rFonts w:ascii="黑体" w:eastAsia="黑体" w:hAnsi="黑体" w:cs="MS Mincho"/>
          <w:sz w:val="32"/>
          <w:szCs w:val="32"/>
        </w:rPr>
      </w:pPr>
      <w:r>
        <w:rPr>
          <w:rFonts w:ascii="黑体" w:eastAsia="黑体" w:hAnsi="黑体" w:cs="MS Mincho" w:hint="eastAsia"/>
          <w:sz w:val="32"/>
          <w:szCs w:val="32"/>
        </w:rPr>
        <w:t xml:space="preserve">尹欣然  周  </w:t>
      </w:r>
      <w:proofErr w:type="gramStart"/>
      <w:r>
        <w:rPr>
          <w:rFonts w:ascii="黑体" w:eastAsia="黑体" w:hAnsi="黑体" w:cs="MS Mincho" w:hint="eastAsia"/>
          <w:sz w:val="32"/>
          <w:szCs w:val="32"/>
        </w:rPr>
        <w:t>睿</w:t>
      </w:r>
      <w:proofErr w:type="gramEnd"/>
      <w:r>
        <w:rPr>
          <w:rFonts w:ascii="黑体" w:eastAsia="黑体" w:hAnsi="黑体" w:cs="MS Mincho" w:hint="eastAsia"/>
          <w:sz w:val="32"/>
          <w:szCs w:val="32"/>
        </w:rPr>
        <w:t xml:space="preserve">  张  </w:t>
      </w:r>
      <w:proofErr w:type="gramStart"/>
      <w:r>
        <w:rPr>
          <w:rFonts w:ascii="黑体" w:eastAsia="黑体" w:hAnsi="黑体" w:cs="MS Mincho" w:hint="eastAsia"/>
          <w:sz w:val="32"/>
          <w:szCs w:val="32"/>
        </w:rPr>
        <w:t>朔</w:t>
      </w:r>
      <w:proofErr w:type="gramEnd"/>
      <w:r>
        <w:rPr>
          <w:rFonts w:ascii="黑体" w:eastAsia="黑体" w:hAnsi="黑体" w:cs="MS Mincho" w:hint="eastAsia"/>
          <w:sz w:val="32"/>
          <w:szCs w:val="32"/>
        </w:rPr>
        <w:t xml:space="preserve">  赵煜宁</w:t>
      </w:r>
    </w:p>
    <w:p w14:paraId="640C5701" w14:textId="77777777" w:rsidR="00897705" w:rsidRDefault="00897705">
      <w:pPr>
        <w:spacing w:line="300" w:lineRule="auto"/>
        <w:jc w:val="center"/>
        <w:rPr>
          <w:rFonts w:ascii="黑体" w:eastAsia="黑体" w:hAnsi="黑体" w:cs="MS Mincho"/>
          <w:sz w:val="32"/>
          <w:szCs w:val="32"/>
        </w:rPr>
      </w:pPr>
    </w:p>
    <w:p w14:paraId="48729DAD" w14:textId="77777777" w:rsidR="00897705" w:rsidRDefault="00897705">
      <w:pPr>
        <w:spacing w:line="300" w:lineRule="auto"/>
        <w:jc w:val="center"/>
        <w:rPr>
          <w:rFonts w:ascii="黑体" w:eastAsia="黑体" w:hAnsi="黑体" w:cs="MS Mincho"/>
          <w:sz w:val="32"/>
          <w:szCs w:val="32"/>
        </w:rPr>
      </w:pPr>
    </w:p>
    <w:p w14:paraId="7017C74B" w14:textId="77777777" w:rsidR="00897705" w:rsidRDefault="00000000">
      <w:pPr>
        <w:spacing w:line="300" w:lineRule="auto"/>
        <w:jc w:val="center"/>
        <w:rPr>
          <w:rFonts w:ascii="黑体" w:eastAsia="黑体" w:hAnsi="黑体"/>
          <w:b/>
        </w:rPr>
      </w:pPr>
      <w:r>
        <w:rPr>
          <w:rFonts w:ascii="黑体" w:eastAsia="黑体" w:hAnsi="黑体" w:cs="MS Mincho"/>
          <w:sz w:val="32"/>
          <w:szCs w:val="32"/>
        </w:rPr>
        <w:t>二〇</w:t>
      </w:r>
      <w:r>
        <w:rPr>
          <w:rFonts w:ascii="黑体" w:eastAsia="黑体" w:hAnsi="黑体" w:cs="MS Mincho" w:hint="eastAsia"/>
          <w:sz w:val="32"/>
          <w:szCs w:val="32"/>
        </w:rPr>
        <w:t>二三</w:t>
      </w:r>
      <w:r>
        <w:rPr>
          <w:rFonts w:ascii="黑体" w:eastAsia="黑体" w:hAnsi="黑体" w:hint="eastAsia"/>
          <w:sz w:val="32"/>
          <w:szCs w:val="32"/>
        </w:rPr>
        <w:t>年十二月</w:t>
      </w:r>
    </w:p>
    <w:p w14:paraId="5B457318" w14:textId="77777777" w:rsidR="00897705" w:rsidRDefault="00897705">
      <w:pPr>
        <w:tabs>
          <w:tab w:val="left" w:pos="653"/>
        </w:tabs>
        <w:jc w:val="left"/>
        <w:sectPr w:rsidR="00897705">
          <w:headerReference w:type="even" r:id="rId9"/>
          <w:headerReference w:type="default" r:id="rId10"/>
          <w:footerReference w:type="even" r:id="rId11"/>
          <w:footerReference w:type="default" r:id="rId12"/>
          <w:headerReference w:type="first" r:id="rId13"/>
          <w:footerReference w:type="first" r:id="rId14"/>
          <w:pgSz w:w="11906" w:h="16838"/>
          <w:pgMar w:top="1440" w:right="1559" w:bottom="1440" w:left="1559" w:header="851" w:footer="992" w:gutter="0"/>
          <w:pgNumType w:fmt="upperRoman" w:start="1"/>
          <w:cols w:space="425"/>
          <w:docGrid w:type="lines" w:linePitch="312"/>
        </w:sectPr>
      </w:pPr>
    </w:p>
    <w:sdt>
      <w:sdtPr>
        <w:rPr>
          <w:rFonts w:ascii="楷体" w:eastAsia="楷体" w:hAnsi="楷体" w:cs="楷体" w:hint="eastAsia"/>
          <w:sz w:val="28"/>
          <w:szCs w:val="28"/>
        </w:rPr>
        <w:id w:val="147458546"/>
        <w15:color w:val="DBDBDB"/>
        <w:docPartObj>
          <w:docPartGallery w:val="Table of Contents"/>
          <w:docPartUnique/>
        </w:docPartObj>
      </w:sdtPr>
      <w:sdtContent>
        <w:p w14:paraId="125D3A76" w14:textId="77777777" w:rsidR="00897705" w:rsidRDefault="00000000">
          <w:pPr>
            <w:spacing w:line="240" w:lineRule="auto"/>
            <w:jc w:val="center"/>
            <w:rPr>
              <w:rFonts w:ascii="楷体" w:eastAsia="楷体" w:hAnsi="楷体" w:cs="楷体"/>
              <w:sz w:val="28"/>
              <w:szCs w:val="28"/>
            </w:rPr>
          </w:pPr>
          <w:r>
            <w:rPr>
              <w:rFonts w:ascii="楷体" w:eastAsia="楷体" w:hAnsi="楷体" w:cs="楷体" w:hint="eastAsia"/>
              <w:sz w:val="28"/>
              <w:szCs w:val="28"/>
            </w:rPr>
            <w:t>目 录</w:t>
          </w:r>
        </w:p>
        <w:p w14:paraId="5243DED1" w14:textId="68F6F58E" w:rsidR="003825DF" w:rsidRPr="003825DF" w:rsidRDefault="00000000" w:rsidP="003825DF">
          <w:pPr>
            <w:pStyle w:val="TOC1"/>
            <w:tabs>
              <w:tab w:val="right" w:leader="dot" w:pos="8778"/>
            </w:tabs>
            <w:spacing w:line="276" w:lineRule="auto"/>
            <w:rPr>
              <w:rFonts w:ascii="楷体" w:eastAsia="楷体" w:hAnsi="楷体"/>
              <w:noProof/>
              <w:sz w:val="21"/>
              <w:szCs w:val="22"/>
            </w:rPr>
          </w:pPr>
          <w:r>
            <w:rPr>
              <w:rFonts w:ascii="楷体" w:eastAsia="楷体" w:hAnsi="楷体" w:cs="楷体" w:hint="eastAsia"/>
            </w:rPr>
            <w:fldChar w:fldCharType="begin"/>
          </w:r>
          <w:r>
            <w:rPr>
              <w:rFonts w:ascii="楷体" w:eastAsia="楷体" w:hAnsi="楷体" w:cs="楷体" w:hint="eastAsia"/>
            </w:rPr>
            <w:instrText xml:space="preserve">TOC \o "1-3" \h \u </w:instrText>
          </w:r>
          <w:r>
            <w:rPr>
              <w:rFonts w:ascii="楷体" w:eastAsia="楷体" w:hAnsi="楷体" w:cs="楷体" w:hint="eastAsia"/>
            </w:rPr>
            <w:fldChar w:fldCharType="separate"/>
          </w:r>
          <w:hyperlink w:anchor="_Toc154908710" w:history="1">
            <w:r w:rsidR="003825DF" w:rsidRPr="003825DF">
              <w:rPr>
                <w:rStyle w:val="af0"/>
                <w:rFonts w:ascii="楷体" w:eastAsia="楷体" w:hAnsi="楷体"/>
                <w:noProof/>
                <w:sz w:val="22"/>
                <w:szCs w:val="22"/>
              </w:rPr>
              <w:t>一、 引言</w:t>
            </w:r>
            <w:r w:rsidR="003825DF" w:rsidRPr="003825DF">
              <w:rPr>
                <w:rFonts w:ascii="楷体" w:eastAsia="楷体" w:hAnsi="楷体"/>
                <w:noProof/>
                <w:sz w:val="22"/>
                <w:szCs w:val="22"/>
              </w:rPr>
              <w:tab/>
            </w:r>
            <w:r w:rsidR="003825DF" w:rsidRPr="003825DF">
              <w:rPr>
                <w:rFonts w:ascii="楷体" w:eastAsia="楷体" w:hAnsi="楷体"/>
                <w:noProof/>
                <w:sz w:val="22"/>
                <w:szCs w:val="22"/>
              </w:rPr>
              <w:fldChar w:fldCharType="begin"/>
            </w:r>
            <w:r w:rsidR="003825DF" w:rsidRPr="003825DF">
              <w:rPr>
                <w:rFonts w:ascii="楷体" w:eastAsia="楷体" w:hAnsi="楷体"/>
                <w:noProof/>
                <w:sz w:val="22"/>
                <w:szCs w:val="22"/>
              </w:rPr>
              <w:instrText xml:space="preserve"> PAGEREF _Toc154908710 \h </w:instrText>
            </w:r>
            <w:r w:rsidR="003825DF" w:rsidRPr="003825DF">
              <w:rPr>
                <w:rFonts w:ascii="楷体" w:eastAsia="楷体" w:hAnsi="楷体"/>
                <w:noProof/>
                <w:sz w:val="22"/>
                <w:szCs w:val="22"/>
              </w:rPr>
            </w:r>
            <w:r w:rsidR="003825DF" w:rsidRPr="003825DF">
              <w:rPr>
                <w:rFonts w:ascii="楷体" w:eastAsia="楷体" w:hAnsi="楷体"/>
                <w:noProof/>
                <w:sz w:val="22"/>
                <w:szCs w:val="22"/>
              </w:rPr>
              <w:fldChar w:fldCharType="separate"/>
            </w:r>
            <w:r w:rsidR="0069698C">
              <w:rPr>
                <w:rFonts w:ascii="楷体" w:eastAsia="楷体" w:hAnsi="楷体"/>
                <w:noProof/>
                <w:sz w:val="22"/>
                <w:szCs w:val="22"/>
              </w:rPr>
              <w:t>1</w:t>
            </w:r>
            <w:r w:rsidR="003825DF" w:rsidRPr="003825DF">
              <w:rPr>
                <w:rFonts w:ascii="楷体" w:eastAsia="楷体" w:hAnsi="楷体"/>
                <w:noProof/>
                <w:sz w:val="22"/>
                <w:szCs w:val="22"/>
              </w:rPr>
              <w:fldChar w:fldCharType="end"/>
            </w:r>
          </w:hyperlink>
        </w:p>
        <w:p w14:paraId="10C7EB3E" w14:textId="080D07DE" w:rsidR="003825DF" w:rsidRPr="003825DF" w:rsidRDefault="003825DF" w:rsidP="003825DF">
          <w:pPr>
            <w:pStyle w:val="TOC1"/>
            <w:tabs>
              <w:tab w:val="right" w:leader="dot" w:pos="8778"/>
            </w:tabs>
            <w:spacing w:line="276" w:lineRule="auto"/>
            <w:rPr>
              <w:rFonts w:ascii="楷体" w:eastAsia="楷体" w:hAnsi="楷体"/>
              <w:noProof/>
              <w:sz w:val="21"/>
              <w:szCs w:val="22"/>
            </w:rPr>
          </w:pPr>
          <w:hyperlink w:anchor="_Toc154908711" w:history="1">
            <w:r w:rsidRPr="003825DF">
              <w:rPr>
                <w:rStyle w:val="af0"/>
                <w:rFonts w:ascii="楷体" w:eastAsia="楷体" w:hAnsi="楷体"/>
                <w:noProof/>
                <w:sz w:val="22"/>
                <w:szCs w:val="22"/>
              </w:rPr>
              <w:t>二、 文献综述</w:t>
            </w:r>
            <w:r w:rsidRPr="003825DF">
              <w:rPr>
                <w:rFonts w:ascii="楷体" w:eastAsia="楷体" w:hAnsi="楷体"/>
                <w:noProof/>
                <w:sz w:val="22"/>
                <w:szCs w:val="22"/>
              </w:rPr>
              <w:tab/>
            </w:r>
            <w:r w:rsidRPr="003825DF">
              <w:rPr>
                <w:rFonts w:ascii="楷体" w:eastAsia="楷体" w:hAnsi="楷体"/>
                <w:noProof/>
                <w:sz w:val="22"/>
                <w:szCs w:val="22"/>
              </w:rPr>
              <w:fldChar w:fldCharType="begin"/>
            </w:r>
            <w:r w:rsidRPr="003825DF">
              <w:rPr>
                <w:rFonts w:ascii="楷体" w:eastAsia="楷体" w:hAnsi="楷体"/>
                <w:noProof/>
                <w:sz w:val="22"/>
                <w:szCs w:val="22"/>
              </w:rPr>
              <w:instrText xml:space="preserve"> PAGEREF _Toc154908711 \h </w:instrText>
            </w:r>
            <w:r w:rsidRPr="003825DF">
              <w:rPr>
                <w:rFonts w:ascii="楷体" w:eastAsia="楷体" w:hAnsi="楷体"/>
                <w:noProof/>
                <w:sz w:val="22"/>
                <w:szCs w:val="22"/>
              </w:rPr>
            </w:r>
            <w:r w:rsidRPr="003825DF">
              <w:rPr>
                <w:rFonts w:ascii="楷体" w:eastAsia="楷体" w:hAnsi="楷体"/>
                <w:noProof/>
                <w:sz w:val="22"/>
                <w:szCs w:val="22"/>
              </w:rPr>
              <w:fldChar w:fldCharType="separate"/>
            </w:r>
            <w:r w:rsidR="0069698C">
              <w:rPr>
                <w:rFonts w:ascii="楷体" w:eastAsia="楷体" w:hAnsi="楷体"/>
                <w:noProof/>
                <w:sz w:val="22"/>
                <w:szCs w:val="22"/>
              </w:rPr>
              <w:t>3</w:t>
            </w:r>
            <w:r w:rsidRPr="003825DF">
              <w:rPr>
                <w:rFonts w:ascii="楷体" w:eastAsia="楷体" w:hAnsi="楷体"/>
                <w:noProof/>
                <w:sz w:val="22"/>
                <w:szCs w:val="22"/>
              </w:rPr>
              <w:fldChar w:fldCharType="end"/>
            </w:r>
          </w:hyperlink>
        </w:p>
        <w:p w14:paraId="609871E7" w14:textId="767BB9FC" w:rsidR="003825DF" w:rsidRPr="003825DF" w:rsidRDefault="003825DF" w:rsidP="003825DF">
          <w:pPr>
            <w:pStyle w:val="TOC2"/>
            <w:tabs>
              <w:tab w:val="right" w:leader="dot" w:pos="8778"/>
            </w:tabs>
            <w:spacing w:line="276" w:lineRule="auto"/>
            <w:ind w:left="480"/>
            <w:rPr>
              <w:rFonts w:ascii="楷体" w:eastAsia="楷体" w:hAnsi="楷体"/>
              <w:noProof/>
              <w:sz w:val="21"/>
              <w:szCs w:val="22"/>
            </w:rPr>
          </w:pPr>
          <w:hyperlink w:anchor="_Toc154908712" w:history="1">
            <w:r w:rsidRPr="003825DF">
              <w:rPr>
                <w:rStyle w:val="af0"/>
                <w:rFonts w:ascii="楷体" w:eastAsia="楷体" w:hAnsi="楷体"/>
                <w:noProof/>
                <w:sz w:val="22"/>
                <w:szCs w:val="22"/>
              </w:rPr>
              <w:t>（一） 二氧化碳影子价格计算</w:t>
            </w:r>
            <w:r w:rsidRPr="003825DF">
              <w:rPr>
                <w:rFonts w:ascii="楷体" w:eastAsia="楷体" w:hAnsi="楷体"/>
                <w:noProof/>
                <w:sz w:val="22"/>
                <w:szCs w:val="22"/>
              </w:rPr>
              <w:tab/>
            </w:r>
            <w:r w:rsidRPr="003825DF">
              <w:rPr>
                <w:rFonts w:ascii="楷体" w:eastAsia="楷体" w:hAnsi="楷体"/>
                <w:noProof/>
                <w:sz w:val="22"/>
                <w:szCs w:val="22"/>
              </w:rPr>
              <w:fldChar w:fldCharType="begin"/>
            </w:r>
            <w:r w:rsidRPr="003825DF">
              <w:rPr>
                <w:rFonts w:ascii="楷体" w:eastAsia="楷体" w:hAnsi="楷体"/>
                <w:noProof/>
                <w:sz w:val="22"/>
                <w:szCs w:val="22"/>
              </w:rPr>
              <w:instrText xml:space="preserve"> PAGEREF _Toc154908712 \h </w:instrText>
            </w:r>
            <w:r w:rsidRPr="003825DF">
              <w:rPr>
                <w:rFonts w:ascii="楷体" w:eastAsia="楷体" w:hAnsi="楷体"/>
                <w:noProof/>
                <w:sz w:val="22"/>
                <w:szCs w:val="22"/>
              </w:rPr>
            </w:r>
            <w:r w:rsidRPr="003825DF">
              <w:rPr>
                <w:rFonts w:ascii="楷体" w:eastAsia="楷体" w:hAnsi="楷体"/>
                <w:noProof/>
                <w:sz w:val="22"/>
                <w:szCs w:val="22"/>
              </w:rPr>
              <w:fldChar w:fldCharType="separate"/>
            </w:r>
            <w:r w:rsidR="0069698C">
              <w:rPr>
                <w:rFonts w:ascii="楷体" w:eastAsia="楷体" w:hAnsi="楷体"/>
                <w:noProof/>
                <w:sz w:val="22"/>
                <w:szCs w:val="22"/>
              </w:rPr>
              <w:t>3</w:t>
            </w:r>
            <w:r w:rsidRPr="003825DF">
              <w:rPr>
                <w:rFonts w:ascii="楷体" w:eastAsia="楷体" w:hAnsi="楷体"/>
                <w:noProof/>
                <w:sz w:val="22"/>
                <w:szCs w:val="22"/>
              </w:rPr>
              <w:fldChar w:fldCharType="end"/>
            </w:r>
          </w:hyperlink>
        </w:p>
        <w:p w14:paraId="53569697" w14:textId="69A7C21E" w:rsidR="003825DF" w:rsidRPr="003825DF" w:rsidRDefault="003825DF" w:rsidP="003825DF">
          <w:pPr>
            <w:pStyle w:val="TOC1"/>
            <w:tabs>
              <w:tab w:val="right" w:leader="dot" w:pos="8778"/>
            </w:tabs>
            <w:spacing w:line="276" w:lineRule="auto"/>
            <w:rPr>
              <w:rFonts w:ascii="楷体" w:eastAsia="楷体" w:hAnsi="楷体"/>
              <w:noProof/>
              <w:sz w:val="21"/>
              <w:szCs w:val="22"/>
            </w:rPr>
          </w:pPr>
          <w:hyperlink w:anchor="_Toc154908713" w:history="1">
            <w:r w:rsidRPr="003825DF">
              <w:rPr>
                <w:rStyle w:val="af0"/>
                <w:rFonts w:ascii="楷体" w:eastAsia="楷体" w:hAnsi="楷体"/>
                <w:noProof/>
                <w:sz w:val="22"/>
                <w:szCs w:val="22"/>
              </w:rPr>
              <w:t>三、 研究方法</w:t>
            </w:r>
            <w:r w:rsidRPr="003825DF">
              <w:rPr>
                <w:rFonts w:ascii="楷体" w:eastAsia="楷体" w:hAnsi="楷体"/>
                <w:noProof/>
                <w:sz w:val="22"/>
                <w:szCs w:val="22"/>
              </w:rPr>
              <w:tab/>
            </w:r>
            <w:r w:rsidRPr="003825DF">
              <w:rPr>
                <w:rFonts w:ascii="楷体" w:eastAsia="楷体" w:hAnsi="楷体"/>
                <w:noProof/>
                <w:sz w:val="22"/>
                <w:szCs w:val="22"/>
              </w:rPr>
              <w:fldChar w:fldCharType="begin"/>
            </w:r>
            <w:r w:rsidRPr="003825DF">
              <w:rPr>
                <w:rFonts w:ascii="楷体" w:eastAsia="楷体" w:hAnsi="楷体"/>
                <w:noProof/>
                <w:sz w:val="22"/>
                <w:szCs w:val="22"/>
              </w:rPr>
              <w:instrText xml:space="preserve"> PAGEREF _Toc154908713 \h </w:instrText>
            </w:r>
            <w:r w:rsidRPr="003825DF">
              <w:rPr>
                <w:rFonts w:ascii="楷体" w:eastAsia="楷体" w:hAnsi="楷体"/>
                <w:noProof/>
                <w:sz w:val="22"/>
                <w:szCs w:val="22"/>
              </w:rPr>
            </w:r>
            <w:r w:rsidRPr="003825DF">
              <w:rPr>
                <w:rFonts w:ascii="楷体" w:eastAsia="楷体" w:hAnsi="楷体"/>
                <w:noProof/>
                <w:sz w:val="22"/>
                <w:szCs w:val="22"/>
              </w:rPr>
              <w:fldChar w:fldCharType="separate"/>
            </w:r>
            <w:r w:rsidR="0069698C">
              <w:rPr>
                <w:rFonts w:ascii="楷体" w:eastAsia="楷体" w:hAnsi="楷体"/>
                <w:noProof/>
                <w:sz w:val="22"/>
                <w:szCs w:val="22"/>
              </w:rPr>
              <w:t>5</w:t>
            </w:r>
            <w:r w:rsidRPr="003825DF">
              <w:rPr>
                <w:rFonts w:ascii="楷体" w:eastAsia="楷体" w:hAnsi="楷体"/>
                <w:noProof/>
                <w:sz w:val="22"/>
                <w:szCs w:val="22"/>
              </w:rPr>
              <w:fldChar w:fldCharType="end"/>
            </w:r>
          </w:hyperlink>
        </w:p>
        <w:p w14:paraId="3BDBF95F" w14:textId="1423640C" w:rsidR="003825DF" w:rsidRPr="003825DF" w:rsidRDefault="003825DF" w:rsidP="003825DF">
          <w:pPr>
            <w:pStyle w:val="TOC2"/>
            <w:tabs>
              <w:tab w:val="right" w:leader="dot" w:pos="8778"/>
            </w:tabs>
            <w:spacing w:line="276" w:lineRule="auto"/>
            <w:ind w:left="480"/>
            <w:rPr>
              <w:rFonts w:ascii="楷体" w:eastAsia="楷体" w:hAnsi="楷体"/>
              <w:noProof/>
              <w:sz w:val="21"/>
              <w:szCs w:val="22"/>
            </w:rPr>
          </w:pPr>
          <w:hyperlink w:anchor="_Toc154908714" w:history="1">
            <w:r w:rsidRPr="003825DF">
              <w:rPr>
                <w:rStyle w:val="af0"/>
                <w:rFonts w:ascii="楷体" w:eastAsia="楷体" w:hAnsi="楷体"/>
                <w:noProof/>
                <w:sz w:val="22"/>
                <w:szCs w:val="22"/>
              </w:rPr>
              <w:t>（一） 方向距离函数</w:t>
            </w:r>
            <w:r w:rsidRPr="003825DF">
              <w:rPr>
                <w:rFonts w:ascii="楷体" w:eastAsia="楷体" w:hAnsi="楷体"/>
                <w:noProof/>
                <w:sz w:val="22"/>
                <w:szCs w:val="22"/>
              </w:rPr>
              <w:tab/>
            </w:r>
            <w:r w:rsidRPr="003825DF">
              <w:rPr>
                <w:rFonts w:ascii="楷体" w:eastAsia="楷体" w:hAnsi="楷体"/>
                <w:noProof/>
                <w:sz w:val="22"/>
                <w:szCs w:val="22"/>
              </w:rPr>
              <w:fldChar w:fldCharType="begin"/>
            </w:r>
            <w:r w:rsidRPr="003825DF">
              <w:rPr>
                <w:rFonts w:ascii="楷体" w:eastAsia="楷体" w:hAnsi="楷体"/>
                <w:noProof/>
                <w:sz w:val="22"/>
                <w:szCs w:val="22"/>
              </w:rPr>
              <w:instrText xml:space="preserve"> PAGEREF _Toc154908714 \h </w:instrText>
            </w:r>
            <w:r w:rsidRPr="003825DF">
              <w:rPr>
                <w:rFonts w:ascii="楷体" w:eastAsia="楷体" w:hAnsi="楷体"/>
                <w:noProof/>
                <w:sz w:val="22"/>
                <w:szCs w:val="22"/>
              </w:rPr>
            </w:r>
            <w:r w:rsidRPr="003825DF">
              <w:rPr>
                <w:rFonts w:ascii="楷体" w:eastAsia="楷体" w:hAnsi="楷体"/>
                <w:noProof/>
                <w:sz w:val="22"/>
                <w:szCs w:val="22"/>
              </w:rPr>
              <w:fldChar w:fldCharType="separate"/>
            </w:r>
            <w:r w:rsidR="0069698C">
              <w:rPr>
                <w:rFonts w:ascii="楷体" w:eastAsia="楷体" w:hAnsi="楷体"/>
                <w:noProof/>
                <w:sz w:val="22"/>
                <w:szCs w:val="22"/>
              </w:rPr>
              <w:t>5</w:t>
            </w:r>
            <w:r w:rsidRPr="003825DF">
              <w:rPr>
                <w:rFonts w:ascii="楷体" w:eastAsia="楷体" w:hAnsi="楷体"/>
                <w:noProof/>
                <w:sz w:val="22"/>
                <w:szCs w:val="22"/>
              </w:rPr>
              <w:fldChar w:fldCharType="end"/>
            </w:r>
          </w:hyperlink>
        </w:p>
        <w:p w14:paraId="00FA752D" w14:textId="221C7399" w:rsidR="003825DF" w:rsidRPr="003825DF" w:rsidRDefault="003825DF" w:rsidP="003825DF">
          <w:pPr>
            <w:pStyle w:val="TOC2"/>
            <w:tabs>
              <w:tab w:val="right" w:leader="dot" w:pos="8778"/>
            </w:tabs>
            <w:spacing w:line="276" w:lineRule="auto"/>
            <w:ind w:left="480"/>
            <w:rPr>
              <w:rFonts w:ascii="楷体" w:eastAsia="楷体" w:hAnsi="楷体"/>
              <w:noProof/>
              <w:sz w:val="21"/>
              <w:szCs w:val="22"/>
            </w:rPr>
          </w:pPr>
          <w:hyperlink w:anchor="_Toc154908715" w:history="1">
            <w:r w:rsidRPr="003825DF">
              <w:rPr>
                <w:rStyle w:val="af0"/>
                <w:rFonts w:ascii="楷体" w:eastAsia="楷体" w:hAnsi="楷体"/>
                <w:noProof/>
                <w:sz w:val="22"/>
                <w:szCs w:val="22"/>
              </w:rPr>
              <w:t>（二） 随机前沿分析</w:t>
            </w:r>
            <w:r w:rsidRPr="003825DF">
              <w:rPr>
                <w:rFonts w:ascii="楷体" w:eastAsia="楷体" w:hAnsi="楷体"/>
                <w:noProof/>
                <w:sz w:val="22"/>
                <w:szCs w:val="22"/>
              </w:rPr>
              <w:tab/>
            </w:r>
            <w:r w:rsidRPr="003825DF">
              <w:rPr>
                <w:rFonts w:ascii="楷体" w:eastAsia="楷体" w:hAnsi="楷体"/>
                <w:noProof/>
                <w:sz w:val="22"/>
                <w:szCs w:val="22"/>
              </w:rPr>
              <w:fldChar w:fldCharType="begin"/>
            </w:r>
            <w:r w:rsidRPr="003825DF">
              <w:rPr>
                <w:rFonts w:ascii="楷体" w:eastAsia="楷体" w:hAnsi="楷体"/>
                <w:noProof/>
                <w:sz w:val="22"/>
                <w:szCs w:val="22"/>
              </w:rPr>
              <w:instrText xml:space="preserve"> PAGEREF _Toc154908715 \h </w:instrText>
            </w:r>
            <w:r w:rsidRPr="003825DF">
              <w:rPr>
                <w:rFonts w:ascii="楷体" w:eastAsia="楷体" w:hAnsi="楷体"/>
                <w:noProof/>
                <w:sz w:val="22"/>
                <w:szCs w:val="22"/>
              </w:rPr>
            </w:r>
            <w:r w:rsidRPr="003825DF">
              <w:rPr>
                <w:rFonts w:ascii="楷体" w:eastAsia="楷体" w:hAnsi="楷体"/>
                <w:noProof/>
                <w:sz w:val="22"/>
                <w:szCs w:val="22"/>
              </w:rPr>
              <w:fldChar w:fldCharType="separate"/>
            </w:r>
            <w:r w:rsidR="0069698C">
              <w:rPr>
                <w:rFonts w:ascii="楷体" w:eastAsia="楷体" w:hAnsi="楷体"/>
                <w:noProof/>
                <w:sz w:val="22"/>
                <w:szCs w:val="22"/>
              </w:rPr>
              <w:t>6</w:t>
            </w:r>
            <w:r w:rsidRPr="003825DF">
              <w:rPr>
                <w:rFonts w:ascii="楷体" w:eastAsia="楷体" w:hAnsi="楷体"/>
                <w:noProof/>
                <w:sz w:val="22"/>
                <w:szCs w:val="22"/>
              </w:rPr>
              <w:fldChar w:fldCharType="end"/>
            </w:r>
          </w:hyperlink>
        </w:p>
        <w:p w14:paraId="236DF3A6" w14:textId="5AAD5062" w:rsidR="003825DF" w:rsidRPr="003825DF" w:rsidRDefault="003825DF" w:rsidP="003825DF">
          <w:pPr>
            <w:pStyle w:val="TOC2"/>
            <w:tabs>
              <w:tab w:val="right" w:leader="dot" w:pos="8778"/>
            </w:tabs>
            <w:spacing w:line="276" w:lineRule="auto"/>
            <w:ind w:left="480"/>
            <w:rPr>
              <w:rFonts w:ascii="楷体" w:eastAsia="楷体" w:hAnsi="楷体"/>
              <w:noProof/>
              <w:sz w:val="21"/>
              <w:szCs w:val="22"/>
            </w:rPr>
          </w:pPr>
          <w:hyperlink w:anchor="_Toc154908716" w:history="1">
            <w:r w:rsidRPr="003825DF">
              <w:rPr>
                <w:rStyle w:val="af0"/>
                <w:rFonts w:ascii="楷体" w:eastAsia="楷体" w:hAnsi="楷体"/>
                <w:noProof/>
                <w:sz w:val="22"/>
                <w:szCs w:val="22"/>
              </w:rPr>
              <w:t>（三） 线性规划法</w:t>
            </w:r>
            <w:r w:rsidRPr="003825DF">
              <w:rPr>
                <w:rFonts w:ascii="楷体" w:eastAsia="楷体" w:hAnsi="楷体"/>
                <w:noProof/>
                <w:sz w:val="22"/>
                <w:szCs w:val="22"/>
              </w:rPr>
              <w:tab/>
            </w:r>
            <w:r w:rsidRPr="003825DF">
              <w:rPr>
                <w:rFonts w:ascii="楷体" w:eastAsia="楷体" w:hAnsi="楷体"/>
                <w:noProof/>
                <w:sz w:val="22"/>
                <w:szCs w:val="22"/>
              </w:rPr>
              <w:fldChar w:fldCharType="begin"/>
            </w:r>
            <w:r w:rsidRPr="003825DF">
              <w:rPr>
                <w:rFonts w:ascii="楷体" w:eastAsia="楷体" w:hAnsi="楷体"/>
                <w:noProof/>
                <w:sz w:val="22"/>
                <w:szCs w:val="22"/>
              </w:rPr>
              <w:instrText xml:space="preserve"> PAGEREF _Toc154908716 \h </w:instrText>
            </w:r>
            <w:r w:rsidRPr="003825DF">
              <w:rPr>
                <w:rFonts w:ascii="楷体" w:eastAsia="楷体" w:hAnsi="楷体"/>
                <w:noProof/>
                <w:sz w:val="22"/>
                <w:szCs w:val="22"/>
              </w:rPr>
            </w:r>
            <w:r w:rsidRPr="003825DF">
              <w:rPr>
                <w:rFonts w:ascii="楷体" w:eastAsia="楷体" w:hAnsi="楷体"/>
                <w:noProof/>
                <w:sz w:val="22"/>
                <w:szCs w:val="22"/>
              </w:rPr>
              <w:fldChar w:fldCharType="separate"/>
            </w:r>
            <w:r w:rsidR="0069698C">
              <w:rPr>
                <w:rFonts w:ascii="楷体" w:eastAsia="楷体" w:hAnsi="楷体"/>
                <w:noProof/>
                <w:sz w:val="22"/>
                <w:szCs w:val="22"/>
              </w:rPr>
              <w:t>8</w:t>
            </w:r>
            <w:r w:rsidRPr="003825DF">
              <w:rPr>
                <w:rFonts w:ascii="楷体" w:eastAsia="楷体" w:hAnsi="楷体"/>
                <w:noProof/>
                <w:sz w:val="22"/>
                <w:szCs w:val="22"/>
              </w:rPr>
              <w:fldChar w:fldCharType="end"/>
            </w:r>
          </w:hyperlink>
        </w:p>
        <w:p w14:paraId="4C28F8E7" w14:textId="6175ABC3" w:rsidR="003825DF" w:rsidRPr="003825DF" w:rsidRDefault="003825DF" w:rsidP="003825DF">
          <w:pPr>
            <w:pStyle w:val="TOC2"/>
            <w:tabs>
              <w:tab w:val="right" w:leader="dot" w:pos="8778"/>
            </w:tabs>
            <w:spacing w:line="276" w:lineRule="auto"/>
            <w:ind w:left="480"/>
            <w:rPr>
              <w:rFonts w:ascii="楷体" w:eastAsia="楷体" w:hAnsi="楷体"/>
              <w:noProof/>
              <w:sz w:val="21"/>
              <w:szCs w:val="22"/>
            </w:rPr>
          </w:pPr>
          <w:hyperlink w:anchor="_Toc154908717" w:history="1">
            <w:r w:rsidRPr="003825DF">
              <w:rPr>
                <w:rStyle w:val="af0"/>
                <w:rFonts w:ascii="楷体" w:eastAsia="楷体" w:hAnsi="楷体"/>
                <w:noProof/>
                <w:sz w:val="22"/>
                <w:szCs w:val="22"/>
              </w:rPr>
              <w:t>（四） 断点回归</w:t>
            </w:r>
            <w:r w:rsidRPr="003825DF">
              <w:rPr>
                <w:rFonts w:ascii="楷体" w:eastAsia="楷体" w:hAnsi="楷体"/>
                <w:noProof/>
                <w:sz w:val="22"/>
                <w:szCs w:val="22"/>
              </w:rPr>
              <w:tab/>
            </w:r>
            <w:r w:rsidRPr="003825DF">
              <w:rPr>
                <w:rFonts w:ascii="楷体" w:eastAsia="楷体" w:hAnsi="楷体"/>
                <w:noProof/>
                <w:sz w:val="22"/>
                <w:szCs w:val="22"/>
              </w:rPr>
              <w:fldChar w:fldCharType="begin"/>
            </w:r>
            <w:r w:rsidRPr="003825DF">
              <w:rPr>
                <w:rFonts w:ascii="楷体" w:eastAsia="楷体" w:hAnsi="楷体"/>
                <w:noProof/>
                <w:sz w:val="22"/>
                <w:szCs w:val="22"/>
              </w:rPr>
              <w:instrText xml:space="preserve"> PAGEREF _Toc154908717 \h </w:instrText>
            </w:r>
            <w:r w:rsidRPr="003825DF">
              <w:rPr>
                <w:rFonts w:ascii="楷体" w:eastAsia="楷体" w:hAnsi="楷体"/>
                <w:noProof/>
                <w:sz w:val="22"/>
                <w:szCs w:val="22"/>
              </w:rPr>
            </w:r>
            <w:r w:rsidRPr="003825DF">
              <w:rPr>
                <w:rFonts w:ascii="楷体" w:eastAsia="楷体" w:hAnsi="楷体"/>
                <w:noProof/>
                <w:sz w:val="22"/>
                <w:szCs w:val="22"/>
              </w:rPr>
              <w:fldChar w:fldCharType="separate"/>
            </w:r>
            <w:r w:rsidR="0069698C">
              <w:rPr>
                <w:rFonts w:ascii="楷体" w:eastAsia="楷体" w:hAnsi="楷体"/>
                <w:noProof/>
                <w:sz w:val="22"/>
                <w:szCs w:val="22"/>
              </w:rPr>
              <w:t>8</w:t>
            </w:r>
            <w:r w:rsidRPr="003825DF">
              <w:rPr>
                <w:rFonts w:ascii="楷体" w:eastAsia="楷体" w:hAnsi="楷体"/>
                <w:noProof/>
                <w:sz w:val="22"/>
                <w:szCs w:val="22"/>
              </w:rPr>
              <w:fldChar w:fldCharType="end"/>
            </w:r>
          </w:hyperlink>
        </w:p>
        <w:p w14:paraId="5AE193D7" w14:textId="35DCA26C" w:rsidR="003825DF" w:rsidRPr="003825DF" w:rsidRDefault="003825DF" w:rsidP="003825DF">
          <w:pPr>
            <w:pStyle w:val="TOC1"/>
            <w:tabs>
              <w:tab w:val="right" w:leader="dot" w:pos="8778"/>
            </w:tabs>
            <w:spacing w:line="276" w:lineRule="auto"/>
            <w:rPr>
              <w:rFonts w:ascii="楷体" w:eastAsia="楷体" w:hAnsi="楷体"/>
              <w:noProof/>
              <w:sz w:val="21"/>
              <w:szCs w:val="22"/>
            </w:rPr>
          </w:pPr>
          <w:hyperlink w:anchor="_Toc154908718" w:history="1">
            <w:r w:rsidRPr="003825DF">
              <w:rPr>
                <w:rStyle w:val="af0"/>
                <w:rFonts w:ascii="楷体" w:eastAsia="楷体" w:hAnsi="楷体"/>
                <w:noProof/>
                <w:sz w:val="22"/>
                <w:szCs w:val="22"/>
              </w:rPr>
              <w:t>四、 数据来源与处理</w:t>
            </w:r>
            <w:r w:rsidRPr="003825DF">
              <w:rPr>
                <w:rFonts w:ascii="楷体" w:eastAsia="楷体" w:hAnsi="楷体"/>
                <w:noProof/>
                <w:sz w:val="22"/>
                <w:szCs w:val="22"/>
              </w:rPr>
              <w:tab/>
            </w:r>
            <w:r w:rsidRPr="003825DF">
              <w:rPr>
                <w:rFonts w:ascii="楷体" w:eastAsia="楷体" w:hAnsi="楷体"/>
                <w:noProof/>
                <w:sz w:val="22"/>
                <w:szCs w:val="22"/>
              </w:rPr>
              <w:fldChar w:fldCharType="begin"/>
            </w:r>
            <w:r w:rsidRPr="003825DF">
              <w:rPr>
                <w:rFonts w:ascii="楷体" w:eastAsia="楷体" w:hAnsi="楷体"/>
                <w:noProof/>
                <w:sz w:val="22"/>
                <w:szCs w:val="22"/>
              </w:rPr>
              <w:instrText xml:space="preserve"> PAGEREF _Toc154908718 \h </w:instrText>
            </w:r>
            <w:r w:rsidRPr="003825DF">
              <w:rPr>
                <w:rFonts w:ascii="楷体" w:eastAsia="楷体" w:hAnsi="楷体"/>
                <w:noProof/>
                <w:sz w:val="22"/>
                <w:szCs w:val="22"/>
              </w:rPr>
            </w:r>
            <w:r w:rsidRPr="003825DF">
              <w:rPr>
                <w:rFonts w:ascii="楷体" w:eastAsia="楷体" w:hAnsi="楷体"/>
                <w:noProof/>
                <w:sz w:val="22"/>
                <w:szCs w:val="22"/>
              </w:rPr>
              <w:fldChar w:fldCharType="separate"/>
            </w:r>
            <w:r w:rsidR="0069698C">
              <w:rPr>
                <w:rFonts w:ascii="楷体" w:eastAsia="楷体" w:hAnsi="楷体"/>
                <w:noProof/>
                <w:sz w:val="22"/>
                <w:szCs w:val="22"/>
              </w:rPr>
              <w:t>9</w:t>
            </w:r>
            <w:r w:rsidRPr="003825DF">
              <w:rPr>
                <w:rFonts w:ascii="楷体" w:eastAsia="楷体" w:hAnsi="楷体"/>
                <w:noProof/>
                <w:sz w:val="22"/>
                <w:szCs w:val="22"/>
              </w:rPr>
              <w:fldChar w:fldCharType="end"/>
            </w:r>
          </w:hyperlink>
        </w:p>
        <w:p w14:paraId="1AF18011" w14:textId="4D48FE49" w:rsidR="003825DF" w:rsidRPr="003825DF" w:rsidRDefault="003825DF" w:rsidP="003825DF">
          <w:pPr>
            <w:pStyle w:val="TOC2"/>
            <w:tabs>
              <w:tab w:val="right" w:leader="dot" w:pos="8778"/>
            </w:tabs>
            <w:spacing w:line="276" w:lineRule="auto"/>
            <w:ind w:left="480"/>
            <w:rPr>
              <w:rFonts w:ascii="楷体" w:eastAsia="楷体" w:hAnsi="楷体"/>
              <w:noProof/>
              <w:sz w:val="21"/>
              <w:szCs w:val="22"/>
            </w:rPr>
          </w:pPr>
          <w:hyperlink w:anchor="_Toc154908719" w:history="1">
            <w:r w:rsidRPr="003825DF">
              <w:rPr>
                <w:rStyle w:val="af0"/>
                <w:rFonts w:ascii="楷体" w:eastAsia="楷体" w:hAnsi="楷体"/>
                <w:noProof/>
                <w:sz w:val="22"/>
                <w:szCs w:val="22"/>
              </w:rPr>
              <w:t>（一） 数据选取</w:t>
            </w:r>
            <w:r w:rsidRPr="003825DF">
              <w:rPr>
                <w:rFonts w:ascii="楷体" w:eastAsia="楷体" w:hAnsi="楷体"/>
                <w:noProof/>
                <w:sz w:val="22"/>
                <w:szCs w:val="22"/>
              </w:rPr>
              <w:tab/>
            </w:r>
            <w:r w:rsidRPr="003825DF">
              <w:rPr>
                <w:rFonts w:ascii="楷体" w:eastAsia="楷体" w:hAnsi="楷体"/>
                <w:noProof/>
                <w:sz w:val="22"/>
                <w:szCs w:val="22"/>
              </w:rPr>
              <w:fldChar w:fldCharType="begin"/>
            </w:r>
            <w:r w:rsidRPr="003825DF">
              <w:rPr>
                <w:rFonts w:ascii="楷体" w:eastAsia="楷体" w:hAnsi="楷体"/>
                <w:noProof/>
                <w:sz w:val="22"/>
                <w:szCs w:val="22"/>
              </w:rPr>
              <w:instrText xml:space="preserve"> PAGEREF _Toc154908719 \h </w:instrText>
            </w:r>
            <w:r w:rsidRPr="003825DF">
              <w:rPr>
                <w:rFonts w:ascii="楷体" w:eastAsia="楷体" w:hAnsi="楷体"/>
                <w:noProof/>
                <w:sz w:val="22"/>
                <w:szCs w:val="22"/>
              </w:rPr>
            </w:r>
            <w:r w:rsidRPr="003825DF">
              <w:rPr>
                <w:rFonts w:ascii="楷体" w:eastAsia="楷体" w:hAnsi="楷体"/>
                <w:noProof/>
                <w:sz w:val="22"/>
                <w:szCs w:val="22"/>
              </w:rPr>
              <w:fldChar w:fldCharType="separate"/>
            </w:r>
            <w:r w:rsidR="0069698C">
              <w:rPr>
                <w:rFonts w:ascii="楷体" w:eastAsia="楷体" w:hAnsi="楷体"/>
                <w:noProof/>
                <w:sz w:val="22"/>
                <w:szCs w:val="22"/>
              </w:rPr>
              <w:t>9</w:t>
            </w:r>
            <w:r w:rsidRPr="003825DF">
              <w:rPr>
                <w:rFonts w:ascii="楷体" w:eastAsia="楷体" w:hAnsi="楷体"/>
                <w:noProof/>
                <w:sz w:val="22"/>
                <w:szCs w:val="22"/>
              </w:rPr>
              <w:fldChar w:fldCharType="end"/>
            </w:r>
          </w:hyperlink>
        </w:p>
        <w:p w14:paraId="3DCAC14D" w14:textId="0D9EF5F6" w:rsidR="003825DF" w:rsidRPr="003825DF" w:rsidRDefault="003825DF" w:rsidP="003825DF">
          <w:pPr>
            <w:pStyle w:val="TOC2"/>
            <w:tabs>
              <w:tab w:val="right" w:leader="dot" w:pos="8778"/>
            </w:tabs>
            <w:spacing w:line="276" w:lineRule="auto"/>
            <w:ind w:left="480"/>
            <w:rPr>
              <w:rFonts w:ascii="楷体" w:eastAsia="楷体" w:hAnsi="楷体"/>
              <w:noProof/>
              <w:sz w:val="21"/>
              <w:szCs w:val="22"/>
            </w:rPr>
          </w:pPr>
          <w:hyperlink w:anchor="_Toc154908720" w:history="1">
            <w:r w:rsidRPr="003825DF">
              <w:rPr>
                <w:rStyle w:val="af0"/>
                <w:rFonts w:ascii="楷体" w:eastAsia="楷体" w:hAnsi="楷体"/>
                <w:noProof/>
                <w:sz w:val="22"/>
                <w:szCs w:val="22"/>
              </w:rPr>
              <w:t>（二） 数据处理</w:t>
            </w:r>
            <w:r w:rsidRPr="003825DF">
              <w:rPr>
                <w:rFonts w:ascii="楷体" w:eastAsia="楷体" w:hAnsi="楷体"/>
                <w:noProof/>
                <w:sz w:val="22"/>
                <w:szCs w:val="22"/>
              </w:rPr>
              <w:tab/>
            </w:r>
            <w:r w:rsidRPr="003825DF">
              <w:rPr>
                <w:rFonts w:ascii="楷体" w:eastAsia="楷体" w:hAnsi="楷体"/>
                <w:noProof/>
                <w:sz w:val="22"/>
                <w:szCs w:val="22"/>
              </w:rPr>
              <w:fldChar w:fldCharType="begin"/>
            </w:r>
            <w:r w:rsidRPr="003825DF">
              <w:rPr>
                <w:rFonts w:ascii="楷体" w:eastAsia="楷体" w:hAnsi="楷体"/>
                <w:noProof/>
                <w:sz w:val="22"/>
                <w:szCs w:val="22"/>
              </w:rPr>
              <w:instrText xml:space="preserve"> PAGEREF _Toc154908720 \h </w:instrText>
            </w:r>
            <w:r w:rsidRPr="003825DF">
              <w:rPr>
                <w:rFonts w:ascii="楷体" w:eastAsia="楷体" w:hAnsi="楷体"/>
                <w:noProof/>
                <w:sz w:val="22"/>
                <w:szCs w:val="22"/>
              </w:rPr>
            </w:r>
            <w:r w:rsidRPr="003825DF">
              <w:rPr>
                <w:rFonts w:ascii="楷体" w:eastAsia="楷体" w:hAnsi="楷体"/>
                <w:noProof/>
                <w:sz w:val="22"/>
                <w:szCs w:val="22"/>
              </w:rPr>
              <w:fldChar w:fldCharType="separate"/>
            </w:r>
            <w:r w:rsidR="0069698C">
              <w:rPr>
                <w:rFonts w:ascii="楷体" w:eastAsia="楷体" w:hAnsi="楷体"/>
                <w:noProof/>
                <w:sz w:val="22"/>
                <w:szCs w:val="22"/>
              </w:rPr>
              <w:t>10</w:t>
            </w:r>
            <w:r w:rsidRPr="003825DF">
              <w:rPr>
                <w:rFonts w:ascii="楷体" w:eastAsia="楷体" w:hAnsi="楷体"/>
                <w:noProof/>
                <w:sz w:val="22"/>
                <w:szCs w:val="22"/>
              </w:rPr>
              <w:fldChar w:fldCharType="end"/>
            </w:r>
          </w:hyperlink>
        </w:p>
        <w:p w14:paraId="2666787F" w14:textId="2F4F1C5E" w:rsidR="003825DF" w:rsidRPr="003825DF" w:rsidRDefault="003825DF" w:rsidP="003825DF">
          <w:pPr>
            <w:pStyle w:val="TOC1"/>
            <w:tabs>
              <w:tab w:val="right" w:leader="dot" w:pos="8778"/>
            </w:tabs>
            <w:spacing w:line="276" w:lineRule="auto"/>
            <w:rPr>
              <w:rFonts w:ascii="楷体" w:eastAsia="楷体" w:hAnsi="楷体"/>
              <w:noProof/>
              <w:sz w:val="21"/>
              <w:szCs w:val="22"/>
            </w:rPr>
          </w:pPr>
          <w:hyperlink w:anchor="_Toc154908721" w:history="1">
            <w:r w:rsidRPr="003825DF">
              <w:rPr>
                <w:rStyle w:val="af0"/>
                <w:rFonts w:ascii="楷体" w:eastAsia="楷体" w:hAnsi="楷体"/>
                <w:noProof/>
                <w:sz w:val="22"/>
                <w:szCs w:val="22"/>
              </w:rPr>
              <w:t>五、 实证结果</w:t>
            </w:r>
            <w:r w:rsidRPr="003825DF">
              <w:rPr>
                <w:rFonts w:ascii="楷体" w:eastAsia="楷体" w:hAnsi="楷体"/>
                <w:noProof/>
                <w:sz w:val="22"/>
                <w:szCs w:val="22"/>
              </w:rPr>
              <w:tab/>
            </w:r>
            <w:r w:rsidRPr="003825DF">
              <w:rPr>
                <w:rFonts w:ascii="楷体" w:eastAsia="楷体" w:hAnsi="楷体"/>
                <w:noProof/>
                <w:sz w:val="22"/>
                <w:szCs w:val="22"/>
              </w:rPr>
              <w:fldChar w:fldCharType="begin"/>
            </w:r>
            <w:r w:rsidRPr="003825DF">
              <w:rPr>
                <w:rFonts w:ascii="楷体" w:eastAsia="楷体" w:hAnsi="楷体"/>
                <w:noProof/>
                <w:sz w:val="22"/>
                <w:szCs w:val="22"/>
              </w:rPr>
              <w:instrText xml:space="preserve"> PAGEREF _Toc154908721 \h </w:instrText>
            </w:r>
            <w:r w:rsidRPr="003825DF">
              <w:rPr>
                <w:rFonts w:ascii="楷体" w:eastAsia="楷体" w:hAnsi="楷体"/>
                <w:noProof/>
                <w:sz w:val="22"/>
                <w:szCs w:val="22"/>
              </w:rPr>
            </w:r>
            <w:r w:rsidRPr="003825DF">
              <w:rPr>
                <w:rFonts w:ascii="楷体" w:eastAsia="楷体" w:hAnsi="楷体"/>
                <w:noProof/>
                <w:sz w:val="22"/>
                <w:szCs w:val="22"/>
              </w:rPr>
              <w:fldChar w:fldCharType="separate"/>
            </w:r>
            <w:r w:rsidR="0069698C">
              <w:rPr>
                <w:rFonts w:ascii="楷体" w:eastAsia="楷体" w:hAnsi="楷体"/>
                <w:noProof/>
                <w:sz w:val="22"/>
                <w:szCs w:val="22"/>
              </w:rPr>
              <w:t>10</w:t>
            </w:r>
            <w:r w:rsidRPr="003825DF">
              <w:rPr>
                <w:rFonts w:ascii="楷体" w:eastAsia="楷体" w:hAnsi="楷体"/>
                <w:noProof/>
                <w:sz w:val="22"/>
                <w:szCs w:val="22"/>
              </w:rPr>
              <w:fldChar w:fldCharType="end"/>
            </w:r>
          </w:hyperlink>
        </w:p>
        <w:p w14:paraId="44296B97" w14:textId="6078B609" w:rsidR="003825DF" w:rsidRPr="003825DF" w:rsidRDefault="003825DF" w:rsidP="003825DF">
          <w:pPr>
            <w:pStyle w:val="TOC2"/>
            <w:tabs>
              <w:tab w:val="right" w:leader="dot" w:pos="8778"/>
            </w:tabs>
            <w:spacing w:line="276" w:lineRule="auto"/>
            <w:ind w:left="480"/>
            <w:rPr>
              <w:rFonts w:ascii="楷体" w:eastAsia="楷体" w:hAnsi="楷体"/>
              <w:noProof/>
              <w:sz w:val="21"/>
              <w:szCs w:val="22"/>
            </w:rPr>
          </w:pPr>
          <w:hyperlink w:anchor="_Toc154908722" w:history="1">
            <w:r w:rsidRPr="003825DF">
              <w:rPr>
                <w:rStyle w:val="af0"/>
                <w:rFonts w:ascii="楷体" w:eastAsia="楷体" w:hAnsi="楷体"/>
                <w:noProof/>
                <w:sz w:val="22"/>
                <w:szCs w:val="22"/>
              </w:rPr>
              <w:t>（一） 二氧化碳影子价格</w:t>
            </w:r>
            <w:r w:rsidRPr="003825DF">
              <w:rPr>
                <w:rFonts w:ascii="楷体" w:eastAsia="楷体" w:hAnsi="楷体"/>
                <w:noProof/>
                <w:sz w:val="22"/>
                <w:szCs w:val="22"/>
              </w:rPr>
              <w:tab/>
            </w:r>
            <w:r w:rsidRPr="003825DF">
              <w:rPr>
                <w:rFonts w:ascii="楷体" w:eastAsia="楷体" w:hAnsi="楷体"/>
                <w:noProof/>
                <w:sz w:val="22"/>
                <w:szCs w:val="22"/>
              </w:rPr>
              <w:fldChar w:fldCharType="begin"/>
            </w:r>
            <w:r w:rsidRPr="003825DF">
              <w:rPr>
                <w:rFonts w:ascii="楷体" w:eastAsia="楷体" w:hAnsi="楷体"/>
                <w:noProof/>
                <w:sz w:val="22"/>
                <w:szCs w:val="22"/>
              </w:rPr>
              <w:instrText xml:space="preserve"> PAGEREF _Toc154908722 \h </w:instrText>
            </w:r>
            <w:r w:rsidRPr="003825DF">
              <w:rPr>
                <w:rFonts w:ascii="楷体" w:eastAsia="楷体" w:hAnsi="楷体"/>
                <w:noProof/>
                <w:sz w:val="22"/>
                <w:szCs w:val="22"/>
              </w:rPr>
            </w:r>
            <w:r w:rsidRPr="003825DF">
              <w:rPr>
                <w:rFonts w:ascii="楷体" w:eastAsia="楷体" w:hAnsi="楷体"/>
                <w:noProof/>
                <w:sz w:val="22"/>
                <w:szCs w:val="22"/>
              </w:rPr>
              <w:fldChar w:fldCharType="separate"/>
            </w:r>
            <w:r w:rsidR="0069698C">
              <w:rPr>
                <w:rFonts w:ascii="楷体" w:eastAsia="楷体" w:hAnsi="楷体"/>
                <w:noProof/>
                <w:sz w:val="22"/>
                <w:szCs w:val="22"/>
              </w:rPr>
              <w:t>10</w:t>
            </w:r>
            <w:r w:rsidRPr="003825DF">
              <w:rPr>
                <w:rFonts w:ascii="楷体" w:eastAsia="楷体" w:hAnsi="楷体"/>
                <w:noProof/>
                <w:sz w:val="22"/>
                <w:szCs w:val="22"/>
              </w:rPr>
              <w:fldChar w:fldCharType="end"/>
            </w:r>
          </w:hyperlink>
        </w:p>
        <w:p w14:paraId="04115654" w14:textId="32692B6A" w:rsidR="003825DF" w:rsidRPr="003825DF" w:rsidRDefault="003825DF" w:rsidP="003825DF">
          <w:pPr>
            <w:pStyle w:val="TOC2"/>
            <w:tabs>
              <w:tab w:val="right" w:leader="dot" w:pos="8778"/>
            </w:tabs>
            <w:spacing w:line="276" w:lineRule="auto"/>
            <w:ind w:left="480"/>
            <w:rPr>
              <w:rFonts w:ascii="楷体" w:eastAsia="楷体" w:hAnsi="楷体"/>
              <w:noProof/>
              <w:sz w:val="21"/>
              <w:szCs w:val="22"/>
            </w:rPr>
          </w:pPr>
          <w:hyperlink w:anchor="_Toc154908723" w:history="1">
            <w:r w:rsidRPr="003825DF">
              <w:rPr>
                <w:rStyle w:val="af0"/>
                <w:rFonts w:ascii="楷体" w:eastAsia="楷体" w:hAnsi="楷体"/>
                <w:noProof/>
                <w:sz w:val="22"/>
                <w:szCs w:val="22"/>
              </w:rPr>
              <w:t>（二） 事件研究结果</w:t>
            </w:r>
            <w:r w:rsidRPr="003825DF">
              <w:rPr>
                <w:rFonts w:ascii="楷体" w:eastAsia="楷体" w:hAnsi="楷体"/>
                <w:noProof/>
                <w:sz w:val="22"/>
                <w:szCs w:val="22"/>
              </w:rPr>
              <w:tab/>
            </w:r>
            <w:r w:rsidRPr="003825DF">
              <w:rPr>
                <w:rFonts w:ascii="楷体" w:eastAsia="楷体" w:hAnsi="楷体"/>
                <w:noProof/>
                <w:sz w:val="22"/>
                <w:szCs w:val="22"/>
              </w:rPr>
              <w:fldChar w:fldCharType="begin"/>
            </w:r>
            <w:r w:rsidRPr="003825DF">
              <w:rPr>
                <w:rFonts w:ascii="楷体" w:eastAsia="楷体" w:hAnsi="楷体"/>
                <w:noProof/>
                <w:sz w:val="22"/>
                <w:szCs w:val="22"/>
              </w:rPr>
              <w:instrText xml:space="preserve"> PAGEREF _Toc154908723 \h </w:instrText>
            </w:r>
            <w:r w:rsidRPr="003825DF">
              <w:rPr>
                <w:rFonts w:ascii="楷体" w:eastAsia="楷体" w:hAnsi="楷体"/>
                <w:noProof/>
                <w:sz w:val="22"/>
                <w:szCs w:val="22"/>
              </w:rPr>
            </w:r>
            <w:r w:rsidRPr="003825DF">
              <w:rPr>
                <w:rFonts w:ascii="楷体" w:eastAsia="楷体" w:hAnsi="楷体"/>
                <w:noProof/>
                <w:sz w:val="22"/>
                <w:szCs w:val="22"/>
              </w:rPr>
              <w:fldChar w:fldCharType="separate"/>
            </w:r>
            <w:r w:rsidR="0069698C">
              <w:rPr>
                <w:rFonts w:ascii="楷体" w:eastAsia="楷体" w:hAnsi="楷体"/>
                <w:noProof/>
                <w:sz w:val="22"/>
                <w:szCs w:val="22"/>
              </w:rPr>
              <w:t>14</w:t>
            </w:r>
            <w:r w:rsidRPr="003825DF">
              <w:rPr>
                <w:rFonts w:ascii="楷体" w:eastAsia="楷体" w:hAnsi="楷体"/>
                <w:noProof/>
                <w:sz w:val="22"/>
                <w:szCs w:val="22"/>
              </w:rPr>
              <w:fldChar w:fldCharType="end"/>
            </w:r>
          </w:hyperlink>
        </w:p>
        <w:p w14:paraId="28297928" w14:textId="03C1D9AB" w:rsidR="003825DF" w:rsidRPr="003825DF" w:rsidRDefault="003825DF" w:rsidP="003825DF">
          <w:pPr>
            <w:pStyle w:val="TOC1"/>
            <w:tabs>
              <w:tab w:val="right" w:leader="dot" w:pos="8778"/>
            </w:tabs>
            <w:spacing w:line="276" w:lineRule="auto"/>
            <w:rPr>
              <w:rFonts w:ascii="楷体" w:eastAsia="楷体" w:hAnsi="楷体"/>
              <w:noProof/>
              <w:sz w:val="21"/>
              <w:szCs w:val="22"/>
            </w:rPr>
          </w:pPr>
          <w:hyperlink w:anchor="_Toc154908724" w:history="1">
            <w:r w:rsidRPr="003825DF">
              <w:rPr>
                <w:rStyle w:val="af0"/>
                <w:rFonts w:ascii="楷体" w:eastAsia="楷体" w:hAnsi="楷体"/>
                <w:noProof/>
                <w:sz w:val="22"/>
                <w:szCs w:val="22"/>
              </w:rPr>
              <w:t>六、 结论与政策建议</w:t>
            </w:r>
            <w:r w:rsidRPr="003825DF">
              <w:rPr>
                <w:rFonts w:ascii="楷体" w:eastAsia="楷体" w:hAnsi="楷体"/>
                <w:noProof/>
                <w:sz w:val="22"/>
                <w:szCs w:val="22"/>
              </w:rPr>
              <w:tab/>
            </w:r>
            <w:r w:rsidRPr="003825DF">
              <w:rPr>
                <w:rFonts w:ascii="楷体" w:eastAsia="楷体" w:hAnsi="楷体"/>
                <w:noProof/>
                <w:sz w:val="22"/>
                <w:szCs w:val="22"/>
              </w:rPr>
              <w:fldChar w:fldCharType="begin"/>
            </w:r>
            <w:r w:rsidRPr="003825DF">
              <w:rPr>
                <w:rFonts w:ascii="楷体" w:eastAsia="楷体" w:hAnsi="楷体"/>
                <w:noProof/>
                <w:sz w:val="22"/>
                <w:szCs w:val="22"/>
              </w:rPr>
              <w:instrText xml:space="preserve"> PAGEREF _Toc154908724 \h </w:instrText>
            </w:r>
            <w:r w:rsidRPr="003825DF">
              <w:rPr>
                <w:rFonts w:ascii="楷体" w:eastAsia="楷体" w:hAnsi="楷体"/>
                <w:noProof/>
                <w:sz w:val="22"/>
                <w:szCs w:val="22"/>
              </w:rPr>
            </w:r>
            <w:r w:rsidRPr="003825DF">
              <w:rPr>
                <w:rFonts w:ascii="楷体" w:eastAsia="楷体" w:hAnsi="楷体"/>
                <w:noProof/>
                <w:sz w:val="22"/>
                <w:szCs w:val="22"/>
              </w:rPr>
              <w:fldChar w:fldCharType="separate"/>
            </w:r>
            <w:r w:rsidR="0069698C">
              <w:rPr>
                <w:rFonts w:ascii="楷体" w:eastAsia="楷体" w:hAnsi="楷体"/>
                <w:noProof/>
                <w:sz w:val="22"/>
                <w:szCs w:val="22"/>
              </w:rPr>
              <w:t>16</w:t>
            </w:r>
            <w:r w:rsidRPr="003825DF">
              <w:rPr>
                <w:rFonts w:ascii="楷体" w:eastAsia="楷体" w:hAnsi="楷体"/>
                <w:noProof/>
                <w:sz w:val="22"/>
                <w:szCs w:val="22"/>
              </w:rPr>
              <w:fldChar w:fldCharType="end"/>
            </w:r>
          </w:hyperlink>
        </w:p>
        <w:p w14:paraId="5A19C68D" w14:textId="1E829600" w:rsidR="003825DF" w:rsidRPr="003825DF" w:rsidRDefault="003825DF" w:rsidP="003825DF">
          <w:pPr>
            <w:pStyle w:val="TOC2"/>
            <w:tabs>
              <w:tab w:val="right" w:leader="dot" w:pos="8778"/>
            </w:tabs>
            <w:spacing w:line="276" w:lineRule="auto"/>
            <w:ind w:left="480"/>
            <w:rPr>
              <w:rFonts w:ascii="楷体" w:eastAsia="楷体" w:hAnsi="楷体"/>
              <w:noProof/>
              <w:sz w:val="21"/>
              <w:szCs w:val="22"/>
            </w:rPr>
          </w:pPr>
          <w:hyperlink w:anchor="_Toc154908725" w:history="1">
            <w:r w:rsidRPr="003825DF">
              <w:rPr>
                <w:rStyle w:val="af0"/>
                <w:rFonts w:ascii="楷体" w:eastAsia="楷体" w:hAnsi="楷体"/>
                <w:noProof/>
                <w:sz w:val="22"/>
                <w:szCs w:val="22"/>
              </w:rPr>
              <w:t>（一） 结论</w:t>
            </w:r>
            <w:r w:rsidRPr="003825DF">
              <w:rPr>
                <w:rFonts w:ascii="楷体" w:eastAsia="楷体" w:hAnsi="楷体"/>
                <w:noProof/>
                <w:sz w:val="22"/>
                <w:szCs w:val="22"/>
              </w:rPr>
              <w:tab/>
            </w:r>
            <w:r w:rsidRPr="003825DF">
              <w:rPr>
                <w:rFonts w:ascii="楷体" w:eastAsia="楷体" w:hAnsi="楷体"/>
                <w:noProof/>
                <w:sz w:val="22"/>
                <w:szCs w:val="22"/>
              </w:rPr>
              <w:fldChar w:fldCharType="begin"/>
            </w:r>
            <w:r w:rsidRPr="003825DF">
              <w:rPr>
                <w:rFonts w:ascii="楷体" w:eastAsia="楷体" w:hAnsi="楷体"/>
                <w:noProof/>
                <w:sz w:val="22"/>
                <w:szCs w:val="22"/>
              </w:rPr>
              <w:instrText xml:space="preserve"> PAGEREF _Toc154908725 \h </w:instrText>
            </w:r>
            <w:r w:rsidRPr="003825DF">
              <w:rPr>
                <w:rFonts w:ascii="楷体" w:eastAsia="楷体" w:hAnsi="楷体"/>
                <w:noProof/>
                <w:sz w:val="22"/>
                <w:szCs w:val="22"/>
              </w:rPr>
            </w:r>
            <w:r w:rsidRPr="003825DF">
              <w:rPr>
                <w:rFonts w:ascii="楷体" w:eastAsia="楷体" w:hAnsi="楷体"/>
                <w:noProof/>
                <w:sz w:val="22"/>
                <w:szCs w:val="22"/>
              </w:rPr>
              <w:fldChar w:fldCharType="separate"/>
            </w:r>
            <w:r w:rsidR="0069698C">
              <w:rPr>
                <w:rFonts w:ascii="楷体" w:eastAsia="楷体" w:hAnsi="楷体"/>
                <w:noProof/>
                <w:sz w:val="22"/>
                <w:szCs w:val="22"/>
              </w:rPr>
              <w:t>16</w:t>
            </w:r>
            <w:r w:rsidRPr="003825DF">
              <w:rPr>
                <w:rFonts w:ascii="楷体" w:eastAsia="楷体" w:hAnsi="楷体"/>
                <w:noProof/>
                <w:sz w:val="22"/>
                <w:szCs w:val="22"/>
              </w:rPr>
              <w:fldChar w:fldCharType="end"/>
            </w:r>
          </w:hyperlink>
        </w:p>
        <w:p w14:paraId="29E2F2F4" w14:textId="19ECD77A" w:rsidR="003825DF" w:rsidRPr="003825DF" w:rsidRDefault="003825DF" w:rsidP="003825DF">
          <w:pPr>
            <w:pStyle w:val="TOC2"/>
            <w:tabs>
              <w:tab w:val="right" w:leader="dot" w:pos="8778"/>
            </w:tabs>
            <w:spacing w:line="276" w:lineRule="auto"/>
            <w:ind w:left="480"/>
            <w:rPr>
              <w:rFonts w:ascii="楷体" w:eastAsia="楷体" w:hAnsi="楷体"/>
              <w:noProof/>
              <w:sz w:val="21"/>
              <w:szCs w:val="22"/>
            </w:rPr>
          </w:pPr>
          <w:hyperlink w:anchor="_Toc154908726" w:history="1">
            <w:r w:rsidRPr="003825DF">
              <w:rPr>
                <w:rStyle w:val="af0"/>
                <w:rFonts w:ascii="楷体" w:eastAsia="楷体" w:hAnsi="楷体"/>
                <w:noProof/>
                <w:sz w:val="22"/>
                <w:szCs w:val="22"/>
              </w:rPr>
              <w:t>（二） 政策建议</w:t>
            </w:r>
            <w:r w:rsidRPr="003825DF">
              <w:rPr>
                <w:rFonts w:ascii="楷体" w:eastAsia="楷体" w:hAnsi="楷体"/>
                <w:noProof/>
                <w:sz w:val="22"/>
                <w:szCs w:val="22"/>
              </w:rPr>
              <w:tab/>
            </w:r>
            <w:r w:rsidRPr="003825DF">
              <w:rPr>
                <w:rFonts w:ascii="楷体" w:eastAsia="楷体" w:hAnsi="楷体"/>
                <w:noProof/>
                <w:sz w:val="22"/>
                <w:szCs w:val="22"/>
              </w:rPr>
              <w:fldChar w:fldCharType="begin"/>
            </w:r>
            <w:r w:rsidRPr="003825DF">
              <w:rPr>
                <w:rFonts w:ascii="楷体" w:eastAsia="楷体" w:hAnsi="楷体"/>
                <w:noProof/>
                <w:sz w:val="22"/>
                <w:szCs w:val="22"/>
              </w:rPr>
              <w:instrText xml:space="preserve"> PAGEREF _Toc154908726 \h </w:instrText>
            </w:r>
            <w:r w:rsidRPr="003825DF">
              <w:rPr>
                <w:rFonts w:ascii="楷体" w:eastAsia="楷体" w:hAnsi="楷体"/>
                <w:noProof/>
                <w:sz w:val="22"/>
                <w:szCs w:val="22"/>
              </w:rPr>
            </w:r>
            <w:r w:rsidRPr="003825DF">
              <w:rPr>
                <w:rFonts w:ascii="楷体" w:eastAsia="楷体" w:hAnsi="楷体"/>
                <w:noProof/>
                <w:sz w:val="22"/>
                <w:szCs w:val="22"/>
              </w:rPr>
              <w:fldChar w:fldCharType="separate"/>
            </w:r>
            <w:r w:rsidR="0069698C">
              <w:rPr>
                <w:rFonts w:ascii="楷体" w:eastAsia="楷体" w:hAnsi="楷体"/>
                <w:noProof/>
                <w:sz w:val="22"/>
                <w:szCs w:val="22"/>
              </w:rPr>
              <w:t>16</w:t>
            </w:r>
            <w:r w:rsidRPr="003825DF">
              <w:rPr>
                <w:rFonts w:ascii="楷体" w:eastAsia="楷体" w:hAnsi="楷体"/>
                <w:noProof/>
                <w:sz w:val="22"/>
                <w:szCs w:val="22"/>
              </w:rPr>
              <w:fldChar w:fldCharType="end"/>
            </w:r>
          </w:hyperlink>
        </w:p>
        <w:p w14:paraId="028F4B6B" w14:textId="2DEE1B51" w:rsidR="003825DF" w:rsidRPr="003825DF" w:rsidRDefault="003825DF" w:rsidP="003825DF">
          <w:pPr>
            <w:pStyle w:val="TOC1"/>
            <w:tabs>
              <w:tab w:val="right" w:leader="dot" w:pos="8778"/>
            </w:tabs>
            <w:spacing w:line="276" w:lineRule="auto"/>
            <w:rPr>
              <w:rFonts w:asciiTheme="minorHAnsi" w:eastAsiaTheme="minorEastAsia" w:hAnsiTheme="minorHAnsi"/>
              <w:noProof/>
              <w:sz w:val="22"/>
            </w:rPr>
          </w:pPr>
          <w:hyperlink w:anchor="_Toc154908727" w:history="1">
            <w:r w:rsidRPr="003825DF">
              <w:rPr>
                <w:rStyle w:val="af0"/>
                <w:rFonts w:ascii="楷体" w:eastAsia="楷体" w:hAnsi="楷体"/>
                <w:noProof/>
                <w:sz w:val="22"/>
                <w:szCs w:val="22"/>
              </w:rPr>
              <w:t>参考文献</w:t>
            </w:r>
            <w:r w:rsidRPr="003825DF">
              <w:rPr>
                <w:rFonts w:ascii="楷体" w:eastAsia="楷体" w:hAnsi="楷体"/>
                <w:noProof/>
                <w:sz w:val="22"/>
                <w:szCs w:val="22"/>
              </w:rPr>
              <w:tab/>
            </w:r>
            <w:r w:rsidRPr="003825DF">
              <w:rPr>
                <w:rFonts w:ascii="楷体" w:eastAsia="楷体" w:hAnsi="楷体"/>
                <w:noProof/>
                <w:sz w:val="22"/>
                <w:szCs w:val="22"/>
              </w:rPr>
              <w:fldChar w:fldCharType="begin"/>
            </w:r>
            <w:r w:rsidRPr="003825DF">
              <w:rPr>
                <w:rFonts w:ascii="楷体" w:eastAsia="楷体" w:hAnsi="楷体"/>
                <w:noProof/>
                <w:sz w:val="22"/>
                <w:szCs w:val="22"/>
              </w:rPr>
              <w:instrText xml:space="preserve"> PAGEREF _Toc154908727 \h </w:instrText>
            </w:r>
            <w:r w:rsidRPr="003825DF">
              <w:rPr>
                <w:rFonts w:ascii="楷体" w:eastAsia="楷体" w:hAnsi="楷体"/>
                <w:noProof/>
                <w:sz w:val="22"/>
                <w:szCs w:val="22"/>
              </w:rPr>
            </w:r>
            <w:r w:rsidRPr="003825DF">
              <w:rPr>
                <w:rFonts w:ascii="楷体" w:eastAsia="楷体" w:hAnsi="楷体"/>
                <w:noProof/>
                <w:sz w:val="22"/>
                <w:szCs w:val="22"/>
              </w:rPr>
              <w:fldChar w:fldCharType="separate"/>
            </w:r>
            <w:r w:rsidR="0069698C">
              <w:rPr>
                <w:rFonts w:ascii="楷体" w:eastAsia="楷体" w:hAnsi="楷体"/>
                <w:noProof/>
                <w:sz w:val="22"/>
                <w:szCs w:val="22"/>
              </w:rPr>
              <w:t>18</w:t>
            </w:r>
            <w:r w:rsidRPr="003825DF">
              <w:rPr>
                <w:rFonts w:ascii="楷体" w:eastAsia="楷体" w:hAnsi="楷体"/>
                <w:noProof/>
                <w:sz w:val="22"/>
                <w:szCs w:val="22"/>
              </w:rPr>
              <w:fldChar w:fldCharType="end"/>
            </w:r>
          </w:hyperlink>
        </w:p>
        <w:p w14:paraId="4852D9E0" w14:textId="4E4CF401" w:rsidR="00897705" w:rsidRDefault="00000000">
          <w:pPr>
            <w:spacing w:line="300" w:lineRule="auto"/>
            <w:rPr>
              <w:rFonts w:ascii="楷体" w:eastAsia="楷体" w:hAnsi="楷体" w:cs="楷体"/>
            </w:rPr>
          </w:pPr>
          <w:r>
            <w:rPr>
              <w:rFonts w:ascii="楷体" w:eastAsia="楷体" w:hAnsi="楷体" w:cs="楷体" w:hint="eastAsia"/>
            </w:rPr>
            <w:fldChar w:fldCharType="end"/>
          </w:r>
        </w:p>
      </w:sdtContent>
    </w:sdt>
    <w:p w14:paraId="2D7D47C9" w14:textId="77777777" w:rsidR="00897705" w:rsidRDefault="00000000">
      <w:pPr>
        <w:spacing w:afterLines="30" w:after="93"/>
        <w:jc w:val="center"/>
      </w:pPr>
      <w:r>
        <w:rPr>
          <w:rFonts w:ascii="楷体" w:eastAsia="楷体" w:hAnsi="楷体" w:cs="楷体" w:hint="eastAsia"/>
          <w:spacing w:val="20"/>
          <w:sz w:val="28"/>
          <w:szCs w:val="28"/>
        </w:rPr>
        <w:t>图表目录</w:t>
      </w:r>
    </w:p>
    <w:p w14:paraId="3A37A297" w14:textId="203F89E4" w:rsidR="00897705" w:rsidRDefault="00000000">
      <w:pPr>
        <w:pStyle w:val="ac"/>
        <w:tabs>
          <w:tab w:val="right" w:leader="dot" w:pos="8788"/>
        </w:tabs>
        <w:spacing w:line="300" w:lineRule="auto"/>
        <w:ind w:left="960" w:hanging="480"/>
        <w:rPr>
          <w:rFonts w:ascii="楷体" w:eastAsia="楷体" w:hAnsi="楷体" w:cs="楷体"/>
        </w:rPr>
      </w:pPr>
      <w:r>
        <w:rPr>
          <w:rFonts w:ascii="楷体" w:eastAsia="楷体" w:hAnsi="楷体" w:cs="楷体" w:hint="eastAsia"/>
        </w:rPr>
        <w:fldChar w:fldCharType="begin"/>
      </w:r>
      <w:r>
        <w:rPr>
          <w:rFonts w:ascii="楷体" w:eastAsia="楷体" w:hAnsi="楷体" w:cs="楷体" w:hint="eastAsia"/>
        </w:rPr>
        <w:instrText>TOC \h \c "表"</w:instrText>
      </w:r>
      <w:r>
        <w:rPr>
          <w:rFonts w:ascii="楷体" w:eastAsia="楷体" w:hAnsi="楷体" w:cs="楷体" w:hint="eastAsia"/>
        </w:rPr>
        <w:fldChar w:fldCharType="separate"/>
      </w:r>
      <w:hyperlink w:anchor="_Toc11093" w:history="1">
        <w:r>
          <w:rPr>
            <w:rFonts w:ascii="楷体" w:eastAsia="楷体" w:hAnsi="楷体" w:cs="楷体" w:hint="eastAsia"/>
            <w:bCs/>
          </w:rPr>
          <w:t xml:space="preserve">表 </w:t>
        </w:r>
        <w:r>
          <w:rPr>
            <w:rFonts w:ascii="楷体" w:eastAsia="楷体" w:hAnsi="楷体" w:cs="楷体" w:hint="eastAsia"/>
          </w:rPr>
          <w:t xml:space="preserve">1 </w:t>
        </w:r>
        <w:r>
          <w:rPr>
            <w:rFonts w:ascii="楷体" w:eastAsia="楷体" w:hAnsi="楷体" w:cs="楷体" w:hint="eastAsia"/>
            <w:bCs/>
          </w:rPr>
          <w:t xml:space="preserve"> </w:t>
        </w:r>
        <w:r>
          <w:rPr>
            <w:rFonts w:ascii="楷体" w:eastAsia="楷体" w:hAnsi="楷体" w:cs="楷体" w:hint="eastAsia"/>
            <w:bCs/>
            <w:szCs w:val="32"/>
          </w:rPr>
          <w:t>原始变量统计数据描述</w:t>
        </w:r>
        <w:r>
          <w:rPr>
            <w:rFonts w:ascii="楷体" w:eastAsia="楷体" w:hAnsi="楷体" w:cs="楷体" w:hint="eastAsia"/>
          </w:rPr>
          <w:tab/>
        </w:r>
        <w:r>
          <w:rPr>
            <w:rFonts w:ascii="楷体" w:eastAsia="楷体" w:hAnsi="楷体" w:cs="楷体" w:hint="eastAsia"/>
          </w:rPr>
          <w:fldChar w:fldCharType="begin"/>
        </w:r>
        <w:r>
          <w:rPr>
            <w:rFonts w:ascii="楷体" w:eastAsia="楷体" w:hAnsi="楷体" w:cs="楷体" w:hint="eastAsia"/>
          </w:rPr>
          <w:instrText xml:space="preserve"> PAGEREF _Toc11093 \h </w:instrText>
        </w:r>
        <w:r>
          <w:rPr>
            <w:rFonts w:ascii="楷体" w:eastAsia="楷体" w:hAnsi="楷体" w:cs="楷体" w:hint="eastAsia"/>
          </w:rPr>
        </w:r>
        <w:r>
          <w:rPr>
            <w:rFonts w:ascii="楷体" w:eastAsia="楷体" w:hAnsi="楷体" w:cs="楷体" w:hint="eastAsia"/>
          </w:rPr>
          <w:fldChar w:fldCharType="separate"/>
        </w:r>
        <w:r w:rsidR="0069698C">
          <w:rPr>
            <w:rFonts w:ascii="楷体" w:eastAsia="楷体" w:hAnsi="楷体" w:cs="楷体"/>
            <w:noProof/>
          </w:rPr>
          <w:t>10</w:t>
        </w:r>
        <w:r>
          <w:rPr>
            <w:rFonts w:ascii="楷体" w:eastAsia="楷体" w:hAnsi="楷体" w:cs="楷体" w:hint="eastAsia"/>
          </w:rPr>
          <w:fldChar w:fldCharType="end"/>
        </w:r>
      </w:hyperlink>
    </w:p>
    <w:p w14:paraId="03655A05" w14:textId="665BFC7B" w:rsidR="00897705" w:rsidRDefault="00000000">
      <w:pPr>
        <w:pStyle w:val="ac"/>
        <w:tabs>
          <w:tab w:val="right" w:leader="dot" w:pos="8788"/>
        </w:tabs>
        <w:spacing w:line="300" w:lineRule="auto"/>
        <w:ind w:left="960" w:hanging="480"/>
        <w:rPr>
          <w:rFonts w:ascii="楷体" w:eastAsia="楷体" w:hAnsi="楷体" w:cs="楷体"/>
        </w:rPr>
      </w:pPr>
      <w:hyperlink w:anchor="_Toc27797" w:history="1">
        <w:r>
          <w:rPr>
            <w:rFonts w:ascii="楷体" w:eastAsia="楷体" w:hAnsi="楷体" w:cs="楷体" w:hint="eastAsia"/>
            <w:bCs/>
          </w:rPr>
          <w:t xml:space="preserve">表 </w:t>
        </w:r>
        <w:r>
          <w:rPr>
            <w:rFonts w:ascii="楷体" w:eastAsia="楷体" w:hAnsi="楷体" w:cs="楷体" w:hint="eastAsia"/>
          </w:rPr>
          <w:t xml:space="preserve">2 </w:t>
        </w:r>
        <w:r>
          <w:rPr>
            <w:rFonts w:ascii="楷体" w:eastAsia="楷体" w:hAnsi="楷体" w:cs="楷体" w:hint="eastAsia"/>
            <w:bCs/>
          </w:rPr>
          <w:t xml:space="preserve"> </w:t>
        </w:r>
        <w:r>
          <w:rPr>
            <w:rFonts w:ascii="楷体" w:eastAsia="楷体" w:hAnsi="楷体" w:cs="楷体" w:hint="eastAsia"/>
          </w:rPr>
          <w:t xml:space="preserve"> </w:t>
        </w:r>
        <w:r>
          <w:rPr>
            <w:rFonts w:ascii="楷体" w:eastAsia="楷体" w:hAnsi="楷体" w:cs="楷体" w:hint="eastAsia"/>
            <w:bCs/>
          </w:rPr>
          <w:t>方向距离函数系数估计</w:t>
        </w:r>
        <w:r>
          <w:rPr>
            <w:rFonts w:ascii="楷体" w:eastAsia="楷体" w:hAnsi="楷体" w:cs="楷体" w:hint="eastAsia"/>
          </w:rPr>
          <w:tab/>
        </w:r>
        <w:r>
          <w:rPr>
            <w:rFonts w:ascii="楷体" w:eastAsia="楷体" w:hAnsi="楷体" w:cs="楷体" w:hint="eastAsia"/>
          </w:rPr>
          <w:fldChar w:fldCharType="begin"/>
        </w:r>
        <w:r>
          <w:rPr>
            <w:rFonts w:ascii="楷体" w:eastAsia="楷体" w:hAnsi="楷体" w:cs="楷体" w:hint="eastAsia"/>
          </w:rPr>
          <w:instrText xml:space="preserve"> PAGEREF _Toc27797 \h </w:instrText>
        </w:r>
        <w:r>
          <w:rPr>
            <w:rFonts w:ascii="楷体" w:eastAsia="楷体" w:hAnsi="楷体" w:cs="楷体" w:hint="eastAsia"/>
          </w:rPr>
        </w:r>
        <w:r>
          <w:rPr>
            <w:rFonts w:ascii="楷体" w:eastAsia="楷体" w:hAnsi="楷体" w:cs="楷体" w:hint="eastAsia"/>
          </w:rPr>
          <w:fldChar w:fldCharType="separate"/>
        </w:r>
        <w:r w:rsidR="0069698C">
          <w:rPr>
            <w:rFonts w:ascii="楷体" w:eastAsia="楷体" w:hAnsi="楷体" w:cs="楷体"/>
            <w:noProof/>
          </w:rPr>
          <w:t>11</w:t>
        </w:r>
        <w:r>
          <w:rPr>
            <w:rFonts w:ascii="楷体" w:eastAsia="楷体" w:hAnsi="楷体" w:cs="楷体" w:hint="eastAsia"/>
          </w:rPr>
          <w:fldChar w:fldCharType="end"/>
        </w:r>
      </w:hyperlink>
    </w:p>
    <w:p w14:paraId="623B1927" w14:textId="698EFB04" w:rsidR="00897705" w:rsidRDefault="00000000">
      <w:pPr>
        <w:pStyle w:val="ac"/>
        <w:tabs>
          <w:tab w:val="right" w:leader="dot" w:pos="8788"/>
        </w:tabs>
        <w:spacing w:line="300" w:lineRule="auto"/>
        <w:ind w:left="960" w:hanging="480"/>
        <w:rPr>
          <w:rFonts w:ascii="楷体" w:eastAsia="楷体" w:hAnsi="楷体" w:cs="楷体"/>
        </w:rPr>
      </w:pPr>
      <w:hyperlink w:anchor="_Toc17458" w:history="1">
        <w:r>
          <w:rPr>
            <w:rFonts w:ascii="楷体" w:eastAsia="楷体" w:hAnsi="楷体" w:cs="楷体" w:hint="eastAsia"/>
            <w:bCs/>
          </w:rPr>
          <w:t xml:space="preserve">表 </w:t>
        </w:r>
        <w:r>
          <w:rPr>
            <w:rFonts w:ascii="楷体" w:eastAsia="楷体" w:hAnsi="楷体" w:cs="楷体" w:hint="eastAsia"/>
          </w:rPr>
          <w:t xml:space="preserve">3 </w:t>
        </w:r>
        <w:r>
          <w:rPr>
            <w:rFonts w:ascii="楷体" w:eastAsia="楷体" w:hAnsi="楷体" w:cs="楷体" w:hint="eastAsia"/>
            <w:bCs/>
          </w:rPr>
          <w:t xml:space="preserve"> </w:t>
        </w:r>
        <w:r>
          <w:rPr>
            <w:rFonts w:ascii="楷体" w:eastAsia="楷体" w:hAnsi="楷体" w:cs="楷体" w:hint="eastAsia"/>
          </w:rPr>
          <w:t xml:space="preserve"> </w:t>
        </w:r>
        <w:r>
          <w:rPr>
            <w:rFonts w:ascii="楷体" w:eastAsia="楷体" w:hAnsi="楷体" w:cs="楷体" w:hint="eastAsia"/>
            <w:bCs/>
          </w:rPr>
          <w:t>各地区</w:t>
        </w:r>
        <w:r w:rsidR="008F6F5D">
          <w:rPr>
            <w:rFonts w:ascii="楷体" w:eastAsia="楷体" w:hAnsi="楷体" w:cs="楷体" w:hint="eastAsia"/>
            <w:bCs/>
          </w:rPr>
          <w:t>二氧化碳影子价格</w:t>
        </w:r>
        <w:r>
          <w:rPr>
            <w:rFonts w:ascii="楷体" w:eastAsia="楷体" w:hAnsi="楷体" w:cs="楷体" w:hint="eastAsia"/>
          </w:rPr>
          <w:tab/>
        </w:r>
        <w:r>
          <w:rPr>
            <w:rFonts w:ascii="楷体" w:eastAsia="楷体" w:hAnsi="楷体" w:cs="楷体" w:hint="eastAsia"/>
          </w:rPr>
          <w:fldChar w:fldCharType="begin"/>
        </w:r>
        <w:r>
          <w:rPr>
            <w:rFonts w:ascii="楷体" w:eastAsia="楷体" w:hAnsi="楷体" w:cs="楷体" w:hint="eastAsia"/>
          </w:rPr>
          <w:instrText xml:space="preserve"> PAGEREF _Toc17458 \h </w:instrText>
        </w:r>
        <w:r>
          <w:rPr>
            <w:rFonts w:ascii="楷体" w:eastAsia="楷体" w:hAnsi="楷体" w:cs="楷体" w:hint="eastAsia"/>
          </w:rPr>
        </w:r>
        <w:r>
          <w:rPr>
            <w:rFonts w:ascii="楷体" w:eastAsia="楷体" w:hAnsi="楷体" w:cs="楷体" w:hint="eastAsia"/>
          </w:rPr>
          <w:fldChar w:fldCharType="separate"/>
        </w:r>
        <w:r w:rsidR="0069698C">
          <w:rPr>
            <w:rFonts w:ascii="楷体" w:eastAsia="楷体" w:hAnsi="楷体" w:cs="楷体"/>
            <w:noProof/>
          </w:rPr>
          <w:t>11</w:t>
        </w:r>
        <w:r>
          <w:rPr>
            <w:rFonts w:ascii="楷体" w:eastAsia="楷体" w:hAnsi="楷体" w:cs="楷体" w:hint="eastAsia"/>
          </w:rPr>
          <w:fldChar w:fldCharType="end"/>
        </w:r>
      </w:hyperlink>
    </w:p>
    <w:p w14:paraId="1040D4DF" w14:textId="277BBC6F" w:rsidR="00897705" w:rsidRDefault="00000000">
      <w:pPr>
        <w:pStyle w:val="ac"/>
        <w:tabs>
          <w:tab w:val="right" w:leader="dot" w:pos="8788"/>
        </w:tabs>
        <w:spacing w:line="300" w:lineRule="auto"/>
        <w:ind w:left="960" w:hanging="480"/>
        <w:rPr>
          <w:rFonts w:ascii="楷体" w:eastAsia="楷体" w:hAnsi="楷体" w:cs="楷体"/>
        </w:rPr>
      </w:pPr>
      <w:hyperlink w:anchor="_Toc21088" w:history="1">
        <w:r>
          <w:rPr>
            <w:rFonts w:ascii="楷体" w:eastAsia="楷体" w:hAnsi="楷体" w:cs="楷体" w:hint="eastAsia"/>
            <w:bCs/>
          </w:rPr>
          <w:t xml:space="preserve">表 </w:t>
        </w:r>
        <w:r>
          <w:rPr>
            <w:rFonts w:ascii="楷体" w:eastAsia="楷体" w:hAnsi="楷体" w:cs="楷体" w:hint="eastAsia"/>
          </w:rPr>
          <w:t xml:space="preserve">4 </w:t>
        </w:r>
        <w:r>
          <w:rPr>
            <w:rFonts w:ascii="楷体" w:eastAsia="楷体" w:hAnsi="楷体" w:cs="楷体" w:hint="eastAsia"/>
            <w:bCs/>
          </w:rPr>
          <w:t xml:space="preserve"> </w:t>
        </w:r>
        <w:r>
          <w:rPr>
            <w:rFonts w:ascii="楷体" w:eastAsia="楷体" w:hAnsi="楷体" w:cs="楷体" w:hint="eastAsia"/>
          </w:rPr>
          <w:t xml:space="preserve"> </w:t>
        </w:r>
        <w:r>
          <w:rPr>
            <w:rFonts w:ascii="楷体" w:eastAsia="楷体" w:hAnsi="楷体" w:cs="楷体" w:hint="eastAsia"/>
            <w:bCs/>
          </w:rPr>
          <w:t>断点回归模型结果</w:t>
        </w:r>
        <w:r>
          <w:rPr>
            <w:rFonts w:ascii="楷体" w:eastAsia="楷体" w:hAnsi="楷体" w:cs="楷体" w:hint="eastAsia"/>
          </w:rPr>
          <w:tab/>
        </w:r>
        <w:r>
          <w:rPr>
            <w:rFonts w:ascii="楷体" w:eastAsia="楷体" w:hAnsi="楷体" w:cs="楷体" w:hint="eastAsia"/>
          </w:rPr>
          <w:fldChar w:fldCharType="begin"/>
        </w:r>
        <w:r>
          <w:rPr>
            <w:rFonts w:ascii="楷体" w:eastAsia="楷体" w:hAnsi="楷体" w:cs="楷体" w:hint="eastAsia"/>
          </w:rPr>
          <w:instrText xml:space="preserve"> PAGEREF _Toc21088 \h </w:instrText>
        </w:r>
        <w:r>
          <w:rPr>
            <w:rFonts w:ascii="楷体" w:eastAsia="楷体" w:hAnsi="楷体" w:cs="楷体" w:hint="eastAsia"/>
          </w:rPr>
        </w:r>
        <w:r>
          <w:rPr>
            <w:rFonts w:ascii="楷体" w:eastAsia="楷体" w:hAnsi="楷体" w:cs="楷体" w:hint="eastAsia"/>
          </w:rPr>
          <w:fldChar w:fldCharType="separate"/>
        </w:r>
        <w:r w:rsidR="0069698C">
          <w:rPr>
            <w:rFonts w:ascii="楷体" w:eastAsia="楷体" w:hAnsi="楷体" w:cs="楷体"/>
            <w:noProof/>
          </w:rPr>
          <w:t>14</w:t>
        </w:r>
        <w:r>
          <w:rPr>
            <w:rFonts w:ascii="楷体" w:eastAsia="楷体" w:hAnsi="楷体" w:cs="楷体" w:hint="eastAsia"/>
          </w:rPr>
          <w:fldChar w:fldCharType="end"/>
        </w:r>
      </w:hyperlink>
    </w:p>
    <w:p w14:paraId="2233317A" w14:textId="77777777" w:rsidR="00897705" w:rsidRDefault="00000000">
      <w:pPr>
        <w:spacing w:line="300" w:lineRule="auto"/>
      </w:pPr>
      <w:r>
        <w:rPr>
          <w:rFonts w:ascii="楷体" w:eastAsia="楷体" w:hAnsi="楷体" w:cs="楷体" w:hint="eastAsia"/>
        </w:rPr>
        <w:fldChar w:fldCharType="end"/>
      </w:r>
    </w:p>
    <w:p w14:paraId="20FDCD38" w14:textId="6D97C4D0" w:rsidR="00897705" w:rsidRDefault="00000000">
      <w:pPr>
        <w:pStyle w:val="ac"/>
        <w:tabs>
          <w:tab w:val="right" w:leader="dot" w:pos="8788"/>
        </w:tabs>
        <w:spacing w:line="300" w:lineRule="auto"/>
        <w:ind w:left="960" w:hanging="480"/>
        <w:rPr>
          <w:rFonts w:ascii="楷体" w:eastAsia="楷体" w:hAnsi="楷体" w:cs="楷体"/>
        </w:rPr>
      </w:pPr>
      <w:r>
        <w:rPr>
          <w:rFonts w:ascii="楷体" w:eastAsia="楷体" w:hAnsi="楷体" w:cs="楷体" w:hint="eastAsia"/>
        </w:rPr>
        <w:fldChar w:fldCharType="begin"/>
      </w:r>
      <w:r>
        <w:rPr>
          <w:rFonts w:ascii="楷体" w:eastAsia="楷体" w:hAnsi="楷体" w:cs="楷体" w:hint="eastAsia"/>
        </w:rPr>
        <w:instrText>TOC \h \c "图"</w:instrText>
      </w:r>
      <w:r>
        <w:rPr>
          <w:rFonts w:ascii="楷体" w:eastAsia="楷体" w:hAnsi="楷体" w:cs="楷体" w:hint="eastAsia"/>
        </w:rPr>
        <w:fldChar w:fldCharType="separate"/>
      </w:r>
      <w:hyperlink w:anchor="_Toc27879" w:history="1">
        <w:r>
          <w:rPr>
            <w:rFonts w:ascii="楷体" w:eastAsia="楷体" w:hAnsi="楷体" w:cs="楷体" w:hint="eastAsia"/>
            <w:bCs/>
          </w:rPr>
          <w:t xml:space="preserve">图 </w:t>
        </w:r>
        <w:r>
          <w:rPr>
            <w:rFonts w:ascii="楷体" w:eastAsia="楷体" w:hAnsi="楷体" w:cs="楷体" w:hint="eastAsia"/>
          </w:rPr>
          <w:t xml:space="preserve">1 </w:t>
        </w:r>
        <w:r>
          <w:rPr>
            <w:rFonts w:ascii="楷体" w:eastAsia="楷体" w:hAnsi="楷体" w:cs="楷体" w:hint="eastAsia"/>
            <w:bCs/>
          </w:rPr>
          <w:t xml:space="preserve">  各地区</w:t>
        </w:r>
        <w:r w:rsidR="008F6F5D">
          <w:rPr>
            <w:rFonts w:ascii="楷体" w:eastAsia="楷体" w:hAnsi="楷体" w:cs="楷体" w:hint="eastAsia"/>
            <w:bCs/>
          </w:rPr>
          <w:t>二氧化碳影子价格</w:t>
        </w:r>
        <w:r>
          <w:rPr>
            <w:rFonts w:ascii="楷体" w:eastAsia="楷体" w:hAnsi="楷体" w:cs="楷体" w:hint="eastAsia"/>
          </w:rPr>
          <w:tab/>
        </w:r>
        <w:r>
          <w:rPr>
            <w:rFonts w:ascii="楷体" w:eastAsia="楷体" w:hAnsi="楷体" w:cs="楷体" w:hint="eastAsia"/>
          </w:rPr>
          <w:fldChar w:fldCharType="begin"/>
        </w:r>
        <w:r>
          <w:rPr>
            <w:rFonts w:ascii="楷体" w:eastAsia="楷体" w:hAnsi="楷体" w:cs="楷体" w:hint="eastAsia"/>
          </w:rPr>
          <w:instrText xml:space="preserve"> PAGEREF _Toc27879 \h </w:instrText>
        </w:r>
        <w:r>
          <w:rPr>
            <w:rFonts w:ascii="楷体" w:eastAsia="楷体" w:hAnsi="楷体" w:cs="楷体" w:hint="eastAsia"/>
          </w:rPr>
        </w:r>
        <w:r>
          <w:rPr>
            <w:rFonts w:ascii="楷体" w:eastAsia="楷体" w:hAnsi="楷体" w:cs="楷体" w:hint="eastAsia"/>
          </w:rPr>
          <w:fldChar w:fldCharType="separate"/>
        </w:r>
        <w:r w:rsidR="0069698C">
          <w:rPr>
            <w:rFonts w:ascii="楷体" w:eastAsia="楷体" w:hAnsi="楷体" w:cs="楷体"/>
            <w:noProof/>
          </w:rPr>
          <w:t>12</w:t>
        </w:r>
        <w:r>
          <w:rPr>
            <w:rFonts w:ascii="楷体" w:eastAsia="楷体" w:hAnsi="楷体" w:cs="楷体" w:hint="eastAsia"/>
          </w:rPr>
          <w:fldChar w:fldCharType="end"/>
        </w:r>
      </w:hyperlink>
    </w:p>
    <w:p w14:paraId="43B6A427" w14:textId="5CC53054" w:rsidR="00897705" w:rsidRDefault="00000000">
      <w:pPr>
        <w:pStyle w:val="ac"/>
        <w:tabs>
          <w:tab w:val="right" w:leader="dot" w:pos="8788"/>
        </w:tabs>
        <w:spacing w:line="300" w:lineRule="auto"/>
        <w:ind w:left="960" w:hanging="480"/>
        <w:rPr>
          <w:rFonts w:ascii="楷体" w:eastAsia="楷体" w:hAnsi="楷体" w:cs="楷体"/>
        </w:rPr>
      </w:pPr>
      <w:hyperlink w:anchor="_Toc4439" w:history="1">
        <w:r>
          <w:rPr>
            <w:rFonts w:ascii="楷体" w:eastAsia="楷体" w:hAnsi="楷体" w:cs="楷体" w:hint="eastAsia"/>
            <w:bCs/>
          </w:rPr>
          <w:t xml:space="preserve">图 </w:t>
        </w:r>
        <w:r>
          <w:rPr>
            <w:rFonts w:ascii="楷体" w:eastAsia="楷体" w:hAnsi="楷体" w:cs="楷体" w:hint="eastAsia"/>
          </w:rPr>
          <w:t xml:space="preserve">2 </w:t>
        </w:r>
        <w:r>
          <w:rPr>
            <w:rFonts w:ascii="楷体" w:eastAsia="楷体" w:hAnsi="楷体" w:cs="楷体" w:hint="eastAsia"/>
            <w:bCs/>
          </w:rPr>
          <w:t xml:space="preserve">  东南沿海与西北内陆</w:t>
        </w:r>
        <w:r w:rsidR="008F6F5D">
          <w:rPr>
            <w:rFonts w:ascii="楷体" w:eastAsia="楷体" w:hAnsi="楷体" w:cs="楷体" w:hint="eastAsia"/>
            <w:bCs/>
          </w:rPr>
          <w:t>二氧化碳影子价格</w:t>
        </w:r>
        <w:r>
          <w:rPr>
            <w:rFonts w:ascii="楷体" w:eastAsia="楷体" w:hAnsi="楷体" w:cs="楷体" w:hint="eastAsia"/>
            <w:bCs/>
          </w:rPr>
          <w:t>差</w:t>
        </w:r>
        <w:r>
          <w:rPr>
            <w:rFonts w:ascii="楷体" w:eastAsia="楷体" w:hAnsi="楷体" w:cs="楷体" w:hint="eastAsia"/>
          </w:rPr>
          <w:tab/>
        </w:r>
        <w:r>
          <w:rPr>
            <w:rFonts w:ascii="楷体" w:eastAsia="楷体" w:hAnsi="楷体" w:cs="楷体" w:hint="eastAsia"/>
          </w:rPr>
          <w:fldChar w:fldCharType="begin"/>
        </w:r>
        <w:r>
          <w:rPr>
            <w:rFonts w:ascii="楷体" w:eastAsia="楷体" w:hAnsi="楷体" w:cs="楷体" w:hint="eastAsia"/>
          </w:rPr>
          <w:instrText xml:space="preserve"> PAGEREF _Toc4439 \h </w:instrText>
        </w:r>
        <w:r>
          <w:rPr>
            <w:rFonts w:ascii="楷体" w:eastAsia="楷体" w:hAnsi="楷体" w:cs="楷体" w:hint="eastAsia"/>
          </w:rPr>
        </w:r>
        <w:r>
          <w:rPr>
            <w:rFonts w:ascii="楷体" w:eastAsia="楷体" w:hAnsi="楷体" w:cs="楷体" w:hint="eastAsia"/>
          </w:rPr>
          <w:fldChar w:fldCharType="separate"/>
        </w:r>
        <w:r w:rsidR="0069698C">
          <w:rPr>
            <w:rFonts w:ascii="楷体" w:eastAsia="楷体" w:hAnsi="楷体" w:cs="楷体"/>
            <w:noProof/>
          </w:rPr>
          <w:t>12</w:t>
        </w:r>
        <w:r>
          <w:rPr>
            <w:rFonts w:ascii="楷体" w:eastAsia="楷体" w:hAnsi="楷体" w:cs="楷体" w:hint="eastAsia"/>
          </w:rPr>
          <w:fldChar w:fldCharType="end"/>
        </w:r>
      </w:hyperlink>
    </w:p>
    <w:p w14:paraId="50C43898" w14:textId="762C49DD" w:rsidR="00897705" w:rsidRDefault="00000000">
      <w:pPr>
        <w:pStyle w:val="ac"/>
        <w:tabs>
          <w:tab w:val="right" w:leader="dot" w:pos="8788"/>
        </w:tabs>
        <w:spacing w:line="300" w:lineRule="auto"/>
        <w:ind w:left="960" w:hanging="480"/>
        <w:rPr>
          <w:rFonts w:ascii="楷体" w:eastAsia="楷体" w:hAnsi="楷体" w:cs="楷体"/>
        </w:rPr>
      </w:pPr>
      <w:hyperlink w:anchor="_Toc27660" w:history="1">
        <w:r>
          <w:rPr>
            <w:rFonts w:ascii="楷体" w:eastAsia="楷体" w:hAnsi="楷体" w:cs="楷体" w:hint="eastAsia"/>
            <w:bCs/>
          </w:rPr>
          <w:t xml:space="preserve">图 </w:t>
        </w:r>
        <w:r>
          <w:rPr>
            <w:rFonts w:ascii="楷体" w:eastAsia="楷体" w:hAnsi="楷体" w:cs="楷体" w:hint="eastAsia"/>
          </w:rPr>
          <w:t xml:space="preserve">3 </w:t>
        </w:r>
        <w:r>
          <w:rPr>
            <w:rFonts w:ascii="楷体" w:eastAsia="楷体" w:hAnsi="楷体" w:cs="楷体" w:hint="eastAsia"/>
            <w:bCs/>
          </w:rPr>
          <w:t xml:space="preserve"> </w:t>
        </w:r>
        <w:r>
          <w:rPr>
            <w:rFonts w:ascii="楷体" w:eastAsia="楷体" w:hAnsi="楷体" w:cs="楷体" w:hint="eastAsia"/>
          </w:rPr>
          <w:t xml:space="preserve"> </w:t>
        </w:r>
        <w:r w:rsidR="008F6F5D">
          <w:rPr>
            <w:rFonts w:ascii="楷体" w:eastAsia="楷体" w:hAnsi="楷体" w:cs="楷体" w:hint="eastAsia"/>
            <w:bCs/>
          </w:rPr>
          <w:t>二氧化碳影子价格</w:t>
        </w:r>
        <w:r>
          <w:rPr>
            <w:rFonts w:ascii="楷体" w:eastAsia="楷体" w:hAnsi="楷体" w:cs="楷体" w:hint="eastAsia"/>
            <w:bCs/>
          </w:rPr>
          <w:t>地区对比与总体趋势</w:t>
        </w:r>
        <w:r>
          <w:rPr>
            <w:rFonts w:ascii="楷体" w:eastAsia="楷体" w:hAnsi="楷体" w:cs="楷体" w:hint="eastAsia"/>
          </w:rPr>
          <w:tab/>
        </w:r>
        <w:r>
          <w:rPr>
            <w:rFonts w:ascii="楷体" w:eastAsia="楷体" w:hAnsi="楷体" w:cs="楷体" w:hint="eastAsia"/>
          </w:rPr>
          <w:fldChar w:fldCharType="begin"/>
        </w:r>
        <w:r>
          <w:rPr>
            <w:rFonts w:ascii="楷体" w:eastAsia="楷体" w:hAnsi="楷体" w:cs="楷体" w:hint="eastAsia"/>
          </w:rPr>
          <w:instrText xml:space="preserve"> PAGEREF _Toc27660 \h </w:instrText>
        </w:r>
        <w:r>
          <w:rPr>
            <w:rFonts w:ascii="楷体" w:eastAsia="楷体" w:hAnsi="楷体" w:cs="楷体" w:hint="eastAsia"/>
          </w:rPr>
        </w:r>
        <w:r>
          <w:rPr>
            <w:rFonts w:ascii="楷体" w:eastAsia="楷体" w:hAnsi="楷体" w:cs="楷体" w:hint="eastAsia"/>
          </w:rPr>
          <w:fldChar w:fldCharType="separate"/>
        </w:r>
        <w:r w:rsidR="0069698C">
          <w:rPr>
            <w:rFonts w:ascii="楷体" w:eastAsia="楷体" w:hAnsi="楷体" w:cs="楷体"/>
            <w:noProof/>
          </w:rPr>
          <w:t>12</w:t>
        </w:r>
        <w:r>
          <w:rPr>
            <w:rFonts w:ascii="楷体" w:eastAsia="楷体" w:hAnsi="楷体" w:cs="楷体" w:hint="eastAsia"/>
          </w:rPr>
          <w:fldChar w:fldCharType="end"/>
        </w:r>
      </w:hyperlink>
    </w:p>
    <w:p w14:paraId="12BC038D" w14:textId="44CB067C" w:rsidR="00897705" w:rsidRDefault="00000000">
      <w:pPr>
        <w:pStyle w:val="ac"/>
        <w:tabs>
          <w:tab w:val="right" w:leader="dot" w:pos="8788"/>
        </w:tabs>
        <w:spacing w:line="300" w:lineRule="auto"/>
        <w:ind w:left="960" w:hanging="480"/>
        <w:rPr>
          <w:rFonts w:ascii="楷体" w:eastAsia="楷体" w:hAnsi="楷体" w:cs="楷体"/>
        </w:rPr>
      </w:pPr>
      <w:hyperlink w:anchor="_Toc22962" w:history="1">
        <w:r>
          <w:rPr>
            <w:rFonts w:ascii="楷体" w:eastAsia="楷体" w:hAnsi="楷体" w:cs="楷体" w:hint="eastAsia"/>
            <w:bCs/>
          </w:rPr>
          <w:t xml:space="preserve">图 </w:t>
        </w:r>
        <w:r>
          <w:rPr>
            <w:rFonts w:ascii="楷体" w:eastAsia="楷体" w:hAnsi="楷体" w:cs="楷体" w:hint="eastAsia"/>
          </w:rPr>
          <w:t xml:space="preserve">4 </w:t>
        </w:r>
        <w:r>
          <w:rPr>
            <w:rFonts w:ascii="楷体" w:eastAsia="楷体" w:hAnsi="楷体" w:cs="楷体" w:hint="eastAsia"/>
            <w:bCs/>
          </w:rPr>
          <w:t xml:space="preserve">  各省</w:t>
        </w:r>
        <w:r w:rsidR="008F6F5D">
          <w:rPr>
            <w:rFonts w:ascii="楷体" w:eastAsia="楷体" w:hAnsi="楷体" w:cs="楷体" w:hint="eastAsia"/>
            <w:bCs/>
          </w:rPr>
          <w:t>二氧化碳影子价格</w:t>
        </w:r>
        <w:r>
          <w:rPr>
            <w:rFonts w:ascii="楷体" w:eastAsia="楷体" w:hAnsi="楷体" w:cs="楷体" w:hint="eastAsia"/>
            <w:bCs/>
          </w:rPr>
          <w:t>同比变化</w:t>
        </w:r>
        <w:r>
          <w:rPr>
            <w:rFonts w:ascii="楷体" w:eastAsia="楷体" w:hAnsi="楷体" w:cs="楷体" w:hint="eastAsia"/>
          </w:rPr>
          <w:tab/>
        </w:r>
        <w:r>
          <w:rPr>
            <w:rFonts w:ascii="楷体" w:eastAsia="楷体" w:hAnsi="楷体" w:cs="楷体" w:hint="eastAsia"/>
          </w:rPr>
          <w:fldChar w:fldCharType="begin"/>
        </w:r>
        <w:r>
          <w:rPr>
            <w:rFonts w:ascii="楷体" w:eastAsia="楷体" w:hAnsi="楷体" w:cs="楷体" w:hint="eastAsia"/>
          </w:rPr>
          <w:instrText xml:space="preserve"> PAGEREF _Toc22962 \h </w:instrText>
        </w:r>
        <w:r>
          <w:rPr>
            <w:rFonts w:ascii="楷体" w:eastAsia="楷体" w:hAnsi="楷体" w:cs="楷体" w:hint="eastAsia"/>
          </w:rPr>
        </w:r>
        <w:r>
          <w:rPr>
            <w:rFonts w:ascii="楷体" w:eastAsia="楷体" w:hAnsi="楷体" w:cs="楷体" w:hint="eastAsia"/>
          </w:rPr>
          <w:fldChar w:fldCharType="separate"/>
        </w:r>
        <w:r w:rsidR="0069698C">
          <w:rPr>
            <w:rFonts w:ascii="楷体" w:eastAsia="楷体" w:hAnsi="楷体" w:cs="楷体"/>
            <w:noProof/>
          </w:rPr>
          <w:t>13</w:t>
        </w:r>
        <w:r>
          <w:rPr>
            <w:rFonts w:ascii="楷体" w:eastAsia="楷体" w:hAnsi="楷体" w:cs="楷体" w:hint="eastAsia"/>
          </w:rPr>
          <w:fldChar w:fldCharType="end"/>
        </w:r>
      </w:hyperlink>
    </w:p>
    <w:p w14:paraId="51E0F404" w14:textId="015BDB49" w:rsidR="00897705" w:rsidRDefault="00000000">
      <w:pPr>
        <w:pStyle w:val="ac"/>
        <w:tabs>
          <w:tab w:val="right" w:leader="dot" w:pos="8788"/>
        </w:tabs>
        <w:spacing w:line="300" w:lineRule="auto"/>
        <w:ind w:left="960" w:hanging="480"/>
        <w:rPr>
          <w:rFonts w:ascii="楷体" w:eastAsia="楷体" w:hAnsi="楷体" w:cs="楷体"/>
        </w:rPr>
      </w:pPr>
      <w:hyperlink w:anchor="_Toc5260" w:history="1">
        <w:r>
          <w:rPr>
            <w:rFonts w:ascii="楷体" w:eastAsia="楷体" w:hAnsi="楷体" w:cs="楷体" w:hint="eastAsia"/>
            <w:bCs/>
          </w:rPr>
          <w:t xml:space="preserve">图 </w:t>
        </w:r>
        <w:r>
          <w:rPr>
            <w:rFonts w:ascii="楷体" w:eastAsia="楷体" w:hAnsi="楷体" w:cs="楷体" w:hint="eastAsia"/>
          </w:rPr>
          <w:t xml:space="preserve">5 </w:t>
        </w:r>
        <w:r>
          <w:rPr>
            <w:rFonts w:ascii="楷体" w:eastAsia="楷体" w:hAnsi="楷体" w:cs="楷体" w:hint="eastAsia"/>
            <w:bCs/>
          </w:rPr>
          <w:t xml:space="preserve">  回归系数比较图</w:t>
        </w:r>
        <w:r>
          <w:rPr>
            <w:rFonts w:ascii="楷体" w:eastAsia="楷体" w:hAnsi="楷体" w:cs="楷体" w:hint="eastAsia"/>
          </w:rPr>
          <w:tab/>
        </w:r>
        <w:r>
          <w:rPr>
            <w:rFonts w:ascii="楷体" w:eastAsia="楷体" w:hAnsi="楷体" w:cs="楷体" w:hint="eastAsia"/>
          </w:rPr>
          <w:fldChar w:fldCharType="begin"/>
        </w:r>
        <w:r>
          <w:rPr>
            <w:rFonts w:ascii="楷体" w:eastAsia="楷体" w:hAnsi="楷体" w:cs="楷体" w:hint="eastAsia"/>
          </w:rPr>
          <w:instrText xml:space="preserve"> PAGEREF _Toc5260 \h </w:instrText>
        </w:r>
        <w:r>
          <w:rPr>
            <w:rFonts w:ascii="楷体" w:eastAsia="楷体" w:hAnsi="楷体" w:cs="楷体" w:hint="eastAsia"/>
          </w:rPr>
        </w:r>
        <w:r>
          <w:rPr>
            <w:rFonts w:ascii="楷体" w:eastAsia="楷体" w:hAnsi="楷体" w:cs="楷体" w:hint="eastAsia"/>
          </w:rPr>
          <w:fldChar w:fldCharType="separate"/>
        </w:r>
        <w:r w:rsidR="0069698C">
          <w:rPr>
            <w:rFonts w:ascii="楷体" w:eastAsia="楷体" w:hAnsi="楷体" w:cs="楷体"/>
            <w:noProof/>
          </w:rPr>
          <w:t>15</w:t>
        </w:r>
        <w:r>
          <w:rPr>
            <w:rFonts w:ascii="楷体" w:eastAsia="楷体" w:hAnsi="楷体" w:cs="楷体" w:hint="eastAsia"/>
          </w:rPr>
          <w:fldChar w:fldCharType="end"/>
        </w:r>
      </w:hyperlink>
    </w:p>
    <w:p w14:paraId="3DFE1558" w14:textId="77777777" w:rsidR="00897705" w:rsidRDefault="00000000">
      <w:pPr>
        <w:spacing w:line="300" w:lineRule="auto"/>
        <w:rPr>
          <w:rFonts w:ascii="楷体" w:eastAsia="楷体" w:hAnsi="楷体" w:cs="楷体"/>
        </w:rPr>
        <w:sectPr w:rsidR="00897705">
          <w:headerReference w:type="default" r:id="rId15"/>
          <w:footerReference w:type="default" r:id="rId16"/>
          <w:pgSz w:w="11906" w:h="16838"/>
          <w:pgMar w:top="1440" w:right="1559" w:bottom="1440" w:left="1559" w:header="851" w:footer="992" w:gutter="0"/>
          <w:pgNumType w:fmt="upperRoman" w:start="1"/>
          <w:cols w:space="425"/>
          <w:docGrid w:type="lines" w:linePitch="312"/>
        </w:sectPr>
      </w:pPr>
      <w:r>
        <w:rPr>
          <w:rFonts w:ascii="楷体" w:eastAsia="楷体" w:hAnsi="楷体" w:cs="楷体" w:hint="eastAsia"/>
        </w:rPr>
        <w:fldChar w:fldCharType="end"/>
      </w:r>
    </w:p>
    <w:p w14:paraId="5785AD47" w14:textId="718CE5DE" w:rsidR="00897705" w:rsidRDefault="00000000">
      <w:pPr>
        <w:pStyle w:val="TOC2"/>
        <w:ind w:leftChars="0" w:left="0" w:firstLine="420"/>
      </w:pPr>
      <w:r>
        <w:rPr>
          <w:b/>
          <w:bCs/>
        </w:rPr>
        <w:lastRenderedPageBreak/>
        <w:t>摘要：</w:t>
      </w:r>
      <w:r>
        <w:rPr>
          <w:rFonts w:hint="eastAsia"/>
        </w:rPr>
        <w:t>当前，随着全球气候变化带来的挑战日益严重和迫切，二氧化碳减排的相关措施和政策落实显得尤为重要。中国作为全球最大的二氧化碳排放国，已出台多项相关政策并制定明确目标来实现二氧化碳的有效减排。本文从中国省际层面出发，基于</w:t>
      </w:r>
      <w:r>
        <w:rPr>
          <w:rFonts w:hint="eastAsia"/>
        </w:rPr>
        <w:t>2</w:t>
      </w:r>
      <w:r>
        <w:t>011-2020</w:t>
      </w:r>
      <w:r>
        <w:rPr>
          <w:rFonts w:hint="eastAsia"/>
        </w:rPr>
        <w:t>十年期间中国</w:t>
      </w:r>
      <w:r>
        <w:rPr>
          <w:rFonts w:hint="eastAsia"/>
        </w:rPr>
        <w:t>8</w:t>
      </w:r>
      <w:r>
        <w:rPr>
          <w:rFonts w:hint="eastAsia"/>
        </w:rPr>
        <w:t>个具有代表性的省份的面板数据，借助二次型方向性距离函数初步测算影子价格的时间和空间分布差异，并通过断点回归来探究我国在十年期间中的重要关键时点（</w:t>
      </w:r>
      <w:r>
        <w:rPr>
          <w:rFonts w:hint="eastAsia"/>
        </w:rPr>
        <w:t>2</w:t>
      </w:r>
      <w:r>
        <w:t>015</w:t>
      </w:r>
      <w:r>
        <w:rPr>
          <w:rFonts w:hint="eastAsia"/>
        </w:rPr>
        <w:t>年）的重大政策出台和重大目标制定是否对原有减排节奏带来结构性的变化，从而对我国减</w:t>
      </w:r>
      <w:proofErr w:type="gramStart"/>
      <w:r>
        <w:rPr>
          <w:rFonts w:hint="eastAsia"/>
        </w:rPr>
        <w:t>排政策</w:t>
      </w:r>
      <w:proofErr w:type="gramEnd"/>
      <w:r>
        <w:rPr>
          <w:rFonts w:hint="eastAsia"/>
        </w:rPr>
        <w:t>的实施效果和长远影响进行评估，对未来政策出台方向、实施等方面具有一定参考意义。</w:t>
      </w:r>
    </w:p>
    <w:p w14:paraId="6F6722CA" w14:textId="57E3E123" w:rsidR="00897705" w:rsidRDefault="00000000" w:rsidP="00A406CB">
      <w:pPr>
        <w:ind w:firstLine="420"/>
        <w:rPr>
          <w:rFonts w:hint="eastAsia"/>
        </w:rPr>
      </w:pPr>
      <w:r>
        <w:rPr>
          <w:rFonts w:hint="eastAsia"/>
          <w:b/>
          <w:bCs/>
        </w:rPr>
        <w:t>关键词：</w:t>
      </w:r>
      <w:r>
        <w:rPr>
          <w:rFonts w:hint="eastAsia"/>
        </w:rPr>
        <w:t>影子价格</w:t>
      </w:r>
      <w:r>
        <w:rPr>
          <w:rFonts w:hint="eastAsia"/>
        </w:rPr>
        <w:t xml:space="preserve"> </w:t>
      </w:r>
      <w:r>
        <w:rPr>
          <w:rFonts w:hint="eastAsia"/>
        </w:rPr>
        <w:t>方向距离函数</w:t>
      </w:r>
      <w:r>
        <w:rPr>
          <w:rFonts w:hint="eastAsia"/>
        </w:rPr>
        <w:t xml:space="preserve"> </w:t>
      </w:r>
      <w:r>
        <w:rPr>
          <w:rFonts w:hint="eastAsia"/>
        </w:rPr>
        <w:t>关键时点</w:t>
      </w:r>
      <w:r>
        <w:t xml:space="preserve"> </w:t>
      </w:r>
      <w:r>
        <w:rPr>
          <w:rFonts w:hint="eastAsia"/>
        </w:rPr>
        <w:t>断点回归</w:t>
      </w:r>
      <w:r>
        <w:rPr>
          <w:rFonts w:hint="eastAsia"/>
          <w:b/>
          <w:bCs/>
        </w:rPr>
        <w:t xml:space="preserve"> </w:t>
      </w:r>
      <w:r>
        <w:rPr>
          <w:rFonts w:hint="eastAsia"/>
        </w:rPr>
        <w:t>政策制定</w:t>
      </w:r>
    </w:p>
    <w:p w14:paraId="62AEA055" w14:textId="77777777" w:rsidR="00897705" w:rsidRDefault="00000000">
      <w:pPr>
        <w:pStyle w:val="1"/>
        <w:numPr>
          <w:ilvl w:val="0"/>
          <w:numId w:val="2"/>
        </w:numPr>
        <w:spacing w:before="312"/>
      </w:pPr>
      <w:bookmarkStart w:id="0" w:name="_Toc154908710"/>
      <w:r>
        <w:rPr>
          <w:rFonts w:hint="eastAsia"/>
        </w:rPr>
        <w:t>引言</w:t>
      </w:r>
      <w:bookmarkEnd w:id="0"/>
    </w:p>
    <w:p w14:paraId="6049CDF2" w14:textId="77777777" w:rsidR="00897705" w:rsidRDefault="00000000">
      <w:pPr>
        <w:ind w:firstLine="420"/>
      </w:pPr>
      <w:r>
        <w:rPr>
          <w:rFonts w:hint="eastAsia"/>
        </w:rPr>
        <w:t>当前，气候变化已成为当今世界面临的最紧迫和严峻的全球性挑战之一。</w:t>
      </w:r>
      <w:r>
        <w:t>2023</w:t>
      </w:r>
      <w:r>
        <w:rPr>
          <w:rFonts w:hint="eastAsia"/>
        </w:rPr>
        <w:t>年的全球气候情况揭示了这一问题的严重性和迫切性：根据联合国气象组织（</w:t>
      </w:r>
      <w:r>
        <w:t>WMO</w:t>
      </w:r>
      <w:r>
        <w:rPr>
          <w:rFonts w:hint="eastAsia"/>
        </w:rPr>
        <w:t>）的最新《全球气候状况报告》，自</w:t>
      </w:r>
      <w:r>
        <w:t>1850</w:t>
      </w:r>
      <w:r>
        <w:rPr>
          <w:rFonts w:hint="eastAsia"/>
        </w:rPr>
        <w:t>年有规律记录以来的最近八年是有记录以来最热的八年，表明全球温度持续升高，气候变化的影响日益显著</w:t>
      </w:r>
      <w:r>
        <w:rPr>
          <w:rFonts w:ascii="宋体" w:hAnsi="宋体" w:cs="宋体" w:hint="eastAsia"/>
        </w:rPr>
        <w:t>。</w:t>
      </w:r>
      <w:r>
        <w:rPr>
          <w:rFonts w:hint="eastAsia"/>
        </w:rPr>
        <w:t>同时，</w:t>
      </w:r>
      <w:r>
        <w:t>2023</w:t>
      </w:r>
      <w:r>
        <w:rPr>
          <w:rFonts w:hint="eastAsia"/>
        </w:rPr>
        <w:t>年被记录为有史以来最热的一年，全球平均气温攀升至空前的高度。南半球经历了特别酷热的冬季和早春，部分地区的温度超过了</w:t>
      </w:r>
      <w:r>
        <w:t>40°C</w:t>
      </w:r>
      <w:r>
        <w:rPr>
          <w:rFonts w:hint="eastAsia"/>
        </w:rPr>
        <w:t>（</w:t>
      </w:r>
      <w:r>
        <w:t>104°F</w:t>
      </w:r>
      <w:r>
        <w:rPr>
          <w:rFonts w:hint="eastAsia"/>
        </w:rPr>
        <w:t>）</w:t>
      </w:r>
      <w:r>
        <w:rPr>
          <w:rFonts w:ascii="宋体" w:hAnsi="宋体" w:cs="宋体" w:hint="eastAsia"/>
        </w:rPr>
        <w:t>。从这些极端气温事件对人类健康、农业生产、自然生态系统和经济发展造成了严重影响。</w:t>
      </w:r>
    </w:p>
    <w:p w14:paraId="0A6E9A6E" w14:textId="77777777" w:rsidR="00897705" w:rsidRDefault="00000000">
      <w:pPr>
        <w:ind w:firstLine="420"/>
      </w:pPr>
      <w:r>
        <w:rPr>
          <w:rFonts w:hint="eastAsia"/>
        </w:rPr>
        <w:t>在这种背景下，中国作为世界上最大的温室气体排放国，其在减</w:t>
      </w:r>
      <w:proofErr w:type="gramStart"/>
      <w:r>
        <w:rPr>
          <w:rFonts w:hint="eastAsia"/>
        </w:rPr>
        <w:t>排方面</w:t>
      </w:r>
      <w:proofErr w:type="gramEnd"/>
      <w:r>
        <w:rPr>
          <w:rFonts w:hint="eastAsia"/>
        </w:rPr>
        <w:t>的努力对于全球环境保护具有重要意义。</w:t>
      </w:r>
      <w:r>
        <w:rPr>
          <w:rFonts w:hint="eastAsia"/>
        </w:rPr>
        <w:t>2015</w:t>
      </w:r>
      <w:r>
        <w:rPr>
          <w:rFonts w:hint="eastAsia"/>
        </w:rPr>
        <w:t>年前后，中国</w:t>
      </w:r>
      <w:proofErr w:type="gramStart"/>
      <w:r>
        <w:rPr>
          <w:rFonts w:hint="eastAsia"/>
        </w:rPr>
        <w:t>碳减排相关</w:t>
      </w:r>
      <w:proofErr w:type="gramEnd"/>
      <w:r>
        <w:rPr>
          <w:rFonts w:hint="eastAsia"/>
        </w:rPr>
        <w:t>政策井喷式出台：</w:t>
      </w:r>
    </w:p>
    <w:p w14:paraId="50271573" w14:textId="77777777" w:rsidR="00897705" w:rsidRDefault="00000000">
      <w:pPr>
        <w:ind w:firstLine="420"/>
        <w:rPr>
          <w:rFonts w:ascii="宋体" w:hAnsi="宋体" w:cs="宋体"/>
        </w:rPr>
      </w:pPr>
      <w:r>
        <w:rPr>
          <w:rFonts w:hint="eastAsia"/>
        </w:rPr>
        <w:t>2013</w:t>
      </w:r>
      <w:r>
        <w:rPr>
          <w:rFonts w:hint="eastAsia"/>
        </w:rPr>
        <w:t>年深圳启动了全国首个</w:t>
      </w:r>
      <w:proofErr w:type="gramStart"/>
      <w:r>
        <w:rPr>
          <w:rFonts w:hint="eastAsia"/>
        </w:rPr>
        <w:t>碳交易</w:t>
      </w:r>
      <w:proofErr w:type="gramEnd"/>
      <w:r>
        <w:rPr>
          <w:rFonts w:hint="eastAsia"/>
        </w:rPr>
        <w:t>市场，后续</w:t>
      </w:r>
      <w:r>
        <w:rPr>
          <w:rFonts w:hint="eastAsia"/>
        </w:rPr>
        <w:t>7</w:t>
      </w:r>
      <w:r>
        <w:rPr>
          <w:rFonts w:hint="eastAsia"/>
        </w:rPr>
        <w:t>个碳排放交易试点城市又相继建立；</w:t>
      </w:r>
      <w:r>
        <w:rPr>
          <w:rFonts w:hint="eastAsia"/>
        </w:rPr>
        <w:t>2013</w:t>
      </w:r>
      <w:r>
        <w:rPr>
          <w:rFonts w:hint="eastAsia"/>
        </w:rPr>
        <w:t>年</w:t>
      </w:r>
      <w:r>
        <w:rPr>
          <w:rFonts w:hint="eastAsia"/>
        </w:rPr>
        <w:t>6</w:t>
      </w:r>
      <w:r>
        <w:rPr>
          <w:rFonts w:hint="eastAsia"/>
        </w:rPr>
        <w:t>月</w:t>
      </w:r>
      <w:r>
        <w:rPr>
          <w:rFonts w:hint="eastAsia"/>
        </w:rPr>
        <w:t>17</w:t>
      </w:r>
      <w:r>
        <w:rPr>
          <w:rFonts w:hint="eastAsia"/>
        </w:rPr>
        <w:t>日是中国第一个“全国低碳日”，旨在将低碳的理念推向普罗大众；</w:t>
      </w:r>
      <w:r>
        <w:rPr>
          <w:rFonts w:hint="eastAsia"/>
        </w:rPr>
        <w:t>2015</w:t>
      </w:r>
      <w:r>
        <w:rPr>
          <w:rFonts w:hint="eastAsia"/>
        </w:rPr>
        <w:t>年中国向联合国提交了应对气候变化的国家自主贡献文件，文件提到</w:t>
      </w:r>
      <w:proofErr w:type="gramStart"/>
      <w:r>
        <w:rPr>
          <w:rFonts w:hint="eastAsia"/>
        </w:rPr>
        <w:t>到</w:t>
      </w:r>
      <w:proofErr w:type="gramEnd"/>
      <w:r>
        <w:rPr>
          <w:rFonts w:hint="eastAsia"/>
        </w:rPr>
        <w:t>2030</w:t>
      </w:r>
      <w:r>
        <w:rPr>
          <w:rFonts w:hint="eastAsia"/>
        </w:rPr>
        <w:t>年，中国的单位国内生产总值二氧化碳排放将比</w:t>
      </w:r>
      <w:r>
        <w:rPr>
          <w:rFonts w:hint="eastAsia"/>
        </w:rPr>
        <w:t xml:space="preserve"> 2005 </w:t>
      </w:r>
      <w:r>
        <w:rPr>
          <w:rFonts w:hint="eastAsia"/>
        </w:rPr>
        <w:t>年下降</w:t>
      </w:r>
      <w:r>
        <w:rPr>
          <w:rFonts w:hint="eastAsia"/>
        </w:rPr>
        <w:t xml:space="preserve"> 60</w:t>
      </w:r>
      <w:r>
        <w:rPr>
          <w:rFonts w:hint="eastAsia"/>
        </w:rPr>
        <w:t>％－</w:t>
      </w:r>
      <w:r>
        <w:rPr>
          <w:rFonts w:hint="eastAsia"/>
        </w:rPr>
        <w:t>65</w:t>
      </w:r>
      <w:r>
        <w:rPr>
          <w:rFonts w:hint="eastAsia"/>
        </w:rPr>
        <w:t>％，这</w:t>
      </w:r>
      <w:r>
        <w:rPr>
          <w:rFonts w:ascii="宋体" w:hAnsi="宋体" w:cs="宋体"/>
        </w:rPr>
        <w:t>一目标代表着中国为实现《联合国气候变化框架公约》提出的目标所做出的应对气候变化最大努力</w:t>
      </w:r>
      <w:r>
        <w:rPr>
          <w:rFonts w:ascii="宋体" w:hAnsi="宋体" w:cs="宋体" w:hint="eastAsia"/>
        </w:rPr>
        <w:t>。</w:t>
      </w:r>
    </w:p>
    <w:p w14:paraId="066EAC0E" w14:textId="77777777" w:rsidR="00897705" w:rsidRDefault="00000000">
      <w:pPr>
        <w:ind w:firstLine="420"/>
      </w:pPr>
      <w:r>
        <w:rPr>
          <w:rFonts w:ascii="宋体" w:hAnsi="宋体" w:cs="宋体" w:hint="eastAsia"/>
        </w:rPr>
        <w:t>而中国</w:t>
      </w:r>
      <w:proofErr w:type="gramStart"/>
      <w:r>
        <w:rPr>
          <w:rFonts w:ascii="宋体" w:hAnsi="宋体" w:cs="宋体" w:hint="eastAsia"/>
        </w:rPr>
        <w:t>碳减排史</w:t>
      </w:r>
      <w:proofErr w:type="gramEnd"/>
      <w:r>
        <w:rPr>
          <w:rFonts w:ascii="宋体" w:hAnsi="宋体" w:cs="宋体" w:hint="eastAsia"/>
        </w:rPr>
        <w:t>上一个里程碑的事件，就是《巴黎协定》的签订：</w:t>
      </w:r>
      <w:r>
        <w:rPr>
          <w:rFonts w:hint="eastAsia"/>
        </w:rPr>
        <w:t>2015</w:t>
      </w:r>
      <w:r>
        <w:rPr>
          <w:rFonts w:hint="eastAsia"/>
        </w:rPr>
        <w:t>年</w:t>
      </w:r>
      <w:r>
        <w:rPr>
          <w:rFonts w:hint="eastAsia"/>
        </w:rPr>
        <w:t>12</w:t>
      </w:r>
      <w:r>
        <w:rPr>
          <w:rFonts w:hint="eastAsia"/>
        </w:rPr>
        <w:t>月</w:t>
      </w:r>
      <w:r>
        <w:rPr>
          <w:rFonts w:hint="eastAsia"/>
        </w:rPr>
        <w:t>12</w:t>
      </w:r>
      <w:r>
        <w:rPr>
          <w:rFonts w:hint="eastAsia"/>
        </w:rPr>
        <w:t>日中国等约</w:t>
      </w:r>
      <w:r>
        <w:rPr>
          <w:rFonts w:hint="eastAsia"/>
        </w:rPr>
        <w:t>180</w:t>
      </w:r>
      <w:r>
        <w:rPr>
          <w:rFonts w:hint="eastAsia"/>
        </w:rPr>
        <w:t>个缔约方在第</w:t>
      </w:r>
      <w:r>
        <w:rPr>
          <w:rFonts w:hint="eastAsia"/>
        </w:rPr>
        <w:t>21</w:t>
      </w:r>
      <w:r>
        <w:rPr>
          <w:rFonts w:hint="eastAsia"/>
        </w:rPr>
        <w:t>届联合国气候变化大会上通过《巴黎协定》，并</w:t>
      </w:r>
      <w:r>
        <w:rPr>
          <w:rFonts w:hint="eastAsia"/>
        </w:rPr>
        <w:lastRenderedPageBreak/>
        <w:t>于</w:t>
      </w:r>
      <w:r>
        <w:rPr>
          <w:rFonts w:hint="eastAsia"/>
        </w:rPr>
        <w:t>2016</w:t>
      </w:r>
      <w:r>
        <w:rPr>
          <w:rFonts w:hint="eastAsia"/>
        </w:rPr>
        <w:t>年</w:t>
      </w:r>
      <w:r>
        <w:rPr>
          <w:rFonts w:hint="eastAsia"/>
        </w:rPr>
        <w:t>4</w:t>
      </w:r>
      <w:r>
        <w:rPr>
          <w:rFonts w:hint="eastAsia"/>
        </w:rPr>
        <w:t>月</w:t>
      </w:r>
      <w:r>
        <w:rPr>
          <w:rFonts w:hint="eastAsia"/>
        </w:rPr>
        <w:t>22</w:t>
      </w:r>
      <w:r>
        <w:rPr>
          <w:rFonts w:hint="eastAsia"/>
        </w:rPr>
        <w:t>日正式签署《巴黎协定》。在《巴黎协定》中，中国提出了一系列重要的气候变化应对措施。其中，中国首次提出承诺在</w:t>
      </w:r>
      <w:r>
        <w:rPr>
          <w:rFonts w:hint="eastAsia"/>
        </w:rPr>
        <w:t>2030</w:t>
      </w:r>
      <w:r>
        <w:rPr>
          <w:rFonts w:hint="eastAsia"/>
        </w:rPr>
        <w:t>年前达到二氧化碳排放的峰值，并在</w:t>
      </w:r>
      <w:r>
        <w:rPr>
          <w:rFonts w:hint="eastAsia"/>
        </w:rPr>
        <w:t>2060</w:t>
      </w:r>
      <w:r>
        <w:rPr>
          <w:rFonts w:hint="eastAsia"/>
        </w:rPr>
        <w:t>年前实现碳中和。此外，中国还承诺到</w:t>
      </w:r>
      <w:r>
        <w:rPr>
          <w:rFonts w:hint="eastAsia"/>
        </w:rPr>
        <w:t>2030</w:t>
      </w:r>
      <w:r>
        <w:rPr>
          <w:rFonts w:hint="eastAsia"/>
        </w:rPr>
        <w:t>年将二氧化碳排放强度（即每单位国内生产总值的</w:t>
      </w:r>
      <w:r>
        <w:rPr>
          <w:rFonts w:hint="eastAsia"/>
        </w:rPr>
        <w:t>CO2</w:t>
      </w:r>
      <w:r>
        <w:rPr>
          <w:rFonts w:hint="eastAsia"/>
        </w:rPr>
        <w:t>排放量）比</w:t>
      </w:r>
      <w:r>
        <w:rPr>
          <w:rFonts w:hint="eastAsia"/>
        </w:rPr>
        <w:t>2005</w:t>
      </w:r>
      <w:r>
        <w:rPr>
          <w:rFonts w:hint="eastAsia"/>
        </w:rPr>
        <w:t>年水平降低超过</w:t>
      </w:r>
      <w:r>
        <w:rPr>
          <w:rFonts w:hint="eastAsia"/>
        </w:rPr>
        <w:t>65%</w:t>
      </w:r>
      <w:r>
        <w:rPr>
          <w:rFonts w:hint="eastAsia"/>
        </w:rPr>
        <w:t>，将非化石能源在一次能源消费中的比重提高到约</w:t>
      </w:r>
      <w:r>
        <w:rPr>
          <w:rFonts w:hint="eastAsia"/>
        </w:rPr>
        <w:t>25%</w:t>
      </w:r>
      <w:r>
        <w:rPr>
          <w:rFonts w:hint="eastAsia"/>
        </w:rPr>
        <w:t>，并且计划到</w:t>
      </w:r>
      <w:r>
        <w:rPr>
          <w:rFonts w:hint="eastAsia"/>
        </w:rPr>
        <w:t>2030</w:t>
      </w:r>
      <w:r>
        <w:rPr>
          <w:rFonts w:hint="eastAsia"/>
        </w:rPr>
        <w:t>年森林蓄积量比</w:t>
      </w:r>
      <w:r>
        <w:rPr>
          <w:rFonts w:hint="eastAsia"/>
        </w:rPr>
        <w:t>2005</w:t>
      </w:r>
      <w:r>
        <w:rPr>
          <w:rFonts w:hint="eastAsia"/>
        </w:rPr>
        <w:t>年水平增加</w:t>
      </w:r>
      <w:r>
        <w:rPr>
          <w:rFonts w:hint="eastAsia"/>
        </w:rPr>
        <w:t>60</w:t>
      </w:r>
      <w:r>
        <w:rPr>
          <w:rFonts w:hint="eastAsia"/>
        </w:rPr>
        <w:t>亿立方米。同时，中国计划到</w:t>
      </w:r>
      <w:r>
        <w:rPr>
          <w:rFonts w:hint="eastAsia"/>
        </w:rPr>
        <w:t>2030</w:t>
      </w:r>
      <w:r>
        <w:rPr>
          <w:rFonts w:hint="eastAsia"/>
        </w:rPr>
        <w:t>年，风能和太阳能的装机容量将超过</w:t>
      </w:r>
      <w:r>
        <w:rPr>
          <w:rFonts w:hint="eastAsia"/>
        </w:rPr>
        <w:t>1200</w:t>
      </w:r>
      <w:r>
        <w:rPr>
          <w:rFonts w:hint="eastAsia"/>
        </w:rPr>
        <w:t>吉瓦。</w:t>
      </w:r>
    </w:p>
    <w:p w14:paraId="5ECB4F4E" w14:textId="77777777" w:rsidR="00897705" w:rsidRDefault="00000000">
      <w:pPr>
        <w:ind w:firstLine="420"/>
        <w:rPr>
          <w:rFonts w:ascii="宋体" w:hAnsi="宋体" w:cs="宋体"/>
        </w:rPr>
      </w:pPr>
      <w:r>
        <w:rPr>
          <w:rFonts w:hint="eastAsia"/>
        </w:rPr>
        <w:t>自</w:t>
      </w:r>
      <w:r>
        <w:rPr>
          <w:rFonts w:hint="eastAsia"/>
        </w:rPr>
        <w:t>2015</w:t>
      </w:r>
      <w:r>
        <w:rPr>
          <w:rFonts w:hint="eastAsia"/>
        </w:rPr>
        <w:t>年起始，中国政府大力</w:t>
      </w:r>
      <w:proofErr w:type="gramStart"/>
      <w:r>
        <w:rPr>
          <w:rFonts w:hint="eastAsia"/>
        </w:rPr>
        <w:t>推动碳减排</w:t>
      </w:r>
      <w:proofErr w:type="gramEnd"/>
      <w:r>
        <w:rPr>
          <w:rFonts w:hint="eastAsia"/>
        </w:rPr>
        <w:t>，全国进入了低碳建设的快车道。</w:t>
      </w:r>
      <w:r>
        <w:rPr>
          <w:rFonts w:hint="eastAsia"/>
        </w:rPr>
        <w:t>2016</w:t>
      </w:r>
      <w:r>
        <w:rPr>
          <w:rFonts w:hint="eastAsia"/>
        </w:rPr>
        <w:t>年，人民银行、财政部等七部委联合印发的《关于构建绿色金融体系的指导意见》，提出了我国第一个较为系统的绿色金融发展政策框架。</w:t>
      </w:r>
      <w:r>
        <w:rPr>
          <w:rFonts w:hint="eastAsia"/>
        </w:rPr>
        <w:t>2017</w:t>
      </w:r>
      <w:r>
        <w:rPr>
          <w:rFonts w:hint="eastAsia"/>
        </w:rPr>
        <w:t>年，</w:t>
      </w:r>
      <w:proofErr w:type="gramStart"/>
      <w:r>
        <w:rPr>
          <w:rFonts w:hint="eastAsia"/>
        </w:rPr>
        <w:t>国家发改委</w:t>
      </w:r>
      <w:proofErr w:type="gramEnd"/>
      <w:r>
        <w:rPr>
          <w:rFonts w:hint="eastAsia"/>
        </w:rPr>
        <w:t>发布《能源生产和消费革命战略</w:t>
      </w:r>
      <w:r>
        <w:rPr>
          <w:rFonts w:hint="eastAsia"/>
        </w:rPr>
        <w:t>(2016-2030)</w:t>
      </w:r>
      <w:r>
        <w:rPr>
          <w:rFonts w:hint="eastAsia"/>
        </w:rPr>
        <w:t>》，提出非化石能源消费比重由</w:t>
      </w:r>
      <w:r>
        <w:rPr>
          <w:rFonts w:hint="eastAsia"/>
        </w:rPr>
        <w:t>2020</w:t>
      </w:r>
      <w:r>
        <w:rPr>
          <w:rFonts w:hint="eastAsia"/>
        </w:rPr>
        <w:t>年的</w:t>
      </w:r>
      <w:r>
        <w:rPr>
          <w:rFonts w:hint="eastAsia"/>
        </w:rPr>
        <w:t>15%</w:t>
      </w:r>
      <w:r>
        <w:rPr>
          <w:rFonts w:hint="eastAsia"/>
        </w:rPr>
        <w:t>提升至</w:t>
      </w:r>
      <w:r>
        <w:rPr>
          <w:rFonts w:hint="eastAsia"/>
        </w:rPr>
        <w:t>2030</w:t>
      </w:r>
      <w:r>
        <w:rPr>
          <w:rFonts w:hint="eastAsia"/>
        </w:rPr>
        <w:t>年的</w:t>
      </w:r>
      <w:r>
        <w:rPr>
          <w:rFonts w:hint="eastAsia"/>
        </w:rPr>
        <w:t>20%,</w:t>
      </w:r>
      <w:r>
        <w:rPr>
          <w:rFonts w:hint="eastAsia"/>
        </w:rPr>
        <w:t>到</w:t>
      </w:r>
      <w:r>
        <w:rPr>
          <w:rFonts w:hint="eastAsia"/>
        </w:rPr>
        <w:t>2050</w:t>
      </w:r>
      <w:r>
        <w:rPr>
          <w:rFonts w:hint="eastAsia"/>
        </w:rPr>
        <w:t>年提升至</w:t>
      </w:r>
      <w:r>
        <w:rPr>
          <w:rFonts w:hint="eastAsia"/>
        </w:rPr>
        <w:t>50%</w:t>
      </w:r>
      <w:r>
        <w:rPr>
          <w:rFonts w:hint="eastAsia"/>
        </w:rPr>
        <w:t>，“煤炭清洁高效利用”被列入“面向</w:t>
      </w:r>
      <w:r>
        <w:rPr>
          <w:rFonts w:hint="eastAsia"/>
        </w:rPr>
        <w:t>2030</w:t>
      </w:r>
      <w:r>
        <w:rPr>
          <w:rFonts w:hint="eastAsia"/>
        </w:rPr>
        <w:t>国家重大项目”。</w:t>
      </w:r>
      <w:r>
        <w:rPr>
          <w:rFonts w:hint="eastAsia"/>
        </w:rPr>
        <w:t>2017</w:t>
      </w:r>
      <w:r>
        <w:rPr>
          <w:rFonts w:hint="eastAsia"/>
        </w:rPr>
        <w:t>年，</w:t>
      </w:r>
      <w:proofErr w:type="gramStart"/>
      <w:r>
        <w:rPr>
          <w:rFonts w:hint="eastAsia"/>
        </w:rPr>
        <w:t>国家发改委</w:t>
      </w:r>
      <w:proofErr w:type="gramEnd"/>
      <w:r>
        <w:rPr>
          <w:rFonts w:hint="eastAsia"/>
        </w:rPr>
        <w:t>印发《全国碳排放权交易市场建设方案</w:t>
      </w:r>
      <w:r>
        <w:rPr>
          <w:rFonts w:hint="eastAsia"/>
        </w:rPr>
        <w:t>(</w:t>
      </w:r>
      <w:r>
        <w:rPr>
          <w:rFonts w:hint="eastAsia"/>
        </w:rPr>
        <w:t>发电行业</w:t>
      </w:r>
      <w:r>
        <w:rPr>
          <w:rFonts w:hint="eastAsia"/>
        </w:rPr>
        <w:t>)</w:t>
      </w:r>
      <w:r>
        <w:rPr>
          <w:rFonts w:hint="eastAsia"/>
        </w:rPr>
        <w:t>》，正式启动全国碳排放交易体系建设工作。而近些年来，相关政策出台更为密集：</w:t>
      </w:r>
      <w:r>
        <w:rPr>
          <w:rFonts w:hint="eastAsia"/>
        </w:rPr>
        <w:t>2020</w:t>
      </w:r>
      <w:r>
        <w:rPr>
          <w:rFonts w:hint="eastAsia"/>
        </w:rPr>
        <w:t>年</w:t>
      </w:r>
      <w:r>
        <w:rPr>
          <w:rFonts w:hint="eastAsia"/>
        </w:rPr>
        <w:t>9</w:t>
      </w:r>
      <w:r>
        <w:rPr>
          <w:rFonts w:hint="eastAsia"/>
        </w:rPr>
        <w:t>月，中国国家主席习近平宣布中国的重大承诺：中国将在</w:t>
      </w:r>
      <w:r>
        <w:t>2030</w:t>
      </w:r>
      <w:r>
        <w:rPr>
          <w:rFonts w:hint="eastAsia"/>
        </w:rPr>
        <w:t>年前达到碳排放峰值，并在</w:t>
      </w:r>
      <w:r>
        <w:t>2060</w:t>
      </w:r>
      <w:r>
        <w:rPr>
          <w:rFonts w:hint="eastAsia"/>
        </w:rPr>
        <w:t>年前实现碳中和；</w:t>
      </w:r>
      <w:r>
        <w:t>2021</w:t>
      </w:r>
      <w:r>
        <w:rPr>
          <w:rFonts w:hint="eastAsia"/>
        </w:rPr>
        <w:t>年</w:t>
      </w:r>
      <w:r>
        <w:t>10</w:t>
      </w:r>
      <w:r>
        <w:rPr>
          <w:rFonts w:hint="eastAsia"/>
        </w:rPr>
        <w:t>月，中国政府公布了名为</w:t>
      </w:r>
      <w:r>
        <w:t>"1+N"</w:t>
      </w:r>
      <w:r>
        <w:rPr>
          <w:rFonts w:hint="eastAsia"/>
        </w:rPr>
        <w:t>的政策框架，这是一系列旨在</w:t>
      </w:r>
      <w:proofErr w:type="gramStart"/>
      <w:r>
        <w:rPr>
          <w:rFonts w:hint="eastAsia"/>
        </w:rPr>
        <w:t>实现碳达峰</w:t>
      </w:r>
      <w:proofErr w:type="gramEnd"/>
      <w:r>
        <w:rPr>
          <w:rFonts w:hint="eastAsia"/>
        </w:rPr>
        <w:t>和</w:t>
      </w:r>
      <w:proofErr w:type="gramStart"/>
      <w:r>
        <w:rPr>
          <w:rFonts w:hint="eastAsia"/>
        </w:rPr>
        <w:t>碳中和</w:t>
      </w:r>
      <w:proofErr w:type="gramEnd"/>
      <w:r>
        <w:rPr>
          <w:rFonts w:hint="eastAsia"/>
        </w:rPr>
        <w:t>目标的指导性文件。</w:t>
      </w:r>
      <w:r>
        <w:t>"1+N"</w:t>
      </w:r>
      <w:r>
        <w:rPr>
          <w:rFonts w:hint="eastAsia"/>
        </w:rPr>
        <w:t>政策框架强调创建绿色、低碳、循环经济，提高能源效率，增加非化石能源的消费份额，降低</w:t>
      </w:r>
      <w:r>
        <w:t>CO2</w:t>
      </w:r>
      <w:r>
        <w:rPr>
          <w:rFonts w:hint="eastAsia"/>
        </w:rPr>
        <w:t>排放，以及提升生态系统</w:t>
      </w:r>
      <w:proofErr w:type="gramStart"/>
      <w:r>
        <w:rPr>
          <w:rFonts w:hint="eastAsia"/>
        </w:rPr>
        <w:t>的碳汇能力</w:t>
      </w:r>
      <w:proofErr w:type="gramEnd"/>
      <w:r>
        <w:rPr>
          <w:rFonts w:hint="eastAsia"/>
        </w:rPr>
        <w:t>，该框架还设定了具体的目标，例如到</w:t>
      </w:r>
      <w:r>
        <w:t>2025</w:t>
      </w:r>
      <w:r>
        <w:rPr>
          <w:rFonts w:hint="eastAsia"/>
        </w:rPr>
        <w:t>年非化石能源的消费份额将达到</w:t>
      </w:r>
      <w:r>
        <w:t>20%</w:t>
      </w:r>
      <w:r>
        <w:rPr>
          <w:rFonts w:hint="eastAsia"/>
        </w:rPr>
        <w:t>，到</w:t>
      </w:r>
      <w:r>
        <w:t>2030</w:t>
      </w:r>
      <w:r>
        <w:rPr>
          <w:rFonts w:hint="eastAsia"/>
        </w:rPr>
        <w:t>年达到</w:t>
      </w:r>
      <w:r>
        <w:t>25%</w:t>
      </w:r>
      <w:r>
        <w:rPr>
          <w:rFonts w:hint="eastAsia"/>
        </w:rPr>
        <w:t>，并在</w:t>
      </w:r>
      <w:r>
        <w:t>2060</w:t>
      </w:r>
      <w:r>
        <w:rPr>
          <w:rFonts w:hint="eastAsia"/>
        </w:rPr>
        <w:t>年超过</w:t>
      </w:r>
      <w:r>
        <w:t>80%</w:t>
      </w:r>
      <w:r>
        <w:rPr>
          <w:rFonts w:hint="eastAsia"/>
        </w:rPr>
        <w:t>；在氢能和碳捕捉、利用和储存（</w:t>
      </w:r>
      <w:r>
        <w:t>CCUS</w:t>
      </w:r>
      <w:r>
        <w:rPr>
          <w:rFonts w:hint="eastAsia"/>
        </w:rPr>
        <w:t>）技术方面，中国已将其发展确定为优先研究领域，以推动难以减排行业的脱碳；此外，新能源汽车（</w:t>
      </w:r>
      <w:r>
        <w:t>NEVs</w:t>
      </w:r>
      <w:r>
        <w:rPr>
          <w:rFonts w:hint="eastAsia"/>
        </w:rPr>
        <w:t>）的推广也是中国政府的重点领域。尽管</w:t>
      </w:r>
      <w:r>
        <w:t>2022</w:t>
      </w:r>
      <w:r>
        <w:rPr>
          <w:rFonts w:hint="eastAsia"/>
        </w:rPr>
        <w:t>年结束了对生产商的</w:t>
      </w:r>
      <w:r>
        <w:t>NEV</w:t>
      </w:r>
      <w:r>
        <w:rPr>
          <w:rFonts w:hint="eastAsia"/>
        </w:rPr>
        <w:t>补贴，但中国的</w:t>
      </w:r>
      <w:r>
        <w:t>NEV</w:t>
      </w:r>
      <w:r>
        <w:rPr>
          <w:rFonts w:hint="eastAsia"/>
        </w:rPr>
        <w:t>市场份额在</w:t>
      </w:r>
      <w:r>
        <w:t>2022</w:t>
      </w:r>
      <w:r>
        <w:rPr>
          <w:rFonts w:hint="eastAsia"/>
        </w:rPr>
        <w:t>年已超过</w:t>
      </w:r>
      <w:r>
        <w:t>25%</w:t>
      </w:r>
      <w:r>
        <w:rPr>
          <w:rFonts w:hint="eastAsia"/>
        </w:rPr>
        <w:t>，超过了</w:t>
      </w:r>
      <w:r>
        <w:t>2025</w:t>
      </w:r>
      <w:r>
        <w:rPr>
          <w:rFonts w:hint="eastAsia"/>
        </w:rPr>
        <w:t>年</w:t>
      </w:r>
      <w:r>
        <w:t>20%</w:t>
      </w:r>
      <w:r>
        <w:rPr>
          <w:rFonts w:hint="eastAsia"/>
        </w:rPr>
        <w:t>的目标，政府计划到</w:t>
      </w:r>
      <w:r>
        <w:t>2030</w:t>
      </w:r>
      <w:r>
        <w:rPr>
          <w:rFonts w:hint="eastAsia"/>
        </w:rPr>
        <w:t>年达到</w:t>
      </w:r>
      <w:r>
        <w:t>40%</w:t>
      </w:r>
      <w:r>
        <w:rPr>
          <w:rFonts w:hint="eastAsia"/>
        </w:rPr>
        <w:t>的市场份额</w:t>
      </w:r>
      <w:r>
        <w:rPr>
          <w:rFonts w:ascii="MS Gothic" w:eastAsia="MS Gothic" w:hAnsi="MS Gothic" w:cs="MS Gothic" w:hint="eastAsia"/>
        </w:rPr>
        <w:t>​​</w:t>
      </w:r>
      <w:r>
        <w:rPr>
          <w:rFonts w:ascii="宋体" w:hAnsi="宋体" w:cs="宋体" w:hint="eastAsia"/>
        </w:rPr>
        <w:t>。</w:t>
      </w:r>
    </w:p>
    <w:p w14:paraId="38AE4259" w14:textId="7C60F166" w:rsidR="00897705" w:rsidRDefault="00000000">
      <w:pPr>
        <w:ind w:firstLine="420"/>
      </w:pPr>
      <w:r>
        <w:rPr>
          <w:rFonts w:ascii="宋体" w:hAnsi="宋体" w:cs="宋体" w:hint="eastAsia"/>
        </w:rPr>
        <w:t>基于上述背景，以</w:t>
      </w:r>
      <w:r w:rsidR="008F6F5D">
        <w:rPr>
          <w:rFonts w:ascii="宋体" w:hAnsi="宋体" w:cs="宋体" w:hint="eastAsia"/>
        </w:rPr>
        <w:t>二氧化碳影子价格</w:t>
      </w:r>
      <w:r>
        <w:rPr>
          <w:rFonts w:ascii="宋体" w:hAnsi="宋体" w:cs="宋体" w:hint="eastAsia"/>
        </w:rPr>
        <w:t>作为</w:t>
      </w:r>
      <w:proofErr w:type="gramStart"/>
      <w:r>
        <w:rPr>
          <w:rFonts w:ascii="宋体" w:hAnsi="宋体" w:cs="宋体" w:hint="eastAsia"/>
        </w:rPr>
        <w:t>国内碳减排</w:t>
      </w:r>
      <w:proofErr w:type="gramEnd"/>
      <w:r>
        <w:rPr>
          <w:rFonts w:ascii="宋体" w:hAnsi="宋体" w:cs="宋体" w:hint="eastAsia"/>
        </w:rPr>
        <w:t>的经济效益衡量指标，本文主要拟采用二次型方向性距离函数，从省际层面对我国各区域二氧化碳的影子价格进行模型构建与估算，并通过</w:t>
      </w:r>
      <w:r w:rsidR="008F6F5D">
        <w:rPr>
          <w:rFonts w:ascii="宋体" w:hAnsi="宋体" w:cs="宋体" w:hint="eastAsia"/>
        </w:rPr>
        <w:t>二氧化碳影子价格</w:t>
      </w:r>
      <w:r>
        <w:rPr>
          <w:rFonts w:ascii="宋体" w:hAnsi="宋体" w:cs="宋体" w:hint="eastAsia"/>
        </w:rPr>
        <w:t>来进行断点回归，从而研究关键时点的</w:t>
      </w:r>
      <w:r>
        <w:rPr>
          <w:rFonts w:ascii="宋体" w:hAnsi="宋体" w:cs="宋体" w:hint="eastAsia"/>
        </w:rPr>
        <w:lastRenderedPageBreak/>
        <w:t>政策发布、政策转向、政策目标的确认是否对于原有节能减排的步调带来了结构性的改变。为我国各地区</w:t>
      </w:r>
      <w:proofErr w:type="gramStart"/>
      <w:r>
        <w:rPr>
          <w:rFonts w:ascii="宋体" w:hAnsi="宋体" w:cs="宋体" w:hint="eastAsia"/>
        </w:rPr>
        <w:t>实现碳减排</w:t>
      </w:r>
      <w:proofErr w:type="gramEnd"/>
      <w:r>
        <w:rPr>
          <w:rFonts w:ascii="宋体" w:hAnsi="宋体" w:cs="宋体" w:hint="eastAsia"/>
        </w:rPr>
        <w:t>和经济增长的双重目标提供政策建议，也为我国</w:t>
      </w:r>
      <w:proofErr w:type="gramStart"/>
      <w:r>
        <w:rPr>
          <w:rFonts w:ascii="宋体" w:hAnsi="宋体" w:cs="宋体" w:hint="eastAsia"/>
        </w:rPr>
        <w:t>碳减排相关</w:t>
      </w:r>
      <w:proofErr w:type="gramEnd"/>
      <w:r>
        <w:rPr>
          <w:rFonts w:ascii="宋体" w:hAnsi="宋体" w:cs="宋体" w:hint="eastAsia"/>
        </w:rPr>
        <w:t>政策分析提供参考。</w:t>
      </w:r>
    </w:p>
    <w:p w14:paraId="10341019" w14:textId="2F7CDC51" w:rsidR="00897705" w:rsidRDefault="00000000">
      <w:pPr>
        <w:ind w:firstLine="480"/>
      </w:pPr>
      <w:r>
        <w:rPr>
          <w:rFonts w:cs="Times New Roman"/>
          <w:szCs w:val="32"/>
        </w:rPr>
        <w:t>本文的第二部分是文献综述，梳理国外对</w:t>
      </w:r>
      <w:r w:rsidR="008F6F5D">
        <w:rPr>
          <w:rFonts w:cs="Times New Roman"/>
          <w:szCs w:val="32"/>
        </w:rPr>
        <w:t>二氧化碳影子价格</w:t>
      </w:r>
      <w:r>
        <w:rPr>
          <w:rFonts w:cs="Times New Roman"/>
          <w:szCs w:val="32"/>
        </w:rPr>
        <w:t>测算方法的演进历程，以及国内研究省际碳排放影子价格的结论。第三部分介绍影子价格的参数化方向性距离函数方法</w:t>
      </w:r>
      <w:r>
        <w:rPr>
          <w:rFonts w:cs="Times New Roman" w:hint="eastAsia"/>
          <w:szCs w:val="32"/>
        </w:rPr>
        <w:t>和断点回归理论方法</w:t>
      </w:r>
      <w:r>
        <w:rPr>
          <w:rFonts w:cs="Times New Roman"/>
          <w:szCs w:val="32"/>
        </w:rPr>
        <w:t>，并</w:t>
      </w:r>
      <w:proofErr w:type="gramStart"/>
      <w:r>
        <w:rPr>
          <w:rFonts w:cs="Times New Roman"/>
          <w:szCs w:val="32"/>
        </w:rPr>
        <w:t>基于第三</w:t>
      </w:r>
      <w:proofErr w:type="gramEnd"/>
      <w:r>
        <w:rPr>
          <w:rFonts w:cs="Times New Roman"/>
          <w:szCs w:val="32"/>
        </w:rPr>
        <w:t>部分的模型，在第四部分</w:t>
      </w:r>
      <w:r>
        <w:rPr>
          <w:rFonts w:cs="Times New Roman" w:hint="eastAsia"/>
          <w:szCs w:val="32"/>
        </w:rPr>
        <w:t>介绍我们的数据来源和处理方式，第五部分</w:t>
      </w:r>
      <w:r>
        <w:rPr>
          <w:rFonts w:cs="Times New Roman"/>
          <w:szCs w:val="32"/>
        </w:rPr>
        <w:t>测算</w:t>
      </w:r>
      <w:r>
        <w:rPr>
          <w:rFonts w:cs="Times New Roman"/>
          <w:szCs w:val="32"/>
        </w:rPr>
        <w:t>2011-2020</w:t>
      </w:r>
      <w:r>
        <w:rPr>
          <w:rFonts w:cs="Times New Roman"/>
          <w:szCs w:val="32"/>
        </w:rPr>
        <w:t>年我国</w:t>
      </w:r>
      <w:r>
        <w:rPr>
          <w:rFonts w:cs="Times New Roman" w:hint="eastAsia"/>
          <w:szCs w:val="32"/>
        </w:rPr>
        <w:t>8</w:t>
      </w:r>
      <w:r>
        <w:rPr>
          <w:rFonts w:cs="Times New Roman"/>
          <w:szCs w:val="32"/>
        </w:rPr>
        <w:t>个省的碳排放影子价格</w:t>
      </w:r>
      <w:r>
        <w:rPr>
          <w:rFonts w:cs="Times New Roman" w:hint="eastAsia"/>
          <w:szCs w:val="32"/>
        </w:rPr>
        <w:t>并结合影子价格计算结果进行断点回归</w:t>
      </w:r>
      <w:r>
        <w:rPr>
          <w:rFonts w:cs="Times New Roman"/>
          <w:szCs w:val="32"/>
        </w:rPr>
        <w:t>。第</w:t>
      </w:r>
      <w:r>
        <w:rPr>
          <w:rFonts w:cs="Times New Roman" w:hint="eastAsia"/>
          <w:szCs w:val="32"/>
        </w:rPr>
        <w:t>六</w:t>
      </w:r>
      <w:r>
        <w:rPr>
          <w:rFonts w:cs="Times New Roman"/>
          <w:szCs w:val="32"/>
        </w:rPr>
        <w:t>部分是</w:t>
      </w:r>
      <w:r>
        <w:rPr>
          <w:rFonts w:cs="Times New Roman" w:hint="eastAsia"/>
          <w:szCs w:val="32"/>
        </w:rPr>
        <w:t>对于研究结果的总结与点评</w:t>
      </w:r>
      <w:r>
        <w:rPr>
          <w:rFonts w:cs="Times New Roman"/>
          <w:szCs w:val="32"/>
        </w:rPr>
        <w:t>。</w:t>
      </w:r>
    </w:p>
    <w:p w14:paraId="385A58AA" w14:textId="77777777" w:rsidR="00897705" w:rsidRDefault="00000000">
      <w:pPr>
        <w:pStyle w:val="1"/>
        <w:numPr>
          <w:ilvl w:val="0"/>
          <w:numId w:val="2"/>
        </w:numPr>
        <w:spacing w:before="312"/>
      </w:pPr>
      <w:bookmarkStart w:id="1" w:name="_Toc154908711"/>
      <w:r>
        <w:rPr>
          <w:rFonts w:hint="eastAsia"/>
        </w:rPr>
        <w:t>文献综述</w:t>
      </w:r>
      <w:bookmarkEnd w:id="1"/>
    </w:p>
    <w:p w14:paraId="7D083377" w14:textId="3F7EFD4E" w:rsidR="00897705" w:rsidRDefault="008F6F5D">
      <w:pPr>
        <w:pStyle w:val="2"/>
        <w:numPr>
          <w:ilvl w:val="0"/>
          <w:numId w:val="3"/>
        </w:numPr>
        <w:spacing w:before="156" w:after="156"/>
        <w:ind w:firstLine="420"/>
      </w:pPr>
      <w:bookmarkStart w:id="2" w:name="_Toc154908712"/>
      <w:r>
        <w:rPr>
          <w:rFonts w:hint="eastAsia"/>
        </w:rPr>
        <w:t>二氧化碳影子价格</w:t>
      </w:r>
      <w:r w:rsidR="00000000">
        <w:rPr>
          <w:rFonts w:hint="eastAsia"/>
        </w:rPr>
        <w:t>计算</w:t>
      </w:r>
      <w:bookmarkEnd w:id="2"/>
    </w:p>
    <w:p w14:paraId="3EAB67E6" w14:textId="30730E0E" w:rsidR="00897705" w:rsidRDefault="00000000">
      <w:pPr>
        <w:ind w:firstLine="420"/>
      </w:pPr>
      <w:r>
        <w:rPr>
          <w:rFonts w:hint="eastAsia"/>
        </w:rPr>
        <w:t>随着气候变化和</w:t>
      </w:r>
      <w:proofErr w:type="gramStart"/>
      <w:r>
        <w:rPr>
          <w:rFonts w:hint="eastAsia"/>
        </w:rPr>
        <w:t>碳中和</w:t>
      </w:r>
      <w:proofErr w:type="gramEnd"/>
      <w:r>
        <w:rPr>
          <w:rFonts w:hint="eastAsia"/>
        </w:rPr>
        <w:t>议题在全球范围内的广泛讨论和逐渐升温，对于</w:t>
      </w:r>
      <w:r w:rsidR="008F6F5D">
        <w:rPr>
          <w:rFonts w:hint="eastAsia"/>
        </w:rPr>
        <w:t>二氧化碳影子价格</w:t>
      </w:r>
      <w:r>
        <w:rPr>
          <w:rFonts w:hint="eastAsia"/>
        </w:rPr>
        <w:t>的测算成为了一个日益重要的研究问题。从现有研究来看，估计</w:t>
      </w:r>
      <w:r w:rsidR="008F6F5D">
        <w:rPr>
          <w:rFonts w:hint="eastAsia"/>
        </w:rPr>
        <w:t>二氧化碳影子价格</w:t>
      </w:r>
      <w:r>
        <w:rPr>
          <w:rFonts w:hint="eastAsia"/>
        </w:rPr>
        <w:t>的模型主要可以分为三类：</w:t>
      </w:r>
    </w:p>
    <w:p w14:paraId="50BDAC35" w14:textId="140B4B39" w:rsidR="00897705" w:rsidRDefault="00000000">
      <w:pPr>
        <w:numPr>
          <w:ilvl w:val="0"/>
          <w:numId w:val="4"/>
        </w:numPr>
        <w:ind w:firstLine="420"/>
      </w:pPr>
      <w:proofErr w:type="gramStart"/>
      <w:r>
        <w:rPr>
          <w:rFonts w:hint="eastAsia"/>
          <w:b/>
          <w:bCs/>
        </w:rPr>
        <w:t>基于专家</w:t>
      </w:r>
      <w:proofErr w:type="gramEnd"/>
      <w:r>
        <w:rPr>
          <w:rFonts w:hint="eastAsia"/>
          <w:b/>
          <w:bCs/>
        </w:rPr>
        <w:t>意见的</w:t>
      </w:r>
      <w:r w:rsidR="008F6F5D">
        <w:rPr>
          <w:rFonts w:hint="eastAsia"/>
          <w:b/>
          <w:bCs/>
        </w:rPr>
        <w:t>二氧化碳影子价格</w:t>
      </w:r>
      <w:r>
        <w:rPr>
          <w:rFonts w:hint="eastAsia"/>
          <w:b/>
          <w:bCs/>
        </w:rPr>
        <w:t>估计模型</w:t>
      </w:r>
    </w:p>
    <w:p w14:paraId="17845C4D" w14:textId="2227FB25" w:rsidR="00897705" w:rsidRDefault="00000000">
      <w:pPr>
        <w:ind w:firstLine="420"/>
      </w:pPr>
      <w:r>
        <w:rPr>
          <w:rFonts w:hint="eastAsia"/>
        </w:rPr>
        <w:t>该方法可以得到工程意义上的</w:t>
      </w:r>
      <w:r w:rsidR="008F6F5D">
        <w:rPr>
          <w:rFonts w:hint="eastAsia"/>
        </w:rPr>
        <w:t>二氧化碳影子价格</w:t>
      </w:r>
      <w:r>
        <w:rPr>
          <w:rFonts w:hint="eastAsia"/>
        </w:rPr>
        <w:t>但因为主观性较强，未得到广泛应用；</w:t>
      </w:r>
    </w:p>
    <w:p w14:paraId="4BD5B0CA" w14:textId="41C01625" w:rsidR="00897705" w:rsidRDefault="00000000">
      <w:pPr>
        <w:numPr>
          <w:ilvl w:val="0"/>
          <w:numId w:val="4"/>
        </w:numPr>
        <w:ind w:firstLine="420"/>
      </w:pPr>
      <w:r>
        <w:rPr>
          <w:rFonts w:hint="eastAsia"/>
          <w:b/>
          <w:bCs/>
        </w:rPr>
        <w:t>基于经济</w:t>
      </w:r>
      <w:r>
        <w:rPr>
          <w:rFonts w:hint="eastAsia"/>
          <w:b/>
          <w:bCs/>
        </w:rPr>
        <w:t>-</w:t>
      </w:r>
      <w:r>
        <w:rPr>
          <w:rFonts w:hint="eastAsia"/>
          <w:b/>
          <w:bCs/>
        </w:rPr>
        <w:t>能源模型的</w:t>
      </w:r>
      <w:r w:rsidR="008F6F5D">
        <w:rPr>
          <w:rFonts w:hint="eastAsia"/>
          <w:b/>
          <w:bCs/>
        </w:rPr>
        <w:t>二氧化碳影子价格</w:t>
      </w:r>
      <w:r>
        <w:rPr>
          <w:rFonts w:hint="eastAsia"/>
          <w:b/>
          <w:bCs/>
        </w:rPr>
        <w:t>估计模型</w:t>
      </w:r>
    </w:p>
    <w:p w14:paraId="5FEC25C6" w14:textId="06748B97" w:rsidR="00897705" w:rsidRDefault="00000000">
      <w:pPr>
        <w:ind w:firstLine="420"/>
      </w:pPr>
      <w:r>
        <w:rPr>
          <w:rFonts w:hint="eastAsia"/>
        </w:rPr>
        <w:t>该方法通过在局部或者全局均衡模型中纳入二氧化碳的约束，来计算</w:t>
      </w:r>
      <w:r w:rsidR="008F6F5D">
        <w:rPr>
          <w:rFonts w:hint="eastAsia"/>
        </w:rPr>
        <w:t>二氧化碳影子价格</w:t>
      </w:r>
      <w:r>
        <w:rPr>
          <w:rFonts w:hint="eastAsia"/>
        </w:rPr>
        <w:t>，此类方法理论基础较强，但缺点在于计算复杂度高、需要较多的假设；</w:t>
      </w:r>
    </w:p>
    <w:p w14:paraId="01720875" w14:textId="065F02DD" w:rsidR="00897705" w:rsidRDefault="00000000">
      <w:pPr>
        <w:numPr>
          <w:ilvl w:val="0"/>
          <w:numId w:val="4"/>
        </w:numPr>
        <w:ind w:firstLine="420"/>
      </w:pPr>
      <w:r>
        <w:rPr>
          <w:rFonts w:hint="eastAsia"/>
          <w:b/>
          <w:bCs/>
        </w:rPr>
        <w:t>基于微观供给侧的</w:t>
      </w:r>
      <w:r w:rsidR="008F6F5D">
        <w:rPr>
          <w:rFonts w:hint="eastAsia"/>
          <w:b/>
          <w:bCs/>
        </w:rPr>
        <w:t>二氧化碳影子价格</w:t>
      </w:r>
      <w:r>
        <w:rPr>
          <w:rFonts w:hint="eastAsia"/>
          <w:b/>
          <w:bCs/>
        </w:rPr>
        <w:t>估计模型</w:t>
      </w:r>
    </w:p>
    <w:p w14:paraId="0EBB16B8" w14:textId="3B8E4CC0" w:rsidR="00897705" w:rsidRDefault="00000000">
      <w:pPr>
        <w:ind w:firstLine="420"/>
      </w:pPr>
      <w:r>
        <w:rPr>
          <w:rFonts w:hint="eastAsia"/>
        </w:rPr>
        <w:t>此类方法通过对包含二氧化碳排放的生产技术建模，进而实现对</w:t>
      </w:r>
      <w:r w:rsidR="008F6F5D">
        <w:rPr>
          <w:rFonts w:hint="eastAsia"/>
        </w:rPr>
        <w:t>二氧化碳影子价格</w:t>
      </w:r>
      <w:r>
        <w:rPr>
          <w:rFonts w:hint="eastAsia"/>
        </w:rPr>
        <w:t>的估计。第三类方法将微观生产理论纳入</w:t>
      </w:r>
      <w:r w:rsidR="008F6F5D">
        <w:rPr>
          <w:rFonts w:hint="eastAsia"/>
        </w:rPr>
        <w:t>二氧化碳影子价格</w:t>
      </w:r>
      <w:r>
        <w:rPr>
          <w:rFonts w:hint="eastAsia"/>
        </w:rPr>
        <w:t>的估计框架，具有理论假设少、符合现实生产过程等优势</w:t>
      </w:r>
      <w:r>
        <w:t xml:space="preserve">, </w:t>
      </w:r>
      <w:r>
        <w:rPr>
          <w:rFonts w:hint="eastAsia"/>
        </w:rPr>
        <w:t>被越来越多的学者采用</w:t>
      </w:r>
      <w:r>
        <w:rPr>
          <w:rFonts w:hint="eastAsia"/>
        </w:rPr>
        <w:t>(Park and Lim,</w:t>
      </w:r>
      <w:r>
        <w:t xml:space="preserve"> </w:t>
      </w:r>
      <w:r>
        <w:rPr>
          <w:rFonts w:hint="eastAsia"/>
        </w:rPr>
        <w:t>2009</w:t>
      </w:r>
      <w:r>
        <w:rPr>
          <w:rFonts w:hint="eastAsia"/>
        </w:rPr>
        <w:t>；陈诗一</w:t>
      </w:r>
      <w:r>
        <w:rPr>
          <w:rFonts w:hint="eastAsia"/>
        </w:rPr>
        <w:t>,</w:t>
      </w:r>
      <w:r>
        <w:t xml:space="preserve"> </w:t>
      </w:r>
      <w:r>
        <w:rPr>
          <w:rFonts w:hint="eastAsia"/>
        </w:rPr>
        <w:t>2010</w:t>
      </w:r>
      <w:r>
        <w:rPr>
          <w:rFonts w:hint="eastAsia"/>
        </w:rPr>
        <w:t>；</w:t>
      </w:r>
      <w:r>
        <w:rPr>
          <w:rFonts w:hint="eastAsia"/>
        </w:rPr>
        <w:t>Choi et al,</w:t>
      </w:r>
      <w:r>
        <w:t xml:space="preserve"> </w:t>
      </w:r>
      <w:r>
        <w:rPr>
          <w:rFonts w:hint="eastAsia"/>
        </w:rPr>
        <w:t>2012</w:t>
      </w:r>
      <w:r>
        <w:rPr>
          <w:rFonts w:hint="eastAsia"/>
        </w:rPr>
        <w:t>；魏楚</w:t>
      </w:r>
      <w:r>
        <w:rPr>
          <w:rFonts w:hint="eastAsia"/>
        </w:rPr>
        <w:t>,</w:t>
      </w:r>
      <w:r>
        <w:t xml:space="preserve"> </w:t>
      </w:r>
      <w:r>
        <w:rPr>
          <w:rFonts w:hint="eastAsia"/>
        </w:rPr>
        <w:t>2014)</w:t>
      </w:r>
      <w:r>
        <w:rPr>
          <w:rFonts w:hint="eastAsia"/>
        </w:rPr>
        <w:t>。</w:t>
      </w:r>
    </w:p>
    <w:p w14:paraId="3A635CBF" w14:textId="77777777" w:rsidR="00897705" w:rsidRDefault="00000000">
      <w:pPr>
        <w:ind w:firstLine="420"/>
      </w:pPr>
      <w:r>
        <w:rPr>
          <w:rFonts w:hint="eastAsia"/>
        </w:rPr>
        <w:t>根据构建生产前沿面时所用方法的差异</w:t>
      </w:r>
      <w:r>
        <w:rPr>
          <w:rFonts w:hint="eastAsia"/>
        </w:rPr>
        <w:t>,</w:t>
      </w:r>
      <w:r>
        <w:rPr>
          <w:rFonts w:hint="eastAsia"/>
        </w:rPr>
        <w:t>第三类方法又可以进一步分为两类：</w:t>
      </w:r>
    </w:p>
    <w:p w14:paraId="10E9F0CE" w14:textId="77777777" w:rsidR="00897705" w:rsidRDefault="00000000">
      <w:pPr>
        <w:pStyle w:val="a"/>
      </w:pPr>
      <w:r>
        <w:rPr>
          <w:rFonts w:hint="eastAsia"/>
        </w:rPr>
        <w:t>①</w:t>
      </w:r>
      <w:r>
        <w:rPr>
          <w:rFonts w:hint="eastAsia"/>
        </w:rPr>
        <w:t xml:space="preserve"> </w:t>
      </w:r>
      <w:r>
        <w:rPr>
          <w:rFonts w:hint="eastAsia"/>
        </w:rPr>
        <w:t>非参数法</w:t>
      </w:r>
    </w:p>
    <w:p w14:paraId="79C7CFB8" w14:textId="0633B02C" w:rsidR="00897705" w:rsidRDefault="00000000">
      <w:pPr>
        <w:ind w:firstLine="420"/>
      </w:pPr>
      <w:r>
        <w:rPr>
          <w:rFonts w:hint="eastAsia"/>
        </w:rPr>
        <w:t>非参数法主要采用数据包络分析方法</w:t>
      </w:r>
      <w:r>
        <w:rPr>
          <w:rFonts w:hint="eastAsia"/>
        </w:rPr>
        <w:t>(DEA)</w:t>
      </w:r>
      <w:r>
        <w:rPr>
          <w:rFonts w:hint="eastAsia"/>
        </w:rPr>
        <w:t>，通过产出距离函数构造生产前沿面</w:t>
      </w:r>
      <w:r>
        <w:rPr>
          <w:rFonts w:hint="eastAsia"/>
        </w:rPr>
        <w:lastRenderedPageBreak/>
        <w:t>并根据对偶理论求解</w:t>
      </w:r>
      <w:r w:rsidR="008F6F5D">
        <w:rPr>
          <w:rFonts w:hint="eastAsia"/>
        </w:rPr>
        <w:t>二氧化碳影子价格</w:t>
      </w:r>
      <w:r>
        <w:rPr>
          <w:rFonts w:hint="eastAsia"/>
        </w:rPr>
        <w:t>。</w:t>
      </w:r>
      <w:r>
        <w:rPr>
          <w:rFonts w:hint="eastAsia"/>
        </w:rPr>
        <w:t>Lee</w:t>
      </w:r>
      <w:r>
        <w:rPr>
          <w:rFonts w:hint="eastAsia"/>
        </w:rPr>
        <w:t>等</w:t>
      </w:r>
      <w:r>
        <w:rPr>
          <w:rFonts w:hint="eastAsia"/>
        </w:rPr>
        <w:t>(2002)</w:t>
      </w:r>
      <w:r>
        <w:rPr>
          <w:rFonts w:hint="eastAsia"/>
        </w:rPr>
        <w:t>在上述方法的基础上，为避免出现观测点位于生产前沿</w:t>
      </w:r>
      <w:proofErr w:type="gramStart"/>
      <w:r>
        <w:rPr>
          <w:rFonts w:hint="eastAsia"/>
        </w:rPr>
        <w:t>面内部</w:t>
      </w:r>
      <w:proofErr w:type="gramEnd"/>
      <w:r>
        <w:rPr>
          <w:rFonts w:hint="eastAsia"/>
        </w:rPr>
        <w:t>而无法求得影子价格的问题，进一步将非效率因子纳入到线性规划模型中，以求得污染物影子价格。</w:t>
      </w:r>
      <w:proofErr w:type="gramStart"/>
      <w:r>
        <w:rPr>
          <w:rFonts w:hint="eastAsia"/>
        </w:rPr>
        <w:t>涂正革</w:t>
      </w:r>
      <w:proofErr w:type="gramEnd"/>
      <w:r>
        <w:rPr>
          <w:rFonts w:hint="eastAsia"/>
        </w:rPr>
        <w:t>(2009)</w:t>
      </w:r>
      <w:r>
        <w:rPr>
          <w:rFonts w:hint="eastAsia"/>
        </w:rPr>
        <w:t>运用方向性距离函数对包含污染物的生产技术进行联合建模，并通过污染物对生产前沿面上产出的变化来定义污染物的影子价格。</w:t>
      </w:r>
      <w:r>
        <w:rPr>
          <w:rFonts w:hint="eastAsia"/>
        </w:rPr>
        <w:t>Ch</w:t>
      </w:r>
      <w:r>
        <w:t>i</w:t>
      </w:r>
      <w:r>
        <w:rPr>
          <w:rFonts w:hint="eastAsia"/>
        </w:rPr>
        <w:t>等</w:t>
      </w:r>
      <w:r>
        <w:rPr>
          <w:rFonts w:hint="eastAsia"/>
        </w:rPr>
        <w:t>(2012)</w:t>
      </w:r>
      <w:r>
        <w:rPr>
          <w:rFonts w:hint="eastAsia"/>
        </w:rPr>
        <w:t>采用非径向方向性距离函数，将非零几</w:t>
      </w:r>
      <w:proofErr w:type="gramStart"/>
      <w:r>
        <w:rPr>
          <w:rFonts w:hint="eastAsia"/>
        </w:rPr>
        <w:t>余带来</w:t>
      </w:r>
      <w:proofErr w:type="gramEnd"/>
      <w:r>
        <w:rPr>
          <w:rFonts w:hint="eastAsia"/>
        </w:rPr>
        <w:t>的非效率因素纳入模型之中，</w:t>
      </w:r>
      <w:proofErr w:type="gramStart"/>
      <w:r>
        <w:rPr>
          <w:rFonts w:hint="eastAsia"/>
        </w:rPr>
        <w:t>以估计</w:t>
      </w:r>
      <w:proofErr w:type="gramEnd"/>
      <w:r>
        <w:rPr>
          <w:rFonts w:hint="eastAsia"/>
        </w:rPr>
        <w:t>二氧化碳影子</w:t>
      </w:r>
      <w:proofErr w:type="gramStart"/>
      <w:r>
        <w:rPr>
          <w:rFonts w:hint="eastAsia"/>
        </w:rPr>
        <w:t>个</w:t>
      </w:r>
      <w:proofErr w:type="gramEnd"/>
      <w:r>
        <w:rPr>
          <w:rFonts w:hint="eastAsia"/>
        </w:rPr>
        <w:t>格。通过上述学者的研究，距离函数不断得到修正，这使得非参数方法估计越来越接近现实生产过程。然而，非参数方法在估计</w:t>
      </w:r>
      <w:r w:rsidR="008F6F5D">
        <w:rPr>
          <w:rFonts w:hint="eastAsia"/>
        </w:rPr>
        <w:t>二氧化碳影子价格</w:t>
      </w:r>
      <w:r>
        <w:rPr>
          <w:rFonts w:hint="eastAsia"/>
        </w:rPr>
        <w:t>时依然存在两大问题</w:t>
      </w:r>
      <w:r>
        <w:rPr>
          <w:rFonts w:hint="eastAsia"/>
        </w:rPr>
        <w:t>:</w:t>
      </w:r>
      <w:r>
        <w:t xml:space="preserve"> </w:t>
      </w:r>
      <w:r>
        <w:rPr>
          <w:rFonts w:hint="eastAsia"/>
        </w:rPr>
        <w:t>第一，由于</w:t>
      </w:r>
      <w:r>
        <w:rPr>
          <w:rFonts w:hint="eastAsia"/>
        </w:rPr>
        <w:t>DEA</w:t>
      </w:r>
      <w:r>
        <w:rPr>
          <w:rFonts w:hint="eastAsia"/>
        </w:rPr>
        <w:t>方法本质上并非完全</w:t>
      </w:r>
      <w:proofErr w:type="gramStart"/>
      <w:r>
        <w:rPr>
          <w:rFonts w:hint="eastAsia"/>
        </w:rPr>
        <w:t>不</w:t>
      </w:r>
      <w:proofErr w:type="gramEnd"/>
      <w:r>
        <w:rPr>
          <w:rFonts w:hint="eastAsia"/>
        </w:rPr>
        <w:t>假定任何函数形式，而是通过分段线性函数来刻画生产前沿面，因此会导致不可求导的问题，从而使基于非参数模型的影子价格具有“非唯一性”</w:t>
      </w:r>
      <w:r>
        <w:rPr>
          <w:rFonts w:hint="eastAsia"/>
        </w:rPr>
        <w:t>(</w:t>
      </w:r>
      <w:r>
        <w:rPr>
          <w:rFonts w:hint="eastAsia"/>
        </w:rPr>
        <w:t>马赞甫</w:t>
      </w:r>
      <w:r>
        <w:rPr>
          <w:rFonts w:hint="eastAsia"/>
        </w:rPr>
        <w:t>2007)</w:t>
      </w:r>
      <w:r>
        <w:rPr>
          <w:rFonts w:hint="eastAsia"/>
        </w:rPr>
        <w:t>；第二，</w:t>
      </w:r>
      <w:r>
        <w:rPr>
          <w:rFonts w:hint="eastAsia"/>
        </w:rPr>
        <w:t>DEA</w:t>
      </w:r>
      <w:r>
        <w:rPr>
          <w:rFonts w:hint="eastAsia"/>
        </w:rPr>
        <w:t>模型属于确定性模型，从而忽略随机冲击</w:t>
      </w:r>
      <w:r>
        <w:rPr>
          <w:rFonts w:hint="eastAsia"/>
        </w:rPr>
        <w:t>(</w:t>
      </w:r>
      <w:r>
        <w:rPr>
          <w:rFonts w:hint="eastAsia"/>
        </w:rPr>
        <w:t>扰动因素</w:t>
      </w:r>
      <w:r>
        <w:rPr>
          <w:rFonts w:hint="eastAsia"/>
        </w:rPr>
        <w:t>)</w:t>
      </w:r>
      <w:r>
        <w:rPr>
          <w:rFonts w:hint="eastAsia"/>
        </w:rPr>
        <w:t>对生产前沿面的影响，并且存在不能对估计结果展开有效的统计检验等问题。</w:t>
      </w:r>
    </w:p>
    <w:p w14:paraId="0178D197" w14:textId="77777777" w:rsidR="00897705" w:rsidRDefault="00000000">
      <w:pPr>
        <w:pStyle w:val="a"/>
      </w:pPr>
      <w:r>
        <w:rPr>
          <w:rFonts w:hint="eastAsia"/>
        </w:rPr>
        <w:t>②</w:t>
      </w:r>
      <w:r>
        <w:rPr>
          <w:rFonts w:hint="eastAsia"/>
        </w:rPr>
        <w:t xml:space="preserve"> </w:t>
      </w:r>
      <w:r>
        <w:rPr>
          <w:rFonts w:hint="eastAsia"/>
        </w:rPr>
        <w:t>参数法</w:t>
      </w:r>
    </w:p>
    <w:p w14:paraId="130D3831" w14:textId="240783B7" w:rsidR="00897705" w:rsidRDefault="00000000">
      <w:pPr>
        <w:ind w:firstLine="420"/>
      </w:pPr>
      <w:r>
        <w:rPr>
          <w:rFonts w:hint="eastAsia"/>
        </w:rPr>
        <w:t>鉴于非参数方法的重大局限，参数方法在研究中得到更为广泛地应用。参数法通过超越对数函数或二次型函数将方向性距离函数进行参数化，然后引入收益函数刻画经济个体追求利润最大化的行为，在最优解处采用包络定理得到</w:t>
      </w:r>
      <w:r w:rsidR="008F6F5D">
        <w:rPr>
          <w:rFonts w:hint="eastAsia"/>
        </w:rPr>
        <w:t>二氧化碳影子价格</w:t>
      </w:r>
      <w:r>
        <w:rPr>
          <w:rFonts w:hint="eastAsia"/>
        </w:rPr>
        <w:t>。根据估计参数模型方法的差异，可以将参数模型分为确定性模型和随机性模型两类，前者通过参数线性规划的方式求解参数</w:t>
      </w:r>
      <w:r>
        <w:rPr>
          <w:rFonts w:hint="eastAsia"/>
        </w:rPr>
        <w:t>(Rezek and Blair, 2005</w:t>
      </w:r>
      <w:r>
        <w:rPr>
          <w:rFonts w:hint="eastAsia"/>
        </w:rPr>
        <w:t>；</w:t>
      </w:r>
      <w:r>
        <w:rPr>
          <w:rFonts w:hint="eastAsia"/>
        </w:rPr>
        <w:t>Lee and Zhang</w:t>
      </w:r>
      <w:r>
        <w:rPr>
          <w:rFonts w:hint="eastAsia"/>
        </w:rPr>
        <w:t>，</w:t>
      </w:r>
      <w:r>
        <w:rPr>
          <w:rFonts w:hint="eastAsia"/>
        </w:rPr>
        <w:t>2012</w:t>
      </w:r>
      <w:r>
        <w:rPr>
          <w:rFonts w:hint="eastAsia"/>
        </w:rPr>
        <w:t>；楚，</w:t>
      </w:r>
      <w:r>
        <w:rPr>
          <w:rFonts w:hint="eastAsia"/>
        </w:rPr>
        <w:t>2014)</w:t>
      </w:r>
      <w:r>
        <w:rPr>
          <w:rFonts w:hint="eastAsia"/>
        </w:rPr>
        <w:t>，后者通过修正最小二乘</w:t>
      </w:r>
      <w:r>
        <w:rPr>
          <w:rFonts w:hint="eastAsia"/>
        </w:rPr>
        <w:t xml:space="preserve"> (corrected ordinary least squares,</w:t>
      </w:r>
      <w:r>
        <w:t xml:space="preserve"> </w:t>
      </w:r>
      <w:r>
        <w:rPr>
          <w:rFonts w:hint="eastAsia"/>
        </w:rPr>
        <w:t xml:space="preserve">COLS) </w:t>
      </w:r>
      <w:r>
        <w:rPr>
          <w:rFonts w:hint="eastAsia"/>
        </w:rPr>
        <w:t>或者极大似然估计</w:t>
      </w:r>
      <w:r>
        <w:rPr>
          <w:rFonts w:hint="eastAsia"/>
        </w:rPr>
        <w:t>(MLE)</w:t>
      </w:r>
      <w:r>
        <w:rPr>
          <w:rFonts w:hint="eastAsia"/>
        </w:rPr>
        <w:t>的方法模型进行估计</w:t>
      </w:r>
      <w:r>
        <w:rPr>
          <w:rFonts w:hint="eastAsia"/>
        </w:rPr>
        <w:t>(Murty and Kumar 2002</w:t>
      </w:r>
      <w:r>
        <w:rPr>
          <w:rFonts w:hint="eastAsia"/>
        </w:rPr>
        <w:t>；</w:t>
      </w:r>
      <w:r>
        <w:rPr>
          <w:rFonts w:hint="eastAsia"/>
        </w:rPr>
        <w:t>Fare et al, 2005</w:t>
      </w:r>
      <w:r>
        <w:rPr>
          <w:rFonts w:hint="eastAsia"/>
        </w:rPr>
        <w:t>；</w:t>
      </w:r>
      <w:r>
        <w:rPr>
          <w:rFonts w:hint="eastAsia"/>
        </w:rPr>
        <w:t>Rezek and Campbell, 2007)</w:t>
      </w:r>
      <w:r>
        <w:rPr>
          <w:rFonts w:hint="eastAsia"/>
        </w:rPr>
        <w:t>。两类估计方法各有优劣，确定性模型无法处理随机冲击对生产前沿面的影响，并且存在不能对估计结果展开有效的统计检验等问题；而随机性模型的估计结果只能得到一个平均影子价格</w:t>
      </w:r>
      <w:r>
        <w:rPr>
          <w:rFonts w:hint="eastAsia"/>
        </w:rPr>
        <w:t>(</w:t>
      </w:r>
      <w:r>
        <w:rPr>
          <w:rFonts w:hint="eastAsia"/>
        </w:rPr>
        <w:t>涂正革，</w:t>
      </w:r>
      <w:r>
        <w:rPr>
          <w:rFonts w:hint="eastAsia"/>
        </w:rPr>
        <w:t>2009)</w:t>
      </w:r>
      <w:r>
        <w:rPr>
          <w:rFonts w:hint="eastAsia"/>
        </w:rPr>
        <w:t>，此外，采用回归的方式求生产函数存在内生性问题。</w:t>
      </w:r>
    </w:p>
    <w:p w14:paraId="7D317B54" w14:textId="1D43238C" w:rsidR="00897705" w:rsidRDefault="00000000">
      <w:pPr>
        <w:ind w:firstLine="420"/>
      </w:pPr>
      <w:r>
        <w:rPr>
          <w:rFonts w:hint="eastAsia"/>
        </w:rPr>
        <w:t>基于上述讨论，学者在估计</w:t>
      </w:r>
      <w:r w:rsidR="008F6F5D">
        <w:rPr>
          <w:rFonts w:hint="eastAsia"/>
        </w:rPr>
        <w:t>二氧化碳影子价格</w:t>
      </w:r>
      <w:r>
        <w:rPr>
          <w:rFonts w:hint="eastAsia"/>
        </w:rPr>
        <w:t>时更多地采用了参数模型，并采用参数线性规划的方式求解模型。袁鹏和</w:t>
      </w:r>
      <w:proofErr w:type="gramStart"/>
      <w:r>
        <w:rPr>
          <w:rFonts w:hint="eastAsia"/>
        </w:rPr>
        <w:t>程施</w:t>
      </w:r>
      <w:r>
        <w:rPr>
          <w:rFonts w:hint="eastAsia"/>
        </w:rPr>
        <w:t>(</w:t>
      </w:r>
      <w:proofErr w:type="gramEnd"/>
      <w:r>
        <w:rPr>
          <w:rFonts w:hint="eastAsia"/>
        </w:rPr>
        <w:t>2011)</w:t>
      </w:r>
      <w:r>
        <w:rPr>
          <w:rFonts w:hint="eastAsia"/>
        </w:rPr>
        <w:t>采用二次型方向性距离函数对中国</w:t>
      </w:r>
      <w:r>
        <w:rPr>
          <w:rFonts w:hint="eastAsia"/>
        </w:rPr>
        <w:t>2003~2008</w:t>
      </w:r>
      <w:r>
        <w:rPr>
          <w:rFonts w:hint="eastAsia"/>
        </w:rPr>
        <w:t>年</w:t>
      </w:r>
      <w:r>
        <w:rPr>
          <w:rFonts w:hint="eastAsia"/>
        </w:rPr>
        <w:t>284</w:t>
      </w:r>
      <w:r>
        <w:rPr>
          <w:rFonts w:hint="eastAsia"/>
        </w:rPr>
        <w:t>个地级及以上城市的废水、</w:t>
      </w:r>
      <w:r>
        <w:rPr>
          <w:rFonts w:hint="eastAsia"/>
        </w:rPr>
        <w:t>SO</w:t>
      </w:r>
      <w:r>
        <w:rPr>
          <w:vertAlign w:val="subscript"/>
        </w:rPr>
        <w:t>2</w:t>
      </w:r>
      <w:r>
        <w:rPr>
          <w:rFonts w:hint="eastAsia"/>
        </w:rPr>
        <w:t>,</w:t>
      </w:r>
      <w:r>
        <w:rPr>
          <w:rFonts w:hint="eastAsia"/>
        </w:rPr>
        <w:t>和烟尘等</w:t>
      </w:r>
      <w:r>
        <w:rPr>
          <w:rFonts w:hint="eastAsia"/>
        </w:rPr>
        <w:t>3</w:t>
      </w:r>
      <w:r>
        <w:rPr>
          <w:rFonts w:hint="eastAsia"/>
        </w:rPr>
        <w:t>种污染物的影子价格进行了估计。陈诗一</w:t>
      </w:r>
      <w:r>
        <w:rPr>
          <w:rFonts w:hint="eastAsia"/>
        </w:rPr>
        <w:t>(2010)</w:t>
      </w:r>
      <w:r>
        <w:rPr>
          <w:rFonts w:hint="eastAsia"/>
        </w:rPr>
        <w:t>同时采用参数化和非参数化方法</w:t>
      </w:r>
      <w:r>
        <w:rPr>
          <w:rFonts w:hint="eastAsia"/>
        </w:rPr>
        <w:t>,</w:t>
      </w:r>
      <w:r>
        <w:rPr>
          <w:rFonts w:hint="eastAsia"/>
        </w:rPr>
        <w:t>利用方向性产出距离函数对</w:t>
      </w:r>
      <w:r>
        <w:rPr>
          <w:rFonts w:hint="eastAsia"/>
        </w:rPr>
        <w:lastRenderedPageBreak/>
        <w:t>中国</w:t>
      </w:r>
      <w:r>
        <w:rPr>
          <w:rFonts w:hint="eastAsia"/>
        </w:rPr>
        <w:t>38</w:t>
      </w:r>
      <w:r>
        <w:rPr>
          <w:rFonts w:hint="eastAsia"/>
        </w:rPr>
        <w:t>个两位数工业行业的</w:t>
      </w:r>
      <w:r w:rsidR="008F6F5D">
        <w:rPr>
          <w:rFonts w:hint="eastAsia"/>
        </w:rPr>
        <w:t>二氧化碳影子价格</w:t>
      </w:r>
      <w:r>
        <w:rPr>
          <w:rFonts w:hint="eastAsia"/>
        </w:rPr>
        <w:t>进行估计。陈诗一</w:t>
      </w:r>
      <w:r>
        <w:rPr>
          <w:rFonts w:hint="eastAsia"/>
        </w:rPr>
        <w:t>(2011a)</w:t>
      </w:r>
      <w:r>
        <w:rPr>
          <w:rFonts w:hint="eastAsia"/>
        </w:rPr>
        <w:t>借鉴</w:t>
      </w:r>
      <w:r>
        <w:rPr>
          <w:rFonts w:hint="eastAsia"/>
        </w:rPr>
        <w:t>Chung</w:t>
      </w:r>
      <w:r>
        <w:rPr>
          <w:rFonts w:hint="eastAsia"/>
        </w:rPr>
        <w:t>等</w:t>
      </w:r>
      <w:r>
        <w:rPr>
          <w:rFonts w:hint="eastAsia"/>
        </w:rPr>
        <w:t xml:space="preserve">(1997) </w:t>
      </w:r>
      <w:r>
        <w:rPr>
          <w:rFonts w:hint="eastAsia"/>
        </w:rPr>
        <w:t>的方法，通过不同的方向向量分析中国工业行业的节能减排行为进而估计各行业时变的二氧化碳边际减排成本。魏楚</w:t>
      </w:r>
      <w:r>
        <w:rPr>
          <w:rFonts w:hint="eastAsia"/>
        </w:rPr>
        <w:t>(2014)</w:t>
      </w:r>
      <w:r>
        <w:rPr>
          <w:rFonts w:hint="eastAsia"/>
        </w:rPr>
        <w:t>基于参数化的方向性距离函数模型估计了中国</w:t>
      </w:r>
      <w:r>
        <w:rPr>
          <w:rFonts w:hint="eastAsia"/>
        </w:rPr>
        <w:t>104</w:t>
      </w:r>
      <w:r>
        <w:rPr>
          <w:rFonts w:hint="eastAsia"/>
        </w:rPr>
        <w:t>个地级市</w:t>
      </w:r>
      <w:r>
        <w:rPr>
          <w:rFonts w:hint="eastAsia"/>
        </w:rPr>
        <w:t>2001~2008</w:t>
      </w:r>
      <w:r>
        <w:rPr>
          <w:rFonts w:hint="eastAsia"/>
        </w:rPr>
        <w:t>年的城市二氧化碳边际减排成本。</w:t>
      </w:r>
      <w:r>
        <w:rPr>
          <w:rFonts w:hint="eastAsia"/>
        </w:rPr>
        <w:t>Du</w:t>
      </w:r>
      <w:r>
        <w:rPr>
          <w:rFonts w:hint="eastAsia"/>
        </w:rPr>
        <w:t>等</w:t>
      </w:r>
      <w:r>
        <w:rPr>
          <w:rFonts w:hint="eastAsia"/>
        </w:rPr>
        <w:t>(2015)</w:t>
      </w:r>
      <w:r>
        <w:rPr>
          <w:rFonts w:hint="eastAsia"/>
        </w:rPr>
        <w:t>采用参数线性规划方法估计了中国省际二氧化碳边际减排成本，并在此基础上通过</w:t>
      </w:r>
      <w:r>
        <w:rPr>
          <w:rFonts w:hint="eastAsia"/>
        </w:rPr>
        <w:t>4</w:t>
      </w:r>
      <w:r>
        <w:rPr>
          <w:rFonts w:hint="eastAsia"/>
        </w:rPr>
        <w:t>种函数形式，拟合边际减</w:t>
      </w:r>
      <w:proofErr w:type="gramStart"/>
      <w:r>
        <w:rPr>
          <w:rFonts w:hint="eastAsia"/>
        </w:rPr>
        <w:t>排成本</w:t>
      </w:r>
      <w:proofErr w:type="gramEnd"/>
      <w:r>
        <w:rPr>
          <w:rFonts w:hint="eastAsia"/>
        </w:rPr>
        <w:t>曲线</w:t>
      </w:r>
      <w:r>
        <w:rPr>
          <w:rFonts w:hint="eastAsia"/>
        </w:rPr>
        <w:t>(marginal abatement costs curve,</w:t>
      </w:r>
      <w:r>
        <w:t xml:space="preserve"> </w:t>
      </w:r>
      <w:r>
        <w:rPr>
          <w:rFonts w:hint="eastAsia"/>
        </w:rPr>
        <w:t>MACC)</w:t>
      </w:r>
      <w:r>
        <w:rPr>
          <w:rFonts w:hint="eastAsia"/>
        </w:rPr>
        <w:t>。</w:t>
      </w:r>
      <w:r>
        <w:rPr>
          <w:rFonts w:hint="eastAsia"/>
        </w:rPr>
        <w:t>Zhou</w:t>
      </w:r>
      <w:r>
        <w:rPr>
          <w:rFonts w:hint="eastAsia"/>
        </w:rPr>
        <w:t>等</w:t>
      </w:r>
      <w:r>
        <w:rPr>
          <w:rFonts w:hint="eastAsia"/>
        </w:rPr>
        <w:t>(2015)</w:t>
      </w:r>
      <w:r>
        <w:rPr>
          <w:rFonts w:hint="eastAsia"/>
        </w:rPr>
        <w:t>采用参数线性规划方法研究上海市引入碳排放交易体系后</w:t>
      </w:r>
      <w:r>
        <w:rPr>
          <w:rFonts w:hint="eastAsia"/>
        </w:rPr>
        <w:t>,</w:t>
      </w:r>
      <w:r>
        <w:rPr>
          <w:rFonts w:hint="eastAsia"/>
        </w:rPr>
        <w:t>各行业</w:t>
      </w:r>
      <w:r w:rsidR="008F6F5D">
        <w:rPr>
          <w:rFonts w:hint="eastAsia"/>
        </w:rPr>
        <w:t>二氧化碳影子价格</w:t>
      </w:r>
      <w:r>
        <w:rPr>
          <w:rFonts w:hint="eastAsia"/>
        </w:rPr>
        <w:t>的变化趋势。</w:t>
      </w:r>
    </w:p>
    <w:p w14:paraId="6E552E73" w14:textId="21521C67" w:rsidR="00897705" w:rsidRDefault="00000000">
      <w:pPr>
        <w:ind w:firstLine="420"/>
      </w:pPr>
      <w:r>
        <w:rPr>
          <w:rFonts w:hint="eastAsia"/>
        </w:rPr>
        <w:t>本文也将采用参数模型，并通过线性规划法求解模型，从而求得</w:t>
      </w:r>
      <w:r w:rsidR="008F6F5D">
        <w:rPr>
          <w:rFonts w:hint="eastAsia"/>
        </w:rPr>
        <w:t>二氧化碳影子价格</w:t>
      </w:r>
      <w:r>
        <w:rPr>
          <w:rFonts w:hint="eastAsia"/>
        </w:rPr>
        <w:t>。</w:t>
      </w:r>
    </w:p>
    <w:p w14:paraId="54E3EDC8" w14:textId="77777777" w:rsidR="00897705" w:rsidRDefault="00000000">
      <w:pPr>
        <w:pStyle w:val="1"/>
        <w:numPr>
          <w:ilvl w:val="0"/>
          <w:numId w:val="2"/>
        </w:numPr>
        <w:spacing w:before="312"/>
      </w:pPr>
      <w:bookmarkStart w:id="3" w:name="_Toc154908713"/>
      <w:r>
        <w:rPr>
          <w:rFonts w:hint="eastAsia"/>
        </w:rPr>
        <w:t>研究方法</w:t>
      </w:r>
      <w:bookmarkEnd w:id="3"/>
    </w:p>
    <w:p w14:paraId="4726032C" w14:textId="77777777" w:rsidR="00897705" w:rsidRDefault="00000000">
      <w:pPr>
        <w:pStyle w:val="2"/>
        <w:numPr>
          <w:ilvl w:val="0"/>
          <w:numId w:val="5"/>
        </w:numPr>
        <w:spacing w:before="156" w:after="156"/>
        <w:ind w:firstLine="420"/>
      </w:pPr>
      <w:bookmarkStart w:id="4" w:name="_Toc154908714"/>
      <w:r>
        <w:rPr>
          <w:rFonts w:hint="eastAsia"/>
        </w:rPr>
        <w:t>方向距离函数</w:t>
      </w:r>
      <w:bookmarkEnd w:id="4"/>
    </w:p>
    <w:p w14:paraId="18548FF2" w14:textId="77777777" w:rsidR="00897705" w:rsidRDefault="00000000">
      <w:pPr>
        <w:ind w:firstLineChars="200" w:firstLine="480"/>
        <w:rPr>
          <w:rFonts w:ascii="宋体" w:hAnsi="宋体"/>
        </w:rPr>
      </w:pPr>
      <w:r>
        <w:rPr>
          <w:rFonts w:ascii="宋体" w:hAnsi="宋体" w:hint="eastAsia"/>
        </w:rPr>
        <w:t>方向距离函数是由Chung等提出的方法，它克服了传统谢泼</w:t>
      </w:r>
      <w:proofErr w:type="gramStart"/>
      <w:r>
        <w:rPr>
          <w:rFonts w:ascii="宋体" w:hAnsi="宋体" w:hint="eastAsia"/>
        </w:rPr>
        <w:t>德距离</w:t>
      </w:r>
      <w:proofErr w:type="gramEnd"/>
      <w:r>
        <w:rPr>
          <w:rFonts w:ascii="宋体" w:hAnsi="宋体" w:hint="eastAsia"/>
        </w:rPr>
        <w:t>函数的缺点，具有期望产出和非期望产出可以按照任意的比例和方向进行变化的特点。依据Zhang等的设定，假设每一个决策单元都使用</w:t>
      </w:r>
      <w:r>
        <w:rPr>
          <w:rFonts w:ascii="宋体" w:hAnsi="宋体"/>
        </w:rPr>
        <w:t>N</w:t>
      </w:r>
      <w:proofErr w:type="gramStart"/>
      <w:r>
        <w:rPr>
          <w:rFonts w:ascii="宋体" w:hAnsi="宋体" w:hint="eastAsia"/>
        </w:rPr>
        <w:t>种投入</w:t>
      </w:r>
      <w:proofErr w:type="gramEnd"/>
      <w:r>
        <w:rPr>
          <w:rFonts w:ascii="宋体" w:hAnsi="宋体" w:hint="eastAsia"/>
        </w:rPr>
        <w:t>要素</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N</m:t>
            </m:r>
          </m:sub>
          <m:sup>
            <m:r>
              <w:rPr>
                <w:rFonts w:ascii="Cambria Math" w:hAnsi="Cambria Math"/>
              </w:rPr>
              <m:t>+</m:t>
            </m:r>
          </m:sup>
        </m:sSubSup>
      </m:oMath>
      <w:r>
        <w:rPr>
          <w:rFonts w:ascii="宋体" w:hAnsi="宋体" w:hint="eastAsia"/>
        </w:rPr>
        <w:t>，生产</w:t>
      </w:r>
      <w:r>
        <w:rPr>
          <w:rFonts w:ascii="宋体" w:hAnsi="宋体"/>
        </w:rPr>
        <w:t>M</w:t>
      </w:r>
      <w:r>
        <w:rPr>
          <w:rFonts w:ascii="宋体" w:hAnsi="宋体" w:hint="eastAsia"/>
        </w:rPr>
        <w:t>种期望产出</w:t>
      </w:r>
      <m:oMath>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m:t>
                </m:r>
              </m:sub>
            </m:sSub>
          </m:e>
        </m:d>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M</m:t>
            </m:r>
          </m:sub>
          <m:sup>
            <m:r>
              <w:rPr>
                <w:rFonts w:ascii="Cambria Math" w:hAnsi="Cambria Math"/>
              </w:rPr>
              <m:t>+</m:t>
            </m:r>
          </m:sup>
        </m:sSubSup>
      </m:oMath>
      <w:r>
        <w:rPr>
          <w:rFonts w:ascii="宋体" w:hAnsi="宋体" w:hint="eastAsia"/>
        </w:rPr>
        <w:t>和S种非期望产出</w:t>
      </w:r>
      <m:oMath>
        <m:r>
          <w:rPr>
            <w:rFonts w:ascii="Cambria Math" w:hAnsi="Cambria Math"/>
          </w:rPr>
          <m:t>b=</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S</m:t>
                </m:r>
              </m:sub>
            </m:sSub>
          </m:e>
        </m:d>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s</m:t>
            </m:r>
          </m:sub>
          <m:sup>
            <m:r>
              <w:rPr>
                <w:rFonts w:ascii="Cambria Math" w:hAnsi="Cambria Math"/>
              </w:rPr>
              <m:t>+</m:t>
            </m:r>
          </m:sup>
        </m:sSubSup>
      </m:oMath>
      <w:r>
        <w:rPr>
          <w:rFonts w:ascii="宋体" w:hAnsi="宋体" w:hint="eastAsia"/>
        </w:rPr>
        <w:t>，则多产出的环境生产技术为：</w:t>
      </w:r>
    </w:p>
    <w:p w14:paraId="7F22EC09" w14:textId="77777777" w:rsidR="00897705" w:rsidRDefault="00000000">
      <w:pPr>
        <w:ind w:firstLineChars="200" w:firstLine="480"/>
        <w:rPr>
          <w:rFonts w:ascii="宋体" w:hAnsi="宋体"/>
          <w:i/>
        </w:rPr>
      </w:pPr>
      <m:oMathPara>
        <m:oMath>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x,y,b</m:t>
              </m:r>
            </m:e>
          </m:d>
          <m:r>
            <w:rPr>
              <w:rFonts w:ascii="Cambria Math" w:hAnsi="Cambria Math"/>
            </w:rPr>
            <m:t>:x</m:t>
          </m:r>
          <m:r>
            <m:rPr>
              <m:sty m:val="p"/>
            </m:rPr>
            <w:rPr>
              <w:rFonts w:ascii="Cambria Math" w:hAnsi="Cambria Math" w:hint="eastAsia"/>
            </w:rPr>
            <m:t>可以生产</m:t>
          </m:r>
          <m:r>
            <m:rPr>
              <m:sty m:val="p"/>
            </m:rPr>
            <w:rPr>
              <w:rFonts w:ascii="Cambria Math" w:hAnsi="Cambria Math"/>
            </w:rPr>
            <m:t>(y,b)</m:t>
          </m:r>
          <m:r>
            <w:rPr>
              <w:rFonts w:ascii="Cambria Math" w:hAnsi="Cambria Math"/>
            </w:rPr>
            <m:t>}</m:t>
          </m:r>
        </m:oMath>
      </m:oMathPara>
    </w:p>
    <w:p w14:paraId="79C60D27" w14:textId="77777777" w:rsidR="00897705" w:rsidRDefault="00000000">
      <w:pPr>
        <w:ind w:firstLineChars="200" w:firstLine="480"/>
        <w:rPr>
          <w:rFonts w:ascii="宋体" w:hAnsi="宋体"/>
        </w:rPr>
      </w:pPr>
      <w:r>
        <w:rPr>
          <w:rFonts w:ascii="宋体" w:hAnsi="宋体" w:hint="eastAsia"/>
        </w:rPr>
        <w:t>其中，</w:t>
      </w:r>
      <m:oMath>
        <m:r>
          <w:rPr>
            <w:rFonts w:ascii="Cambria Math" w:hAnsi="Cambria Math"/>
          </w:rPr>
          <m:t>P</m:t>
        </m:r>
        <m:d>
          <m:dPr>
            <m:ctrlPr>
              <w:rPr>
                <w:rFonts w:ascii="Cambria Math" w:hAnsi="Cambria Math"/>
                <w:i/>
              </w:rPr>
            </m:ctrlPr>
          </m:dPr>
          <m:e>
            <m:r>
              <w:rPr>
                <w:rFonts w:ascii="Cambria Math" w:hAnsi="Cambria Math"/>
              </w:rPr>
              <m:t>x</m:t>
            </m:r>
          </m:e>
        </m:d>
      </m:oMath>
      <w:r>
        <w:rPr>
          <w:rFonts w:ascii="宋体" w:hAnsi="宋体" w:hint="eastAsia"/>
        </w:rPr>
        <w:t>被认为是满足生产理论公理。此外，环境生产技术还满足弱可处置性和</w:t>
      </w:r>
      <w:proofErr w:type="gramStart"/>
      <w:r>
        <w:rPr>
          <w:rFonts w:ascii="宋体" w:hAnsi="宋体" w:hint="eastAsia"/>
        </w:rPr>
        <w:t>零结合</w:t>
      </w:r>
      <w:proofErr w:type="gramEnd"/>
      <w:r>
        <w:rPr>
          <w:rFonts w:ascii="宋体" w:hAnsi="宋体" w:hint="eastAsia"/>
        </w:rPr>
        <w:t>性，其数学表达形式如下：</w:t>
      </w:r>
    </w:p>
    <w:p w14:paraId="3DF382FC" w14:textId="77777777" w:rsidR="00897705" w:rsidRDefault="00000000">
      <w:pPr>
        <w:ind w:firstLineChars="100" w:firstLine="240"/>
        <w:rPr>
          <w:rFonts w:ascii="宋体" w:hAnsi="宋体"/>
        </w:rPr>
      </w:pPr>
      <w:r>
        <w:rPr>
          <w:rFonts w:ascii="宋体" w:hAnsi="宋体"/>
        </w:rPr>
        <w:t>(</w:t>
      </w:r>
      <w:proofErr w:type="spellStart"/>
      <w:r>
        <w:rPr>
          <w:rFonts w:ascii="宋体" w:hAnsi="宋体"/>
        </w:rPr>
        <w:t>i</w:t>
      </w:r>
      <w:proofErr w:type="spellEnd"/>
      <w:r>
        <w:rPr>
          <w:rFonts w:ascii="宋体" w:hAnsi="宋体"/>
        </w:rPr>
        <w:t>)</w:t>
      </w:r>
      <w:r>
        <w:rPr>
          <w:rFonts w:ascii="宋体" w:hAnsi="宋体" w:hint="eastAsia"/>
        </w:rPr>
        <w:t>若</w:t>
      </w:r>
      <m:oMath>
        <m:r>
          <w:rPr>
            <w:rFonts w:ascii="Cambria Math" w:hAnsi="Cambria Math"/>
          </w:rPr>
          <m:t>(x,y,b)∈P(x)</m:t>
        </m:r>
      </m:oMath>
      <w:r>
        <w:rPr>
          <w:rFonts w:ascii="宋体" w:hAnsi="宋体" w:hint="eastAsia"/>
        </w:rPr>
        <w:t>且</w:t>
      </w:r>
      <m:oMath>
        <m:r>
          <w:rPr>
            <w:rFonts w:ascii="Cambria Math" w:hAnsi="Cambria Math"/>
          </w:rPr>
          <m:t>0</m:t>
        </m:r>
        <m:r>
          <w:rPr>
            <w:rFonts w:ascii="Cambria Math" w:hAnsi="Cambria Math" w:hint="eastAsia"/>
          </w:rPr>
          <m:t>≤</m:t>
        </m:r>
        <m:r>
          <w:rPr>
            <w:rFonts w:ascii="Cambria Math" w:hAnsi="Cambria Math"/>
          </w:rPr>
          <m:t>θ</m:t>
        </m:r>
        <m:r>
          <w:rPr>
            <w:rFonts w:ascii="Cambria Math" w:hAnsi="Cambria Math" w:hint="eastAsia"/>
          </w:rPr>
          <m:t>≤</m:t>
        </m:r>
        <m:r>
          <w:rPr>
            <w:rFonts w:ascii="Cambria Math" w:hAnsi="Cambria Math"/>
          </w:rPr>
          <m:t>1</m:t>
        </m:r>
      </m:oMath>
      <w:r>
        <w:rPr>
          <w:rFonts w:ascii="宋体" w:hAnsi="宋体" w:hint="eastAsia"/>
        </w:rPr>
        <w:t>，则</w:t>
      </w:r>
      <m:oMath>
        <m:r>
          <w:rPr>
            <w:rFonts w:ascii="Cambria Math" w:hAnsi="Cambria Math"/>
          </w:rPr>
          <m:t>(x,θy,θb)</m:t>
        </m:r>
        <m:r>
          <w:rPr>
            <w:rFonts w:ascii="Cambria Math" w:hAnsi="Cambria Math" w:hint="eastAsia"/>
          </w:rPr>
          <m:t>∈</m:t>
        </m:r>
        <m:r>
          <w:rPr>
            <w:rFonts w:ascii="Cambria Math" w:hAnsi="Cambria Math"/>
          </w:rPr>
          <m:t>P(x)</m:t>
        </m:r>
      </m:oMath>
      <w:r>
        <w:rPr>
          <w:rFonts w:ascii="宋体" w:hAnsi="宋体" w:hint="eastAsia"/>
        </w:rPr>
        <w:t>。</w:t>
      </w:r>
    </w:p>
    <w:p w14:paraId="41F4D417" w14:textId="77777777" w:rsidR="00897705" w:rsidRDefault="00000000">
      <w:pPr>
        <w:ind w:firstLineChars="100" w:firstLine="240"/>
        <w:rPr>
          <w:rFonts w:ascii="宋体" w:hAnsi="宋体"/>
        </w:rPr>
      </w:pPr>
      <w:r>
        <w:rPr>
          <w:rFonts w:ascii="宋体" w:hAnsi="宋体"/>
        </w:rPr>
        <w:t>(ii)</w:t>
      </w:r>
      <w:r>
        <w:rPr>
          <w:rFonts w:ascii="宋体" w:hAnsi="宋体" w:hint="eastAsia"/>
        </w:rPr>
        <w:t>若</w:t>
      </w:r>
      <m:oMath>
        <m:r>
          <w:rPr>
            <w:rFonts w:ascii="Cambria Math" w:hAnsi="Cambria Math"/>
          </w:rPr>
          <m:t>(x,y,b)∈P(x)</m:t>
        </m:r>
      </m:oMath>
      <w:r>
        <w:rPr>
          <w:rFonts w:ascii="宋体" w:hAnsi="宋体" w:hint="eastAsia"/>
        </w:rPr>
        <w:t>且</w:t>
      </w:r>
      <m:oMath>
        <m:r>
          <w:rPr>
            <w:rFonts w:ascii="Cambria Math" w:hAnsi="Cambria Math"/>
          </w:rPr>
          <m:t>b=0</m:t>
        </m:r>
      </m:oMath>
      <w:r>
        <w:rPr>
          <w:rFonts w:ascii="宋体" w:hAnsi="宋体" w:hint="eastAsia"/>
        </w:rPr>
        <w:t>，则</w:t>
      </w:r>
      <m:oMath>
        <m:r>
          <w:rPr>
            <w:rFonts w:ascii="Cambria Math" w:hAnsi="Cambria Math"/>
          </w:rPr>
          <m:t>y=0</m:t>
        </m:r>
      </m:oMath>
    </w:p>
    <w:p w14:paraId="68794853" w14:textId="77777777" w:rsidR="00897705" w:rsidRDefault="00000000">
      <w:pPr>
        <w:rPr>
          <w:rFonts w:ascii="宋体" w:hAnsi="宋体"/>
          <w:i/>
        </w:rPr>
      </w:pPr>
      <w:r>
        <w:rPr>
          <w:rFonts w:ascii="宋体" w:hAnsi="宋体" w:hint="eastAsia"/>
        </w:rPr>
        <w:t>弱可处置性假设</w:t>
      </w:r>
      <w:r>
        <w:rPr>
          <w:rFonts w:ascii="宋体" w:hAnsi="宋体"/>
        </w:rPr>
        <w:t>(</w:t>
      </w:r>
      <w:proofErr w:type="spellStart"/>
      <w:r>
        <w:rPr>
          <w:rFonts w:ascii="宋体" w:hAnsi="宋体"/>
        </w:rPr>
        <w:t>i</w:t>
      </w:r>
      <w:proofErr w:type="spellEnd"/>
      <w:r>
        <w:rPr>
          <w:rFonts w:ascii="宋体" w:hAnsi="宋体"/>
        </w:rPr>
        <w:t>)</w:t>
      </w:r>
      <w:r>
        <w:rPr>
          <w:rFonts w:ascii="宋体" w:hAnsi="宋体" w:hint="eastAsia"/>
        </w:rPr>
        <w:t>表示，减少非期望产出（如二氧化碳）需要以减少期望产出（如</w:t>
      </w:r>
      <w:r>
        <w:rPr>
          <w:rFonts w:ascii="宋体" w:hAnsi="宋体"/>
        </w:rPr>
        <w:t>GDP</w:t>
      </w:r>
      <w:r>
        <w:rPr>
          <w:rFonts w:ascii="宋体" w:hAnsi="宋体" w:hint="eastAsia"/>
        </w:rPr>
        <w:t>）为机会成本。</w:t>
      </w:r>
      <w:proofErr w:type="gramStart"/>
      <w:r>
        <w:rPr>
          <w:rFonts w:ascii="宋体" w:hAnsi="宋体" w:hint="eastAsia"/>
        </w:rPr>
        <w:t>零结合</w:t>
      </w:r>
      <w:proofErr w:type="gramEnd"/>
      <w:r>
        <w:rPr>
          <w:rFonts w:ascii="宋体" w:hAnsi="宋体" w:hint="eastAsia"/>
        </w:rPr>
        <w:t>性假设</w:t>
      </w:r>
      <w:r>
        <w:rPr>
          <w:rFonts w:ascii="宋体" w:hAnsi="宋体"/>
        </w:rPr>
        <w:t>(ii)</w:t>
      </w:r>
      <w:r>
        <w:rPr>
          <w:rFonts w:ascii="宋体" w:hAnsi="宋体" w:hint="eastAsia"/>
        </w:rPr>
        <w:t>则表明，若不停止对期望产出的生产，非期望产出将不可避免。在上述假设的约束下，方向距离函数的函数形式则可表示为：</w:t>
      </w:r>
    </w:p>
    <w:p w14:paraId="0FD88D6B" w14:textId="77777777" w:rsidR="00897705" w:rsidRDefault="00000000">
      <w:pPr>
        <w:jc w:val="center"/>
        <w:rPr>
          <w:rFonts w:ascii="宋体" w:hAnsi="宋体"/>
          <w:iCs/>
        </w:rPr>
      </w:pPr>
      <m:oMathPara>
        <m:oMath>
          <m:acc>
            <m:accPr>
              <m:chr m:val="⃑"/>
              <m:ctrlPr>
                <w:rPr>
                  <w:rFonts w:ascii="Cambria Math" w:hAnsi="Cambria Math"/>
                  <w:i/>
                  <w:iCs/>
                </w:rPr>
              </m:ctrlPr>
            </m:accPr>
            <m:e>
              <m:r>
                <w:rPr>
                  <w:rFonts w:ascii="Cambria Math" w:hAnsi="Cambria Math"/>
                </w:rPr>
                <m:t>D</m:t>
              </m:r>
            </m:e>
          </m:acc>
          <m:r>
            <w:rPr>
              <w:rFonts w:ascii="Cambria Math" w:hAnsi="Cambria Math" w:hint="eastAsia"/>
            </w:rPr>
            <m:t>(</m:t>
          </m:r>
          <m:r>
            <w:rPr>
              <w:rFonts w:ascii="Cambria Math" w:hAnsi="Cambria Math"/>
            </w:rPr>
            <m:t>x,y,b;</m:t>
          </m:r>
          <m:sSub>
            <m:sSubPr>
              <m:ctrlPr>
                <w:rPr>
                  <w:rFonts w:ascii="Cambria Math" w:hAnsi="Cambria Math"/>
                  <w:i/>
                  <w:iCs/>
                </w:rPr>
              </m:ctrlPr>
            </m:sSubPr>
            <m:e>
              <m:r>
                <w:rPr>
                  <w:rFonts w:ascii="Cambria Math" w:hAnsi="Cambria Math"/>
                </w:rPr>
                <m:t>g</m:t>
              </m:r>
            </m:e>
            <m:sub>
              <m:r>
                <w:rPr>
                  <w:rFonts w:ascii="Cambria Math" w:hAnsi="Cambria Math"/>
                </w:rPr>
                <m:t>y</m:t>
              </m:r>
            </m:sub>
          </m:sSub>
          <m:r>
            <w:rPr>
              <w:rFonts w:ascii="Cambria Math" w:hAnsi="Cambria Math"/>
            </w:rPr>
            <m:t>,-</m:t>
          </m:r>
          <m:sSub>
            <m:sSubPr>
              <m:ctrlPr>
                <w:rPr>
                  <w:rFonts w:ascii="Cambria Math" w:hAnsi="Cambria Math"/>
                  <w:i/>
                  <w:iCs/>
                </w:rPr>
              </m:ctrlPr>
            </m:sSubPr>
            <m:e>
              <m:r>
                <w:rPr>
                  <w:rFonts w:ascii="Cambria Math" w:hAnsi="Cambria Math"/>
                </w:rPr>
                <m:t>g</m:t>
              </m:r>
            </m:e>
            <m:sub>
              <m:r>
                <w:rPr>
                  <w:rFonts w:ascii="Cambria Math" w:hAnsi="Cambria Math"/>
                </w:rPr>
                <m:t>b</m:t>
              </m:r>
            </m:sub>
          </m:sSub>
          <m:r>
            <w:rPr>
              <w:rFonts w:ascii="Cambria Math" w:hAnsi="Cambria Math"/>
            </w:rPr>
            <m:t>)=max{θ:</m:t>
          </m:r>
          <m:r>
            <w:rPr>
              <w:rFonts w:ascii="Cambria Math" w:hAnsi="Cambria Math" w:hint="eastAsia"/>
            </w:rPr>
            <m:t>(y+</m:t>
          </m:r>
          <m:r>
            <w:rPr>
              <w:rFonts w:ascii="Cambria Math" w:hAnsi="Cambria Math"/>
            </w:rPr>
            <m:t>θ</m:t>
          </m:r>
          <m:sSub>
            <m:sSubPr>
              <m:ctrlPr>
                <w:rPr>
                  <w:rFonts w:ascii="Cambria Math" w:hAnsi="Cambria Math"/>
                  <w:i/>
                  <w:iCs/>
                  <w:vertAlign w:val="subscript"/>
                </w:rPr>
              </m:ctrlPr>
            </m:sSubPr>
            <m:e>
              <m:r>
                <w:rPr>
                  <w:rFonts w:ascii="Cambria Math" w:hAnsi="Cambria Math" w:hint="eastAsia"/>
                </w:rPr>
                <m:t>g</m:t>
              </m:r>
              <m:ctrlPr>
                <w:rPr>
                  <w:rFonts w:ascii="Cambria Math" w:hAnsi="Cambria Math" w:hint="eastAsia"/>
                  <w:i/>
                  <w:iCs/>
                </w:rPr>
              </m:ctrlPr>
            </m:e>
            <m:sub>
              <m:r>
                <w:rPr>
                  <w:rFonts w:ascii="Cambria Math" w:hAnsi="Cambria Math"/>
                  <w:vertAlign w:val="subscript"/>
                </w:rPr>
                <m:t>y</m:t>
              </m:r>
            </m:sub>
          </m:sSub>
          <m:r>
            <w:rPr>
              <w:rFonts w:ascii="Cambria Math" w:hAnsi="Cambria Math"/>
            </w:rPr>
            <m:t>,b-θ</m:t>
          </m:r>
          <m:sSub>
            <m:sSubPr>
              <m:ctrlPr>
                <w:rPr>
                  <w:rFonts w:ascii="Cambria Math" w:hAnsi="Cambria Math"/>
                  <w:i/>
                  <w:iCs/>
                </w:rPr>
              </m:ctrlPr>
            </m:sSubPr>
            <m:e>
              <m:r>
                <w:rPr>
                  <w:rFonts w:ascii="Cambria Math" w:hAnsi="Cambria Math"/>
                </w:rPr>
                <m:t>g</m:t>
              </m:r>
            </m:e>
            <m:sub>
              <m:r>
                <w:rPr>
                  <w:rFonts w:ascii="Cambria Math" w:hAnsi="Cambria Math"/>
                </w:rPr>
                <m:t>b</m:t>
              </m:r>
            </m:sub>
          </m:sSub>
          <m:r>
            <w:rPr>
              <w:rFonts w:ascii="Cambria Math" w:hAnsi="Cambria Math"/>
              <w:vertAlign w:val="subscript"/>
            </w:rPr>
            <m:t>)</m:t>
          </m:r>
          <m:r>
            <w:rPr>
              <w:rFonts w:ascii="Cambria Math" w:hAnsi="Cambria Math" w:hint="eastAsia"/>
            </w:rPr>
            <m:t>∈</m:t>
          </m:r>
          <m:r>
            <w:rPr>
              <w:rFonts w:ascii="Cambria Math" w:hAnsi="Cambria Math" w:hint="eastAsia"/>
            </w:rPr>
            <m:t>P</m:t>
          </m:r>
          <m:r>
            <w:rPr>
              <w:rFonts w:ascii="Cambria Math" w:hAnsi="Cambria Math"/>
            </w:rPr>
            <m:t>(x)}</m:t>
          </m:r>
        </m:oMath>
      </m:oMathPara>
    </w:p>
    <w:p w14:paraId="01B5FF9E" w14:textId="77777777" w:rsidR="00897705" w:rsidRDefault="00000000">
      <w:pPr>
        <w:rPr>
          <w:rFonts w:ascii="宋体" w:hAnsi="宋体"/>
        </w:rPr>
      </w:pPr>
      <w:r>
        <w:rPr>
          <w:rFonts w:ascii="宋体" w:hAnsi="宋体" w:hint="eastAsia"/>
        </w:rPr>
        <w:lastRenderedPageBreak/>
        <w:t>其中，</w:t>
      </w:r>
      <m:oMath>
        <m:r>
          <w:rPr>
            <w:rFonts w:ascii="Cambria Math" w:hAnsi="Cambria Math" w:hint="eastAsia"/>
          </w:rPr>
          <m:t>g=(</m:t>
        </m:r>
        <m:sSub>
          <m:sSubPr>
            <m:ctrlPr>
              <w:rPr>
                <w:rFonts w:ascii="Cambria Math" w:hAnsi="Cambria Math"/>
                <w:i/>
              </w:rPr>
            </m:ctrlPr>
          </m:sSubPr>
          <m:e>
            <m:r>
              <w:rPr>
                <w:rFonts w:ascii="Cambria Math" w:hAnsi="Cambria Math" w:hint="eastAsia"/>
              </w:rPr>
              <m:t>g</m:t>
            </m:r>
          </m:e>
          <m:sub>
            <m:r>
              <w:rPr>
                <w:rFonts w:ascii="Cambria Math" w:hAnsi="Cambria Math" w:hint="eastAsia"/>
                <w:vertAlign w:val="subscript"/>
              </w:rPr>
              <m:t>y</m:t>
            </m:r>
          </m:sub>
        </m:sSub>
        <m:r>
          <w:rPr>
            <w:rFonts w:ascii="Cambria Math" w:hAnsi="Cambria Math" w:hint="eastAsia"/>
          </w:rPr>
          <m:t>,</m:t>
        </m:r>
        <m:r>
          <w:rPr>
            <w:rFonts w:ascii="微软雅黑" w:eastAsia="微软雅黑" w:hAnsi="微软雅黑" w:cs="微软雅黑" w:hint="eastAsia"/>
          </w:rPr>
          <m:t>-</m:t>
        </m:r>
        <m:sSub>
          <m:sSubPr>
            <m:ctrlPr>
              <w:rPr>
                <w:rFonts w:ascii="Cambria Math" w:hAnsi="Cambria Math"/>
                <w:i/>
              </w:rPr>
            </m:ctrlPr>
          </m:sSubPr>
          <m:e>
            <m:r>
              <w:rPr>
                <w:rFonts w:ascii="Cambria Math" w:hAnsi="Cambria Math" w:hint="eastAsia"/>
              </w:rPr>
              <m:t>g</m:t>
            </m:r>
            <m:ctrlPr>
              <w:rPr>
                <w:rFonts w:ascii="Cambria Math" w:hAnsi="Cambria Math" w:cs="微软雅黑"/>
                <w:i/>
              </w:rPr>
            </m:ctrlPr>
          </m:e>
          <m:sub>
            <m:r>
              <w:rPr>
                <w:rFonts w:ascii="Cambria Math" w:hAnsi="Cambria Math"/>
              </w:rPr>
              <m:t>b</m:t>
            </m:r>
          </m:sub>
        </m:sSub>
        <m:r>
          <w:rPr>
            <w:rFonts w:ascii="Cambria Math" w:hAnsi="Cambria Math" w:hint="eastAsia"/>
          </w:rPr>
          <m:t>)</m:t>
        </m:r>
      </m:oMath>
      <w:r>
        <w:rPr>
          <w:rFonts w:ascii="宋体" w:hAnsi="宋体" w:hint="eastAsia"/>
        </w:rPr>
        <w:t>为期望产出和非期望产出缩放方向向量，</w:t>
      </w:r>
      <m:oMath>
        <m:r>
          <w:rPr>
            <w:rFonts w:ascii="Cambria Math" w:hAnsi="Cambria Math" w:hint="eastAsia"/>
          </w:rPr>
          <m:t>θ</m:t>
        </m:r>
      </m:oMath>
      <w:r>
        <w:rPr>
          <w:rFonts w:ascii="宋体" w:hAnsi="宋体" w:hint="eastAsia"/>
        </w:rPr>
        <w:t>为无效率值。</w:t>
      </w:r>
    </w:p>
    <w:p w14:paraId="3E1BF749" w14:textId="77777777" w:rsidR="00897705" w:rsidRDefault="00000000">
      <w:pPr>
        <w:rPr>
          <w:rFonts w:ascii="宋体" w:hAnsi="宋体"/>
        </w:rPr>
      </w:pPr>
      <w:r>
        <w:rPr>
          <w:rFonts w:ascii="宋体" w:hAnsi="宋体"/>
        </w:rPr>
        <w:t>特征（1）</w:t>
      </w:r>
      <w:r>
        <w:rPr>
          <w:rFonts w:ascii="宋体" w:hAnsi="宋体" w:hint="eastAsia"/>
        </w:rPr>
        <w:t>：</w:t>
      </w:r>
      <w:r>
        <w:rPr>
          <w:rFonts w:ascii="宋体" w:hAnsi="宋体"/>
        </w:rPr>
        <w:t>当且仅当</w:t>
      </w:r>
      <m:oMath>
        <m:r>
          <m:rPr>
            <m:sty m:val="p"/>
          </m:rPr>
          <w:rPr>
            <w:rFonts w:ascii="Cambria Math" w:hAnsi="Cambria Math"/>
          </w:rPr>
          <m:t>(x,y,b)</m:t>
        </m:r>
        <m:r>
          <m:rPr>
            <m:sty m:val="p"/>
          </m:rPr>
          <w:rPr>
            <w:rFonts w:ascii="Cambria Math" w:hAnsi="Cambria Math" w:cs="宋体" w:hint="eastAsia"/>
          </w:rPr>
          <m:t>∈</m:t>
        </m:r>
        <m:r>
          <m:rPr>
            <m:sty m:val="p"/>
          </m:rPr>
          <w:rPr>
            <w:rFonts w:ascii="Cambria Math" w:hAnsi="Cambria Math"/>
          </w:rPr>
          <m:t>P(x)</m:t>
        </m:r>
      </m:oMath>
      <w:r>
        <w:rPr>
          <w:rFonts w:ascii="宋体" w:hAnsi="宋体" w:hint="eastAsia"/>
        </w:rPr>
        <w:t>，则</w:t>
      </w:r>
      <m:oMath>
        <m:acc>
          <m:accPr>
            <m:chr m:val="⃑"/>
            <m:ctrlPr>
              <w:rPr>
                <w:rFonts w:ascii="Cambria Math" w:hAnsi="Cambria Math"/>
                <w:i/>
                <w:iCs/>
              </w:rPr>
            </m:ctrlPr>
          </m:accPr>
          <m:e>
            <m:r>
              <w:rPr>
                <w:rFonts w:ascii="Cambria Math" w:hAnsi="Cambria Math"/>
              </w:rPr>
              <m:t>D</m:t>
            </m:r>
          </m:e>
        </m:acc>
        <m:r>
          <w:rPr>
            <w:rFonts w:ascii="Cambria Math" w:hAnsi="Cambria Math" w:hint="eastAsia"/>
          </w:rPr>
          <m:t>(</m:t>
        </m:r>
        <m:r>
          <w:rPr>
            <w:rFonts w:ascii="Cambria Math" w:hAnsi="Cambria Math"/>
          </w:rPr>
          <m:t>x,y,b;</m:t>
        </m:r>
        <m:sSub>
          <m:sSubPr>
            <m:ctrlPr>
              <w:rPr>
                <w:rFonts w:ascii="Cambria Math" w:hAnsi="Cambria Math"/>
                <w:i/>
                <w:iCs/>
              </w:rPr>
            </m:ctrlPr>
          </m:sSubPr>
          <m:e>
            <m:r>
              <w:rPr>
                <w:rFonts w:ascii="Cambria Math" w:hAnsi="Cambria Math"/>
              </w:rPr>
              <m:t>g</m:t>
            </m:r>
          </m:e>
          <m:sub>
            <m:r>
              <w:rPr>
                <w:rFonts w:ascii="Cambria Math" w:hAnsi="Cambria Math"/>
              </w:rPr>
              <m:t>y</m:t>
            </m:r>
          </m:sub>
        </m:sSub>
        <m:r>
          <w:rPr>
            <w:rFonts w:ascii="Cambria Math" w:hAnsi="Cambria Math"/>
          </w:rPr>
          <m:t>,-</m:t>
        </m:r>
        <m:sSub>
          <m:sSubPr>
            <m:ctrlPr>
              <w:rPr>
                <w:rFonts w:ascii="Cambria Math" w:hAnsi="Cambria Math"/>
                <w:i/>
                <w:iCs/>
              </w:rPr>
            </m:ctrlPr>
          </m:sSubPr>
          <m:e>
            <m:r>
              <w:rPr>
                <w:rFonts w:ascii="Cambria Math" w:hAnsi="Cambria Math"/>
              </w:rPr>
              <m:t>g</m:t>
            </m:r>
          </m:e>
          <m:sub>
            <m:r>
              <w:rPr>
                <w:rFonts w:ascii="Cambria Math" w:hAnsi="Cambria Math"/>
              </w:rPr>
              <m:t>b</m:t>
            </m:r>
          </m:sub>
        </m:sSub>
        <m:r>
          <w:rPr>
            <w:rFonts w:ascii="Cambria Math" w:hAnsi="Cambria Math"/>
          </w:rPr>
          <m:t>)≥0</m:t>
        </m:r>
      </m:oMath>
      <w:r>
        <w:rPr>
          <w:rFonts w:ascii="宋体" w:hAnsi="宋体"/>
        </w:rPr>
        <w:t>；</w:t>
      </w:r>
    </w:p>
    <w:p w14:paraId="51EA8FC6" w14:textId="77777777" w:rsidR="00897705" w:rsidRDefault="00000000">
      <w:pPr>
        <w:rPr>
          <w:rFonts w:ascii="宋体" w:hAnsi="宋体"/>
        </w:rPr>
      </w:pPr>
      <w:r>
        <w:rPr>
          <w:rFonts w:ascii="宋体" w:hAnsi="宋体"/>
        </w:rPr>
        <w:t>特征（2）</w:t>
      </w:r>
      <w:r>
        <w:rPr>
          <w:rFonts w:ascii="宋体" w:hAnsi="宋体" w:hint="eastAsia"/>
        </w:rPr>
        <w:t>：</w:t>
      </w:r>
      <w:r>
        <w:rPr>
          <w:rFonts w:ascii="宋体" w:hAnsi="宋体"/>
        </w:rPr>
        <w:t>若</w:t>
      </w:r>
      <w:r>
        <w:rPr>
          <w:rFonts w:ascii="宋体" w:hAnsi="宋体"/>
          <w:iCs/>
        </w:rPr>
        <w:t xml:space="preserve"> </w:t>
      </w:r>
      <m:oMath>
        <m:r>
          <m:rPr>
            <m:sty m:val="p"/>
          </m:rPr>
          <w:rPr>
            <w:rFonts w:ascii="Cambria Math" w:hAnsi="Cambria Math"/>
          </w:rPr>
          <m:t>(x,</m:t>
        </m:r>
        <m:sSup>
          <m:sSupPr>
            <m:ctrlPr>
              <w:rPr>
                <w:rFonts w:ascii="Cambria Math" w:hAnsi="Cambria Math"/>
                <w:iCs/>
              </w:rPr>
            </m:ctrlPr>
          </m:sSupPr>
          <m:e>
            <m:r>
              <m:rPr>
                <m:sty m:val="p"/>
              </m:rPr>
              <w:rPr>
                <w:rFonts w:ascii="Cambria Math" w:hAnsi="Cambria Math"/>
              </w:rPr>
              <m:t>y</m:t>
            </m:r>
          </m:e>
          <m:sup>
            <m:r>
              <m:rPr>
                <m:sty m:val="p"/>
              </m:rPr>
              <w:rPr>
                <w:rFonts w:ascii="Cambria Math" w:hAnsi="Cambria Math"/>
              </w:rPr>
              <m:t>'</m:t>
            </m:r>
          </m:sup>
        </m:sSup>
        <m:r>
          <m:rPr>
            <m:sty m:val="p"/>
          </m:rPr>
          <w:rPr>
            <w:rFonts w:ascii="Cambria Math" w:hAnsi="Cambria Math"/>
          </w:rPr>
          <m:t>,b)</m:t>
        </m:r>
        <m:r>
          <w:rPr>
            <w:rFonts w:ascii="Cambria Math" w:hAnsi="Cambria Math"/>
          </w:rPr>
          <m:t>≤</m:t>
        </m:r>
        <m:r>
          <m:rPr>
            <m:sty m:val="p"/>
          </m:rPr>
          <w:rPr>
            <w:rFonts w:ascii="Cambria Math" w:hAnsi="Cambria Math"/>
          </w:rPr>
          <m:t>(x,y,b)</m:t>
        </m:r>
        <m:r>
          <m:rPr>
            <m:sty m:val="p"/>
          </m:rPr>
          <w:rPr>
            <w:rFonts w:ascii="Cambria Math" w:hAnsi="Cambria Math" w:cs="宋体" w:hint="eastAsia"/>
          </w:rPr>
          <m:t>∈</m:t>
        </m:r>
        <m:r>
          <m:rPr>
            <m:sty m:val="p"/>
          </m:rPr>
          <w:rPr>
            <w:rFonts w:ascii="Cambria Math" w:hAnsi="Cambria Math"/>
          </w:rPr>
          <m:t>P(x)</m:t>
        </m:r>
      </m:oMath>
      <w:r>
        <w:rPr>
          <w:rFonts w:ascii="宋体" w:hAnsi="宋体" w:hint="eastAsia"/>
        </w:rPr>
        <w:t>，</w:t>
      </w:r>
      <w:r>
        <w:rPr>
          <w:rFonts w:ascii="宋体" w:hAnsi="宋体"/>
        </w:rPr>
        <w:t>则</w:t>
      </w:r>
      <m:oMath>
        <m:acc>
          <m:accPr>
            <m:chr m:val="⃑"/>
            <m:ctrlPr>
              <w:rPr>
                <w:rFonts w:ascii="Cambria Math" w:hAnsi="Cambria Math"/>
                <w:i/>
                <w:iCs/>
              </w:rPr>
            </m:ctrlPr>
          </m:accPr>
          <m:e>
            <m:r>
              <w:rPr>
                <w:rFonts w:ascii="Cambria Math" w:hAnsi="Cambria Math"/>
              </w:rPr>
              <m:t>D</m:t>
            </m:r>
          </m:e>
        </m:acc>
        <m:r>
          <w:rPr>
            <w:rFonts w:ascii="Cambria Math" w:hAnsi="Cambria Math" w:hint="eastAsia"/>
          </w:rPr>
          <m:t>(</m:t>
        </m:r>
        <m:r>
          <w:rPr>
            <w:rFonts w:ascii="Cambria Math" w:hAnsi="Cambria Math"/>
          </w:rPr>
          <m:t>x,</m:t>
        </m:r>
        <m:sSup>
          <m:sSupPr>
            <m:ctrlPr>
              <w:rPr>
                <w:rFonts w:ascii="Cambria Math" w:hAnsi="Cambria Math"/>
                <w:i/>
                <w:iCs/>
              </w:rPr>
            </m:ctrlPr>
          </m:sSupPr>
          <m:e>
            <m:r>
              <w:rPr>
                <w:rFonts w:ascii="Cambria Math" w:hAnsi="Cambria Math"/>
              </w:rPr>
              <m:t>y</m:t>
            </m:r>
          </m:e>
          <m:sup>
            <m:r>
              <w:rPr>
                <w:rFonts w:ascii="Cambria Math" w:hAnsi="Cambria Math"/>
              </w:rPr>
              <m:t>'</m:t>
            </m:r>
          </m:sup>
        </m:sSup>
        <m:r>
          <w:rPr>
            <w:rFonts w:ascii="Cambria Math" w:hAnsi="Cambria Math"/>
          </w:rPr>
          <m:t>,b;</m:t>
        </m:r>
        <m:sSub>
          <m:sSubPr>
            <m:ctrlPr>
              <w:rPr>
                <w:rFonts w:ascii="Cambria Math" w:hAnsi="Cambria Math"/>
                <w:i/>
                <w:iCs/>
              </w:rPr>
            </m:ctrlPr>
          </m:sSubPr>
          <m:e>
            <m:r>
              <w:rPr>
                <w:rFonts w:ascii="Cambria Math" w:hAnsi="Cambria Math"/>
              </w:rPr>
              <m:t>g</m:t>
            </m:r>
          </m:e>
          <m:sub>
            <m:r>
              <w:rPr>
                <w:rFonts w:ascii="Cambria Math" w:hAnsi="Cambria Math"/>
              </w:rPr>
              <m:t>y</m:t>
            </m:r>
          </m:sub>
        </m:sSub>
        <m:r>
          <w:rPr>
            <w:rFonts w:ascii="Cambria Math" w:hAnsi="Cambria Math"/>
          </w:rPr>
          <m:t>,-</m:t>
        </m:r>
        <m:sSub>
          <m:sSubPr>
            <m:ctrlPr>
              <w:rPr>
                <w:rFonts w:ascii="Cambria Math" w:hAnsi="Cambria Math"/>
                <w:i/>
                <w:iCs/>
              </w:rPr>
            </m:ctrlPr>
          </m:sSubPr>
          <m:e>
            <m:r>
              <w:rPr>
                <w:rFonts w:ascii="Cambria Math" w:hAnsi="Cambria Math"/>
              </w:rPr>
              <m:t>g</m:t>
            </m:r>
          </m:e>
          <m:sub>
            <m:r>
              <w:rPr>
                <w:rFonts w:ascii="Cambria Math" w:hAnsi="Cambria Math"/>
              </w:rPr>
              <m:t>b</m:t>
            </m:r>
          </m:sub>
        </m:sSub>
        <m:r>
          <w:rPr>
            <w:rFonts w:ascii="Cambria Math" w:hAnsi="Cambria Math"/>
          </w:rPr>
          <m:t>)≥</m:t>
        </m:r>
        <m:acc>
          <m:accPr>
            <m:chr m:val="⃑"/>
            <m:ctrlPr>
              <w:rPr>
                <w:rFonts w:ascii="Cambria Math" w:hAnsi="Cambria Math"/>
                <w:i/>
                <w:iCs/>
              </w:rPr>
            </m:ctrlPr>
          </m:accPr>
          <m:e>
            <m:r>
              <w:rPr>
                <w:rFonts w:ascii="Cambria Math" w:hAnsi="Cambria Math"/>
              </w:rPr>
              <m:t>D</m:t>
            </m:r>
          </m:e>
        </m:acc>
        <m:r>
          <w:rPr>
            <w:rFonts w:ascii="Cambria Math" w:hAnsi="Cambria Math" w:hint="eastAsia"/>
          </w:rPr>
          <m:t>(</m:t>
        </m:r>
        <m:r>
          <w:rPr>
            <w:rFonts w:ascii="Cambria Math" w:hAnsi="Cambria Math"/>
          </w:rPr>
          <m:t>x,y,b;</m:t>
        </m:r>
        <m:sSub>
          <m:sSubPr>
            <m:ctrlPr>
              <w:rPr>
                <w:rFonts w:ascii="Cambria Math" w:hAnsi="Cambria Math"/>
                <w:i/>
                <w:iCs/>
              </w:rPr>
            </m:ctrlPr>
          </m:sSubPr>
          <m:e>
            <m:r>
              <w:rPr>
                <w:rFonts w:ascii="Cambria Math" w:hAnsi="Cambria Math"/>
              </w:rPr>
              <m:t>g</m:t>
            </m:r>
          </m:e>
          <m:sub>
            <m:r>
              <w:rPr>
                <w:rFonts w:ascii="Cambria Math" w:hAnsi="Cambria Math"/>
              </w:rPr>
              <m:t>y</m:t>
            </m:r>
          </m:sub>
        </m:sSub>
        <m:r>
          <w:rPr>
            <w:rFonts w:ascii="Cambria Math" w:hAnsi="Cambria Math"/>
          </w:rPr>
          <m:t>,-</m:t>
        </m:r>
        <m:sSub>
          <m:sSubPr>
            <m:ctrlPr>
              <w:rPr>
                <w:rFonts w:ascii="Cambria Math" w:hAnsi="Cambria Math"/>
                <w:i/>
                <w:iCs/>
              </w:rPr>
            </m:ctrlPr>
          </m:sSubPr>
          <m:e>
            <m:r>
              <w:rPr>
                <w:rFonts w:ascii="Cambria Math" w:hAnsi="Cambria Math"/>
              </w:rPr>
              <m:t>g</m:t>
            </m:r>
          </m:e>
          <m:sub>
            <m:r>
              <w:rPr>
                <w:rFonts w:ascii="Cambria Math" w:hAnsi="Cambria Math"/>
              </w:rPr>
              <m:t>b</m:t>
            </m:r>
          </m:sub>
        </m:sSub>
        <m:r>
          <w:rPr>
            <w:rFonts w:ascii="Cambria Math" w:hAnsi="Cambria Math"/>
          </w:rPr>
          <m:t>)</m:t>
        </m:r>
      </m:oMath>
      <w:r>
        <w:rPr>
          <w:rFonts w:ascii="宋体" w:hAnsi="宋体" w:hint="eastAsia"/>
          <w:iCs/>
        </w:rPr>
        <w:t>；</w:t>
      </w:r>
    </w:p>
    <w:p w14:paraId="2E9A911F" w14:textId="77777777" w:rsidR="00897705" w:rsidRDefault="00000000">
      <w:pPr>
        <w:rPr>
          <w:rFonts w:ascii="宋体" w:hAnsi="宋体"/>
          <w:iCs/>
        </w:rPr>
      </w:pPr>
      <w:r>
        <w:rPr>
          <w:rFonts w:ascii="宋体" w:hAnsi="宋体"/>
        </w:rPr>
        <w:t>特征</w:t>
      </w:r>
      <w:r>
        <w:rPr>
          <w:rFonts w:ascii="宋体" w:hAnsi="宋体" w:hint="eastAsia"/>
        </w:rPr>
        <w:t>（3）：</w:t>
      </w:r>
      <w:r>
        <w:rPr>
          <w:rFonts w:ascii="宋体" w:hAnsi="宋体"/>
        </w:rPr>
        <w:t>若</w:t>
      </w:r>
      <m:oMath>
        <m:r>
          <m:rPr>
            <m:sty m:val="p"/>
          </m:rPr>
          <w:rPr>
            <w:rFonts w:ascii="Cambria Math" w:hAnsi="Cambria Math"/>
          </w:rPr>
          <m:t>(x,</m:t>
        </m:r>
        <m:r>
          <m:rPr>
            <m:sty m:val="p"/>
          </m:rPr>
          <w:rPr>
            <w:rFonts w:ascii="Cambria Math" w:hAnsi="Cambria Math" w:hint="eastAsia"/>
          </w:rPr>
          <m:t>y</m:t>
        </m:r>
        <m:r>
          <m:rPr>
            <m:sty m:val="p"/>
          </m:rPr>
          <w:rPr>
            <w:rFonts w:ascii="Cambria Math" w:hAnsi="Cambria Math"/>
          </w:rPr>
          <m:t>,</m:t>
        </m:r>
        <m:sSup>
          <m:sSupPr>
            <m:ctrlPr>
              <w:rPr>
                <w:rFonts w:ascii="Cambria Math" w:hAnsi="Cambria Math"/>
                <w:iCs/>
              </w:rPr>
            </m:ctrlPr>
          </m:sSupPr>
          <m:e>
            <m:r>
              <m:rPr>
                <m:sty m:val="p"/>
              </m:rPr>
              <w:rPr>
                <w:rFonts w:ascii="Cambria Math" w:hAnsi="Cambria Math"/>
              </w:rPr>
              <m:t>b</m:t>
            </m:r>
          </m:e>
          <m:sup>
            <m:r>
              <m:rPr>
                <m:sty m:val="p"/>
              </m:rPr>
              <w:rPr>
                <w:rFonts w:ascii="Cambria Math" w:hAnsi="Cambria Math"/>
              </w:rPr>
              <m:t>'</m:t>
            </m:r>
          </m:sup>
        </m:sSup>
        <m:r>
          <m:rPr>
            <m:sty m:val="p"/>
          </m:rPr>
          <w:rPr>
            <w:rFonts w:ascii="Cambria Math" w:hAnsi="Cambria Math"/>
          </w:rPr>
          <m:t>)</m:t>
        </m:r>
        <m:r>
          <w:rPr>
            <w:rFonts w:ascii="Cambria Math" w:hAnsi="Cambria Math"/>
          </w:rPr>
          <m:t>≥</m:t>
        </m:r>
        <m:r>
          <m:rPr>
            <m:sty m:val="p"/>
          </m:rPr>
          <w:rPr>
            <w:rFonts w:ascii="Cambria Math" w:hAnsi="Cambria Math"/>
          </w:rPr>
          <m:t>(x,y,b)</m:t>
        </m:r>
        <m:r>
          <m:rPr>
            <m:sty m:val="p"/>
          </m:rPr>
          <w:rPr>
            <w:rFonts w:ascii="Cambria Math" w:hAnsi="Cambria Math" w:cs="宋体" w:hint="eastAsia"/>
          </w:rPr>
          <m:t>∈</m:t>
        </m:r>
        <m:r>
          <m:rPr>
            <m:sty m:val="p"/>
          </m:rPr>
          <w:rPr>
            <w:rFonts w:ascii="Cambria Math" w:hAnsi="Cambria Math"/>
          </w:rPr>
          <m:t>P(x)</m:t>
        </m:r>
      </m:oMath>
      <w:r>
        <w:rPr>
          <w:rFonts w:ascii="宋体" w:hAnsi="宋体"/>
        </w:rPr>
        <w:t>，则</w:t>
      </w:r>
      <m:oMath>
        <m:acc>
          <m:accPr>
            <m:chr m:val="⃑"/>
            <m:ctrlPr>
              <w:rPr>
                <w:rFonts w:ascii="Cambria Math" w:hAnsi="Cambria Math"/>
                <w:i/>
                <w:iCs/>
              </w:rPr>
            </m:ctrlPr>
          </m:accPr>
          <m:e>
            <m:r>
              <w:rPr>
                <w:rFonts w:ascii="Cambria Math" w:hAnsi="Cambria Math"/>
              </w:rPr>
              <m:t>D</m:t>
            </m:r>
          </m:e>
        </m:acc>
        <m:r>
          <w:rPr>
            <w:rFonts w:ascii="Cambria Math" w:hAnsi="Cambria Math" w:hint="eastAsia"/>
          </w:rPr>
          <m:t>(</m:t>
        </m:r>
        <m:r>
          <w:rPr>
            <w:rFonts w:ascii="Cambria Math" w:hAnsi="Cambria Math"/>
          </w:rPr>
          <m:t>x,y,</m:t>
        </m:r>
        <m:sSup>
          <m:sSupPr>
            <m:ctrlPr>
              <w:rPr>
                <w:rFonts w:ascii="Cambria Math" w:hAnsi="Cambria Math"/>
                <w:i/>
                <w:iCs/>
              </w:rPr>
            </m:ctrlPr>
          </m:sSupPr>
          <m:e>
            <m:r>
              <w:rPr>
                <w:rFonts w:ascii="Cambria Math" w:hAnsi="Cambria Math"/>
              </w:rPr>
              <m:t>b</m:t>
            </m:r>
          </m:e>
          <m:sup>
            <m:r>
              <w:rPr>
                <w:rFonts w:ascii="Cambria Math" w:hAnsi="Cambria Math"/>
              </w:rPr>
              <m:t>'</m:t>
            </m:r>
          </m:sup>
        </m:sSup>
        <m:r>
          <w:rPr>
            <w:rFonts w:ascii="Cambria Math" w:hAnsi="Cambria Math"/>
          </w:rPr>
          <m:t>;</m:t>
        </m:r>
        <m:sSub>
          <m:sSubPr>
            <m:ctrlPr>
              <w:rPr>
                <w:rFonts w:ascii="Cambria Math" w:hAnsi="Cambria Math"/>
                <w:i/>
                <w:iCs/>
              </w:rPr>
            </m:ctrlPr>
          </m:sSubPr>
          <m:e>
            <m:r>
              <w:rPr>
                <w:rFonts w:ascii="Cambria Math" w:hAnsi="Cambria Math"/>
              </w:rPr>
              <m:t>g</m:t>
            </m:r>
          </m:e>
          <m:sub>
            <m:r>
              <w:rPr>
                <w:rFonts w:ascii="Cambria Math" w:hAnsi="Cambria Math"/>
              </w:rPr>
              <m:t>y</m:t>
            </m:r>
          </m:sub>
        </m:sSub>
        <m:r>
          <w:rPr>
            <w:rFonts w:ascii="Cambria Math" w:hAnsi="Cambria Math"/>
          </w:rPr>
          <m:t>,-</m:t>
        </m:r>
        <m:sSub>
          <m:sSubPr>
            <m:ctrlPr>
              <w:rPr>
                <w:rFonts w:ascii="Cambria Math" w:hAnsi="Cambria Math"/>
                <w:i/>
                <w:iCs/>
              </w:rPr>
            </m:ctrlPr>
          </m:sSubPr>
          <m:e>
            <m:r>
              <w:rPr>
                <w:rFonts w:ascii="Cambria Math" w:hAnsi="Cambria Math"/>
              </w:rPr>
              <m:t>g</m:t>
            </m:r>
          </m:e>
          <m:sub>
            <m:r>
              <w:rPr>
                <w:rFonts w:ascii="Cambria Math" w:hAnsi="Cambria Math"/>
              </w:rPr>
              <m:t>b</m:t>
            </m:r>
          </m:sub>
        </m:sSub>
        <m:r>
          <w:rPr>
            <w:rFonts w:ascii="Cambria Math" w:hAnsi="Cambria Math"/>
          </w:rPr>
          <m:t>)≥</m:t>
        </m:r>
        <m:acc>
          <m:accPr>
            <m:chr m:val="⃑"/>
            <m:ctrlPr>
              <w:rPr>
                <w:rFonts w:ascii="Cambria Math" w:hAnsi="Cambria Math"/>
                <w:i/>
                <w:iCs/>
              </w:rPr>
            </m:ctrlPr>
          </m:accPr>
          <m:e>
            <m:r>
              <w:rPr>
                <w:rFonts w:ascii="Cambria Math" w:hAnsi="Cambria Math"/>
              </w:rPr>
              <m:t>D</m:t>
            </m:r>
          </m:e>
        </m:acc>
        <m:r>
          <w:rPr>
            <w:rFonts w:ascii="Cambria Math" w:hAnsi="Cambria Math" w:hint="eastAsia"/>
          </w:rPr>
          <m:t>(</m:t>
        </m:r>
        <m:r>
          <w:rPr>
            <w:rFonts w:ascii="Cambria Math" w:hAnsi="Cambria Math"/>
          </w:rPr>
          <m:t>x,y,b;</m:t>
        </m:r>
        <m:sSub>
          <m:sSubPr>
            <m:ctrlPr>
              <w:rPr>
                <w:rFonts w:ascii="Cambria Math" w:hAnsi="Cambria Math"/>
                <w:i/>
                <w:iCs/>
              </w:rPr>
            </m:ctrlPr>
          </m:sSubPr>
          <m:e>
            <m:r>
              <w:rPr>
                <w:rFonts w:ascii="Cambria Math" w:hAnsi="Cambria Math"/>
              </w:rPr>
              <m:t>g</m:t>
            </m:r>
          </m:e>
          <m:sub>
            <m:r>
              <w:rPr>
                <w:rFonts w:ascii="Cambria Math" w:hAnsi="Cambria Math"/>
              </w:rPr>
              <m:t>y</m:t>
            </m:r>
          </m:sub>
        </m:sSub>
        <m:r>
          <w:rPr>
            <w:rFonts w:ascii="Cambria Math" w:hAnsi="Cambria Math"/>
          </w:rPr>
          <m:t>,-</m:t>
        </m:r>
        <m:sSub>
          <m:sSubPr>
            <m:ctrlPr>
              <w:rPr>
                <w:rFonts w:ascii="Cambria Math" w:hAnsi="Cambria Math"/>
                <w:i/>
                <w:iCs/>
              </w:rPr>
            </m:ctrlPr>
          </m:sSubPr>
          <m:e>
            <m:r>
              <w:rPr>
                <w:rFonts w:ascii="Cambria Math" w:hAnsi="Cambria Math"/>
              </w:rPr>
              <m:t>g</m:t>
            </m:r>
          </m:e>
          <m:sub>
            <m:r>
              <w:rPr>
                <w:rFonts w:ascii="Cambria Math" w:hAnsi="Cambria Math"/>
              </w:rPr>
              <m:t>b</m:t>
            </m:r>
          </m:sub>
        </m:sSub>
        <m:r>
          <w:rPr>
            <w:rFonts w:ascii="Cambria Math" w:hAnsi="Cambria Math"/>
          </w:rPr>
          <m:t>)</m:t>
        </m:r>
      </m:oMath>
      <w:r>
        <w:rPr>
          <w:rFonts w:ascii="宋体" w:hAnsi="宋体" w:hint="eastAsia"/>
          <w:iCs/>
        </w:rPr>
        <w:t>；</w:t>
      </w:r>
    </w:p>
    <w:p w14:paraId="7ABE2534" w14:textId="77777777" w:rsidR="00897705" w:rsidRDefault="00000000">
      <w:pPr>
        <w:rPr>
          <w:rFonts w:ascii="宋体" w:hAnsi="宋体"/>
        </w:rPr>
      </w:pPr>
      <w:r>
        <w:rPr>
          <w:rFonts w:ascii="宋体" w:hAnsi="宋体"/>
        </w:rPr>
        <w:t>特征（4）</w:t>
      </w:r>
      <w:r>
        <w:rPr>
          <w:rFonts w:ascii="宋体" w:hAnsi="宋体" w:hint="eastAsia"/>
        </w:rPr>
        <w:t>：</w:t>
      </w:r>
      <w:r>
        <w:rPr>
          <w:rFonts w:ascii="宋体" w:hAnsi="宋体"/>
        </w:rPr>
        <w:t>若</w:t>
      </w:r>
      <m:oMath>
        <m:r>
          <m:rPr>
            <m:sty m:val="p"/>
          </m:rPr>
          <w:rPr>
            <w:rFonts w:ascii="Cambria Math" w:hAnsi="Cambria Math"/>
          </w:rPr>
          <m:t>(x,y,b)</m:t>
        </m:r>
        <m:r>
          <m:rPr>
            <m:sty m:val="p"/>
          </m:rPr>
          <w:rPr>
            <w:rFonts w:ascii="Cambria Math" w:hAnsi="Cambria Math" w:cs="宋体" w:hint="eastAsia"/>
          </w:rPr>
          <m:t>∈</m:t>
        </m:r>
        <m:r>
          <m:rPr>
            <m:sty m:val="p"/>
          </m:rPr>
          <w:rPr>
            <w:rFonts w:ascii="Cambria Math" w:hAnsi="Cambria Math"/>
          </w:rPr>
          <m:t>P(x)</m:t>
        </m:r>
      </m:oMath>
      <w:r>
        <w:rPr>
          <w:rFonts w:ascii="宋体" w:hAnsi="宋体"/>
        </w:rPr>
        <w:t>且</w:t>
      </w:r>
      <m:oMath>
        <m:r>
          <w:rPr>
            <w:rFonts w:ascii="Cambria Math" w:hAnsi="Cambria Math"/>
          </w:rPr>
          <m:t>0≤θ≤1</m:t>
        </m:r>
      </m:oMath>
      <w:r>
        <w:rPr>
          <w:rFonts w:ascii="宋体" w:hAnsi="宋体"/>
        </w:rPr>
        <w:t>，则</w:t>
      </w:r>
      <m:oMath>
        <m:acc>
          <m:accPr>
            <m:chr m:val="⃑"/>
            <m:ctrlPr>
              <w:rPr>
                <w:rFonts w:ascii="Cambria Math" w:hAnsi="Cambria Math"/>
                <w:i/>
                <w:iCs/>
              </w:rPr>
            </m:ctrlPr>
          </m:accPr>
          <m:e>
            <m:r>
              <w:rPr>
                <w:rFonts w:ascii="Cambria Math" w:hAnsi="Cambria Math"/>
              </w:rPr>
              <m:t>D</m:t>
            </m:r>
          </m:e>
        </m:acc>
        <m:r>
          <w:rPr>
            <w:rFonts w:ascii="Cambria Math" w:hAnsi="Cambria Math" w:hint="eastAsia"/>
          </w:rPr>
          <m:t>(</m:t>
        </m:r>
        <m:r>
          <w:rPr>
            <w:rFonts w:ascii="Cambria Math" w:hAnsi="Cambria Math"/>
          </w:rPr>
          <m:t>x,</m:t>
        </m:r>
        <m:r>
          <w:rPr>
            <w:rFonts w:ascii="Cambria Math" w:hAnsi="Cambria Math" w:hint="eastAsia"/>
          </w:rPr>
          <m:t>θ</m:t>
        </m:r>
        <m:r>
          <w:rPr>
            <w:rFonts w:ascii="Cambria Math" w:hAnsi="Cambria Math"/>
          </w:rPr>
          <m:t>y,</m:t>
        </m:r>
        <m:r>
          <w:rPr>
            <w:rFonts w:ascii="Cambria Math" w:hAnsi="Cambria Math" w:hint="eastAsia"/>
          </w:rPr>
          <m:t>θ</m:t>
        </m:r>
        <m:r>
          <w:rPr>
            <w:rFonts w:ascii="Cambria Math" w:hAnsi="Cambria Math"/>
          </w:rPr>
          <m:t>b;</m:t>
        </m:r>
        <m:sSub>
          <m:sSubPr>
            <m:ctrlPr>
              <w:rPr>
                <w:rFonts w:ascii="Cambria Math" w:hAnsi="Cambria Math"/>
                <w:i/>
                <w:iCs/>
              </w:rPr>
            </m:ctrlPr>
          </m:sSubPr>
          <m:e>
            <m:r>
              <w:rPr>
                <w:rFonts w:ascii="Cambria Math" w:hAnsi="Cambria Math"/>
              </w:rPr>
              <m:t>g</m:t>
            </m:r>
          </m:e>
          <m:sub>
            <m:r>
              <w:rPr>
                <w:rFonts w:ascii="Cambria Math" w:hAnsi="Cambria Math"/>
              </w:rPr>
              <m:t>y</m:t>
            </m:r>
          </m:sub>
        </m:sSub>
        <m:r>
          <w:rPr>
            <w:rFonts w:ascii="Cambria Math" w:hAnsi="Cambria Math"/>
          </w:rPr>
          <m:t>,-</m:t>
        </m:r>
        <m:sSub>
          <m:sSubPr>
            <m:ctrlPr>
              <w:rPr>
                <w:rFonts w:ascii="Cambria Math" w:hAnsi="Cambria Math"/>
                <w:i/>
                <w:iCs/>
              </w:rPr>
            </m:ctrlPr>
          </m:sSubPr>
          <m:e>
            <m:r>
              <w:rPr>
                <w:rFonts w:ascii="Cambria Math" w:hAnsi="Cambria Math"/>
              </w:rPr>
              <m:t>g</m:t>
            </m:r>
          </m:e>
          <m:sub>
            <m:r>
              <w:rPr>
                <w:rFonts w:ascii="Cambria Math" w:hAnsi="Cambria Math"/>
              </w:rPr>
              <m:t>b</m:t>
            </m:r>
          </m:sub>
        </m:sSub>
        <m:r>
          <w:rPr>
            <w:rFonts w:ascii="Cambria Math" w:hAnsi="Cambria Math"/>
          </w:rPr>
          <m:t>)≥0</m:t>
        </m:r>
      </m:oMath>
      <w:r>
        <w:rPr>
          <w:rFonts w:ascii="宋体" w:hAnsi="宋体"/>
        </w:rPr>
        <w:t>。</w:t>
      </w:r>
    </w:p>
    <w:p w14:paraId="6BA63F03" w14:textId="77777777" w:rsidR="00897705" w:rsidRDefault="00000000">
      <w:pPr>
        <w:spacing w:before="240"/>
        <w:ind w:firstLineChars="200" w:firstLine="480"/>
        <w:rPr>
          <w:rFonts w:ascii="宋体" w:hAnsi="宋体"/>
        </w:rPr>
      </w:pPr>
      <w:r>
        <w:rPr>
          <w:rFonts w:ascii="宋体" w:hAnsi="宋体" w:hint="eastAsia"/>
        </w:rPr>
        <w:t>特征（1）说明了方向距离函数的非负性。特征（2）表示在方向距离函数中期望产出具有单调非增的特性。特征（3）认为在保持投入与期望产出不变的情况下，若增加非期望产出，则无效率值不会减少。特征（4）则说明了期望产出和非期望产出满足弱可处置性的假设。</w:t>
      </w:r>
      <w:r>
        <w:rPr>
          <w:rFonts w:ascii="宋体" w:hAnsi="宋体"/>
        </w:rPr>
        <w:t>除此之外，方向距离函数也满足转换性的特性，即</w:t>
      </w:r>
    </w:p>
    <w:p w14:paraId="63CC517F" w14:textId="77777777" w:rsidR="00897705" w:rsidRDefault="00000000">
      <w:pPr>
        <w:spacing w:before="240"/>
        <w:ind w:firstLineChars="200" w:firstLine="420"/>
        <w:jc w:val="center"/>
        <w:rPr>
          <w:rFonts w:ascii="宋体" w:hAnsi="宋体"/>
        </w:rPr>
      </w:pPr>
      <m:oMathPara>
        <m:oMath>
          <m:acc>
            <m:accPr>
              <m:chr m:val="⃑"/>
              <m:ctrlPr>
                <w:rPr>
                  <w:rFonts w:ascii="Cambria Math" w:hAnsi="Cambria Math"/>
                  <w:sz w:val="21"/>
                </w:rPr>
              </m:ctrlPr>
            </m:accPr>
            <m:e>
              <m:r>
                <w:rPr>
                  <w:rFonts w:ascii="Cambria Math" w:hAnsi="Cambria Math"/>
                  <w:sz w:val="21"/>
                </w:rPr>
                <m:t>D</m:t>
              </m:r>
            </m:e>
          </m:acc>
          <m:d>
            <m:dPr>
              <m:ctrlPr>
                <w:rPr>
                  <w:rFonts w:ascii="Cambria Math" w:hAnsi="Cambria Math"/>
                  <w:sz w:val="21"/>
                </w:rPr>
              </m:ctrlPr>
            </m:dPr>
            <m:e>
              <m:r>
                <w:rPr>
                  <w:rFonts w:ascii="Cambria Math" w:hAnsi="Cambria Math"/>
                  <w:sz w:val="21"/>
                </w:rPr>
                <m:t>x</m:t>
              </m:r>
              <m:r>
                <m:rPr>
                  <m:sty m:val="p"/>
                </m:rPr>
                <w:rPr>
                  <w:rFonts w:ascii="Cambria Math" w:hAnsi="Cambria Math"/>
                  <w:sz w:val="21"/>
                </w:rPr>
                <m:t>,</m:t>
              </m:r>
              <m:r>
                <w:rPr>
                  <w:rFonts w:ascii="Cambria Math" w:hAnsi="Cambria Math" w:hint="eastAsia"/>
                  <w:sz w:val="21"/>
                </w:rPr>
                <m:t>y</m:t>
              </m:r>
              <m:r>
                <m:rPr>
                  <m:sty m:val="p"/>
                </m:rPr>
                <w:rPr>
                  <w:rFonts w:ascii="Cambria Math" w:hAnsi="Cambria Math"/>
                  <w:sz w:val="21"/>
                </w:rPr>
                <m:t>+</m:t>
              </m:r>
              <m:r>
                <w:rPr>
                  <w:rFonts w:ascii="Cambria Math" w:hAnsi="Cambria Math"/>
                  <w:sz w:val="21"/>
                </w:rPr>
                <m:t>a</m:t>
              </m:r>
              <m:sSub>
                <m:sSubPr>
                  <m:ctrlPr>
                    <w:rPr>
                      <w:rFonts w:ascii="Cambria Math" w:hAnsi="Cambria Math"/>
                      <w:sz w:val="21"/>
                    </w:rPr>
                  </m:ctrlPr>
                </m:sSubPr>
                <m:e>
                  <m:r>
                    <w:rPr>
                      <w:rFonts w:ascii="Cambria Math" w:hAnsi="Cambria Math"/>
                      <w:sz w:val="21"/>
                    </w:rPr>
                    <m:t>g</m:t>
                  </m:r>
                </m:e>
                <m:sub>
                  <m:r>
                    <w:rPr>
                      <w:rFonts w:ascii="Cambria Math" w:hAnsi="Cambria Math"/>
                      <w:sz w:val="21"/>
                    </w:rPr>
                    <m:t>y</m:t>
                  </m:r>
                </m:sub>
              </m:sSub>
              <m:r>
                <m:rPr>
                  <m:sty m:val="p"/>
                </m:rPr>
                <w:rPr>
                  <w:rFonts w:ascii="Cambria Math" w:hAnsi="Cambria Math"/>
                  <w:sz w:val="21"/>
                </w:rPr>
                <m:t>,</m:t>
              </m:r>
              <m:r>
                <w:rPr>
                  <w:rFonts w:ascii="Cambria Math" w:hAnsi="Cambria Math"/>
                  <w:sz w:val="21"/>
                </w:rPr>
                <m:t>b</m:t>
              </m:r>
              <m:r>
                <m:rPr>
                  <m:sty m:val="p"/>
                </m:rPr>
                <w:rPr>
                  <w:rFonts w:ascii="Cambria Math" w:hAnsi="Cambria Math"/>
                  <w:sz w:val="21"/>
                </w:rPr>
                <m:t>-</m:t>
              </m:r>
              <m:r>
                <w:rPr>
                  <w:rFonts w:ascii="Cambria Math" w:hAnsi="Cambria Math"/>
                  <w:sz w:val="21"/>
                </w:rPr>
                <m:t>a</m:t>
              </m:r>
              <m:sSub>
                <m:sSubPr>
                  <m:ctrlPr>
                    <w:rPr>
                      <w:rFonts w:ascii="Cambria Math" w:hAnsi="Cambria Math"/>
                      <w:sz w:val="21"/>
                    </w:rPr>
                  </m:ctrlPr>
                </m:sSubPr>
                <m:e>
                  <m:r>
                    <w:rPr>
                      <w:rFonts w:ascii="Cambria Math" w:hAnsi="Cambria Math"/>
                      <w:sz w:val="21"/>
                    </w:rPr>
                    <m:t>g</m:t>
                  </m:r>
                </m:e>
                <m:sub>
                  <m:r>
                    <w:rPr>
                      <w:rFonts w:ascii="Cambria Math" w:hAnsi="Cambria Math"/>
                      <w:sz w:val="21"/>
                    </w:rPr>
                    <m:t>b</m:t>
                  </m:r>
                </m:sub>
              </m:sSub>
              <m:r>
                <m:rPr>
                  <m:sty m:val="p"/>
                </m:rPr>
                <w:rPr>
                  <w:rFonts w:ascii="Cambria Math" w:hAnsi="Cambria Math"/>
                  <w:sz w:val="21"/>
                </w:rPr>
                <m:t>;</m:t>
              </m:r>
              <m:sSub>
                <m:sSubPr>
                  <m:ctrlPr>
                    <w:rPr>
                      <w:rFonts w:ascii="Cambria Math" w:hAnsi="Cambria Math"/>
                      <w:sz w:val="21"/>
                    </w:rPr>
                  </m:ctrlPr>
                </m:sSubPr>
                <m:e>
                  <m:r>
                    <w:rPr>
                      <w:rFonts w:ascii="Cambria Math" w:hAnsi="Cambria Math"/>
                      <w:sz w:val="21"/>
                    </w:rPr>
                    <m:t>g</m:t>
                  </m:r>
                </m:e>
                <m:sub>
                  <m:r>
                    <w:rPr>
                      <w:rFonts w:ascii="Cambria Math" w:hAnsi="Cambria Math"/>
                      <w:sz w:val="21"/>
                    </w:rPr>
                    <m:t>y</m:t>
                  </m:r>
                </m:sub>
              </m:sSub>
              <m:r>
                <m:rPr>
                  <m:sty m:val="p"/>
                </m:rPr>
                <w:rPr>
                  <w:rFonts w:ascii="Cambria Math" w:hAnsi="Cambria Math"/>
                  <w:sz w:val="21"/>
                </w:rPr>
                <m:t>,-</m:t>
              </m:r>
              <m:sSub>
                <m:sSubPr>
                  <m:ctrlPr>
                    <w:rPr>
                      <w:rFonts w:ascii="Cambria Math" w:hAnsi="Cambria Math"/>
                      <w:sz w:val="21"/>
                    </w:rPr>
                  </m:ctrlPr>
                </m:sSubPr>
                <m:e>
                  <m:r>
                    <w:rPr>
                      <w:rFonts w:ascii="Cambria Math" w:hAnsi="Cambria Math"/>
                      <w:sz w:val="21"/>
                    </w:rPr>
                    <m:t>g</m:t>
                  </m:r>
                </m:e>
                <m:sub>
                  <m:r>
                    <w:rPr>
                      <w:rFonts w:ascii="Cambria Math" w:hAnsi="Cambria Math"/>
                      <w:sz w:val="21"/>
                    </w:rPr>
                    <m:t>b</m:t>
                  </m:r>
                </m:sub>
              </m:sSub>
            </m:e>
          </m:d>
          <m:r>
            <m:rPr>
              <m:sty m:val="p"/>
            </m:rPr>
            <w:rPr>
              <w:rFonts w:ascii="Cambria Math" w:hAnsi="Cambria Math"/>
              <w:sz w:val="21"/>
            </w:rPr>
            <m:t>=</m:t>
          </m:r>
          <m:acc>
            <m:accPr>
              <m:chr m:val="⃑"/>
              <m:ctrlPr>
                <w:rPr>
                  <w:rFonts w:ascii="Cambria Math" w:hAnsi="Cambria Math"/>
                  <w:sz w:val="21"/>
                </w:rPr>
              </m:ctrlPr>
            </m:accPr>
            <m:e>
              <m:r>
                <w:rPr>
                  <w:rFonts w:ascii="Cambria Math" w:hAnsi="Cambria Math"/>
                  <w:sz w:val="21"/>
                </w:rPr>
                <m:t>D</m:t>
              </m:r>
            </m:e>
          </m:acc>
          <m:d>
            <m:dPr>
              <m:ctrlPr>
                <w:rPr>
                  <w:rFonts w:ascii="Cambria Math" w:hAnsi="Cambria Math"/>
                  <w:sz w:val="21"/>
                </w:rPr>
              </m:ctrlPr>
            </m:dPr>
            <m:e>
              <m:r>
                <w:rPr>
                  <w:rFonts w:ascii="Cambria Math" w:hAnsi="Cambria Math"/>
                  <w:sz w:val="21"/>
                </w:rPr>
                <m:t>x</m:t>
              </m:r>
              <m:r>
                <m:rPr>
                  <m:sty m:val="p"/>
                </m:rPr>
                <w:rPr>
                  <w:rFonts w:ascii="Cambria Math" w:hAnsi="Cambria Math"/>
                  <w:sz w:val="21"/>
                </w:rPr>
                <m:t>,</m:t>
              </m:r>
              <m:r>
                <w:rPr>
                  <w:rFonts w:ascii="Cambria Math" w:hAnsi="Cambria Math"/>
                  <w:sz w:val="21"/>
                </w:rPr>
                <m:t>y</m:t>
              </m:r>
              <m:r>
                <m:rPr>
                  <m:sty m:val="p"/>
                </m:rPr>
                <w:rPr>
                  <w:rFonts w:ascii="Cambria Math" w:hAnsi="Cambria Math"/>
                  <w:sz w:val="21"/>
                </w:rPr>
                <m:t>,</m:t>
              </m:r>
              <m:r>
                <w:rPr>
                  <w:rFonts w:ascii="Cambria Math" w:hAnsi="Cambria Math"/>
                  <w:sz w:val="21"/>
                </w:rPr>
                <m:t>b</m:t>
              </m:r>
              <m:r>
                <m:rPr>
                  <m:sty m:val="p"/>
                </m:rPr>
                <w:rPr>
                  <w:rFonts w:ascii="Cambria Math" w:hAnsi="Cambria Math"/>
                  <w:sz w:val="21"/>
                </w:rPr>
                <m:t>;</m:t>
              </m:r>
              <m:sSub>
                <m:sSubPr>
                  <m:ctrlPr>
                    <w:rPr>
                      <w:rFonts w:ascii="Cambria Math" w:hAnsi="Cambria Math"/>
                      <w:sz w:val="21"/>
                    </w:rPr>
                  </m:ctrlPr>
                </m:sSubPr>
                <m:e>
                  <m:r>
                    <w:rPr>
                      <w:rFonts w:ascii="Cambria Math" w:hAnsi="Cambria Math"/>
                      <w:sz w:val="21"/>
                    </w:rPr>
                    <m:t>g</m:t>
                  </m:r>
                </m:e>
                <m:sub>
                  <m:r>
                    <w:rPr>
                      <w:rFonts w:ascii="Cambria Math" w:hAnsi="Cambria Math"/>
                      <w:sz w:val="21"/>
                    </w:rPr>
                    <m:t>y</m:t>
                  </m:r>
                </m:sub>
              </m:sSub>
              <m:r>
                <m:rPr>
                  <m:sty m:val="p"/>
                </m:rPr>
                <w:rPr>
                  <w:rFonts w:ascii="Cambria Math" w:hAnsi="Cambria Math"/>
                  <w:sz w:val="21"/>
                </w:rPr>
                <m:t>,-</m:t>
              </m:r>
              <m:sSub>
                <m:sSubPr>
                  <m:ctrlPr>
                    <w:rPr>
                      <w:rFonts w:ascii="Cambria Math" w:hAnsi="Cambria Math"/>
                      <w:sz w:val="21"/>
                    </w:rPr>
                  </m:ctrlPr>
                </m:sSubPr>
                <m:e>
                  <m:r>
                    <w:rPr>
                      <w:rFonts w:ascii="Cambria Math" w:hAnsi="Cambria Math"/>
                      <w:sz w:val="21"/>
                    </w:rPr>
                    <m:t>g</m:t>
                  </m:r>
                </m:e>
                <m:sub>
                  <m:r>
                    <w:rPr>
                      <w:rFonts w:ascii="Cambria Math" w:hAnsi="Cambria Math"/>
                      <w:sz w:val="21"/>
                    </w:rPr>
                    <m:t>b</m:t>
                  </m:r>
                </m:sub>
              </m:sSub>
            </m:e>
          </m:d>
          <m:r>
            <m:rPr>
              <m:sty m:val="p"/>
            </m:rPr>
            <w:rPr>
              <w:rFonts w:ascii="Cambria Math" w:hAnsi="Cambria Math"/>
              <w:sz w:val="21"/>
            </w:rPr>
            <m:t>-</m:t>
          </m:r>
          <m:r>
            <w:rPr>
              <w:rFonts w:ascii="Cambria Math" w:hAnsi="Cambria Math"/>
              <w:sz w:val="21"/>
            </w:rPr>
            <m:t>a</m:t>
          </m:r>
          <m:r>
            <m:rPr>
              <m:sty m:val="p"/>
            </m:rPr>
            <w:rPr>
              <w:rFonts w:ascii="Cambria Math" w:hAnsi="Cambria Math"/>
              <w:sz w:val="21"/>
            </w:rPr>
            <m:t xml:space="preserve">   (3)</m:t>
          </m:r>
        </m:oMath>
      </m:oMathPara>
    </w:p>
    <w:p w14:paraId="305F5545" w14:textId="77777777" w:rsidR="00897705" w:rsidRDefault="00000000">
      <w:pPr>
        <w:spacing w:before="240"/>
        <w:ind w:firstLineChars="200" w:firstLine="480"/>
        <w:rPr>
          <w:rFonts w:ascii="宋体" w:hAnsi="宋体"/>
        </w:rPr>
      </w:pPr>
      <w:r>
        <w:rPr>
          <w:rFonts w:ascii="宋体" w:hAnsi="宋体"/>
        </w:rPr>
        <w:t>其中，</w:t>
      </w:r>
      <m:oMath>
        <m:r>
          <w:rPr>
            <w:rFonts w:ascii="Cambria Math" w:hAnsi="Cambria Math"/>
          </w:rPr>
          <m:t xml:space="preserve">a </m:t>
        </m:r>
      </m:oMath>
      <w:r>
        <w:rPr>
          <w:rFonts w:ascii="宋体" w:hAnsi="宋体"/>
        </w:rPr>
        <w:t>是一个标量。公式(3)含义为，若期望产出和非期望产出同时分别增加</w:t>
      </w:r>
      <m:oMath>
        <m:r>
          <w:rPr>
            <w:rFonts w:ascii="Cambria Math" w:hAnsi="Cambria Math"/>
          </w:rPr>
          <m:t>a</m:t>
        </m:r>
        <m:sSub>
          <m:sSubPr>
            <m:ctrlPr>
              <w:rPr>
                <w:rFonts w:ascii="Cambria Math" w:hAnsi="Cambria Math"/>
                <w:i/>
              </w:rPr>
            </m:ctrlPr>
          </m:sSubPr>
          <m:e>
            <m:r>
              <w:rPr>
                <w:rFonts w:ascii="Cambria Math" w:hAnsi="Cambria Math"/>
              </w:rPr>
              <m:t>g</m:t>
            </m:r>
          </m:e>
          <m:sub>
            <m:r>
              <w:rPr>
                <w:rFonts w:ascii="Cambria Math" w:hAnsi="Cambria Math"/>
              </w:rPr>
              <m:t>y</m:t>
            </m:r>
          </m:sub>
        </m:sSub>
        <m:r>
          <w:rPr>
            <w:rFonts w:ascii="Cambria Math" w:hAnsi="Cambria Math"/>
          </w:rPr>
          <m:t xml:space="preserve"> </m:t>
        </m:r>
      </m:oMath>
      <w:r>
        <w:rPr>
          <w:rFonts w:ascii="宋体" w:hAnsi="宋体"/>
        </w:rPr>
        <w:t>和减少</w:t>
      </w:r>
      <m:oMath>
        <m:r>
          <w:rPr>
            <w:rFonts w:ascii="Cambria Math" w:hAnsi="Cambria Math"/>
          </w:rPr>
          <m:t>a</m:t>
        </m:r>
        <m:sSub>
          <m:sSubPr>
            <m:ctrlPr>
              <w:rPr>
                <w:rFonts w:ascii="Cambria Math" w:hAnsi="Cambria Math"/>
                <w:i/>
              </w:rPr>
            </m:ctrlPr>
          </m:sSubPr>
          <m:e>
            <m:r>
              <w:rPr>
                <w:rFonts w:ascii="Cambria Math" w:hAnsi="Cambria Math"/>
              </w:rPr>
              <m:t>g</m:t>
            </m:r>
          </m:e>
          <m:sub>
            <m:r>
              <w:rPr>
                <w:rFonts w:ascii="Cambria Math" w:hAnsi="Cambria Math"/>
              </w:rPr>
              <m:t>b</m:t>
            </m:r>
          </m:sub>
        </m:sSub>
      </m:oMath>
      <w:r>
        <w:rPr>
          <w:rFonts w:ascii="宋体" w:hAnsi="宋体"/>
        </w:rPr>
        <w:t>，</w:t>
      </w:r>
      <w:proofErr w:type="gramStart"/>
      <w:r>
        <w:rPr>
          <w:rFonts w:ascii="宋体" w:hAnsi="宋体"/>
        </w:rPr>
        <w:t>则方向</w:t>
      </w:r>
      <w:proofErr w:type="gramEnd"/>
      <w:r>
        <w:rPr>
          <w:rFonts w:ascii="宋体" w:hAnsi="宋体"/>
        </w:rPr>
        <w:t>距离函数的数值则会减少</w:t>
      </w:r>
      <m:oMath>
        <m:r>
          <w:rPr>
            <w:rFonts w:ascii="Cambria Math" w:hAnsi="Cambria Math"/>
          </w:rPr>
          <m:t>a</m:t>
        </m:r>
      </m:oMath>
      <w:r>
        <w:rPr>
          <w:rFonts w:ascii="宋体" w:hAnsi="宋体"/>
        </w:rPr>
        <w:t>。</w:t>
      </w:r>
    </w:p>
    <w:p w14:paraId="545713A1" w14:textId="77777777" w:rsidR="00897705" w:rsidRDefault="00000000">
      <w:pPr>
        <w:pStyle w:val="2"/>
        <w:numPr>
          <w:ilvl w:val="0"/>
          <w:numId w:val="5"/>
        </w:numPr>
        <w:spacing w:before="156" w:after="156"/>
        <w:ind w:firstLine="420"/>
      </w:pPr>
      <w:bookmarkStart w:id="5" w:name="_Toc154908715"/>
      <w:r>
        <w:t>随机前沿分析</w:t>
      </w:r>
      <w:bookmarkEnd w:id="5"/>
    </w:p>
    <w:p w14:paraId="2B98DFFB" w14:textId="77777777" w:rsidR="00897705" w:rsidRDefault="00000000">
      <w:pPr>
        <w:autoSpaceDE w:val="0"/>
        <w:autoSpaceDN w:val="0"/>
        <w:ind w:right="98" w:firstLine="420"/>
        <w:rPr>
          <w:rFonts w:ascii="宋体" w:hAnsi="宋体" w:cs="宋体"/>
          <w:color w:val="231F20"/>
          <w:w w:val="105"/>
          <w:kern w:val="0"/>
        </w:rPr>
      </w:pPr>
      <w:r>
        <w:rPr>
          <w:rFonts w:ascii="宋体" w:hAnsi="宋体" w:cs="宋体"/>
          <w:color w:val="231F20"/>
          <w:kern w:val="0"/>
        </w:rPr>
        <w:t>随机前沿分析由Aigner等最早提出，通过给定的函数形式利用计量模型估计效率与影子价格。</w:t>
      </w:r>
      <w:r>
        <w:rPr>
          <w:rFonts w:ascii="宋体" w:hAnsi="宋体" w:cs="宋体"/>
          <w:color w:val="231F20"/>
          <w:w w:val="105"/>
          <w:kern w:val="0"/>
        </w:rPr>
        <w:t>随机前沿分析的一般表达形式为：</w:t>
      </w:r>
    </w:p>
    <w:p w14:paraId="63A8EDD7" w14:textId="77777777" w:rsidR="00A406CB" w:rsidRDefault="00000000" w:rsidP="00A406CB">
      <w:pPr>
        <w:autoSpaceDE w:val="0"/>
        <w:autoSpaceDN w:val="0"/>
        <w:ind w:right="98" w:firstLine="420"/>
        <w:rPr>
          <w:rFonts w:ascii="宋体" w:hAnsi="宋体" w:cs="宋体"/>
          <w:kern w:val="0"/>
        </w:rPr>
      </w:pPr>
      <m:oMathPara>
        <m:oMath>
          <m:r>
            <w:rPr>
              <w:rFonts w:ascii="Cambria Math" w:hAnsi="Cambria Math" w:cs="宋体"/>
              <w:kern w:val="0"/>
            </w:rPr>
            <m:t>y=</m:t>
          </m:r>
          <m:r>
            <w:rPr>
              <w:rFonts w:ascii="Cambria Math" w:hAnsi="Cambria Math" w:cs="宋体" w:hint="eastAsia"/>
              <w:kern w:val="0"/>
            </w:rPr>
            <m:t>βx</m:t>
          </m:r>
          <m:r>
            <w:rPr>
              <w:rFonts w:ascii="Cambria Math" w:hAnsi="Cambria Math" w:cs="宋体"/>
              <w:kern w:val="0"/>
            </w:rPr>
            <m:t>+v-u  (4)</m:t>
          </m:r>
        </m:oMath>
      </m:oMathPara>
    </w:p>
    <w:p w14:paraId="6FF109CB" w14:textId="4482A962" w:rsidR="00897705" w:rsidRDefault="00000000" w:rsidP="00A406CB">
      <w:pPr>
        <w:autoSpaceDE w:val="0"/>
        <w:autoSpaceDN w:val="0"/>
        <w:ind w:right="98" w:firstLine="420"/>
        <w:rPr>
          <w:rFonts w:ascii="宋体" w:hAnsi="宋体" w:cs="宋体"/>
          <w:kern w:val="0"/>
        </w:rPr>
      </w:pPr>
      <w:r>
        <w:rPr>
          <w:rFonts w:ascii="宋体" w:hAnsi="宋体" w:cs="宋体"/>
          <w:color w:val="231F20"/>
          <w:spacing w:val="-28"/>
          <w:w w:val="105"/>
          <w:kern w:val="0"/>
        </w:rPr>
        <w:t xml:space="preserve">其中 </w:t>
      </w:r>
      <m:oMath>
        <m:r>
          <w:rPr>
            <w:rFonts w:ascii="Cambria Math" w:hAnsi="Cambria Math" w:cs="宋体"/>
            <w:color w:val="231F20"/>
            <w:w w:val="105"/>
            <w:kern w:val="0"/>
          </w:rPr>
          <m:t>x</m:t>
        </m:r>
      </m:oMath>
      <w:r>
        <w:rPr>
          <w:rFonts w:ascii="宋体" w:hAnsi="宋体" w:cs="宋体"/>
          <w:i/>
          <w:color w:val="231F20"/>
          <w:spacing w:val="-39"/>
          <w:w w:val="105"/>
          <w:kern w:val="0"/>
        </w:rPr>
        <w:t xml:space="preserve"> </w:t>
      </w:r>
      <w:r>
        <w:rPr>
          <w:rFonts w:ascii="宋体" w:hAnsi="宋体" w:cs="宋体"/>
          <w:color w:val="231F20"/>
          <w:spacing w:val="-45"/>
          <w:w w:val="105"/>
          <w:kern w:val="0"/>
        </w:rPr>
        <w:t xml:space="preserve">和 </w:t>
      </w:r>
      <m:oMath>
        <m:r>
          <w:rPr>
            <w:rFonts w:ascii="Cambria Math" w:hAnsi="Cambria Math" w:cs="宋体"/>
            <w:color w:val="231F20"/>
            <w:w w:val="105"/>
            <w:kern w:val="0"/>
          </w:rPr>
          <m:t>y</m:t>
        </m:r>
      </m:oMath>
      <w:r>
        <w:rPr>
          <w:rFonts w:ascii="宋体" w:hAnsi="宋体" w:cs="宋体"/>
          <w:i/>
          <w:color w:val="231F20"/>
          <w:spacing w:val="-39"/>
          <w:w w:val="105"/>
          <w:kern w:val="0"/>
        </w:rPr>
        <w:t xml:space="preserve"> </w:t>
      </w:r>
      <w:r>
        <w:rPr>
          <w:rFonts w:ascii="宋体" w:hAnsi="宋体" w:cs="宋体"/>
          <w:color w:val="231F20"/>
          <w:spacing w:val="7"/>
          <w:w w:val="105"/>
          <w:kern w:val="0"/>
        </w:rPr>
        <w:t>分别为投入和产出，</w:t>
      </w:r>
      <m:oMath>
        <m:r>
          <w:rPr>
            <w:rFonts w:ascii="Cambria Math" w:hAnsi="Cambria Math" w:cs="宋体"/>
            <w:color w:val="231F20"/>
            <w:spacing w:val="4"/>
            <w:w w:val="105"/>
            <w:kern w:val="0"/>
          </w:rPr>
          <m:t>v</m:t>
        </m:r>
      </m:oMath>
      <w:r>
        <w:rPr>
          <w:rFonts w:ascii="宋体" w:hAnsi="宋体" w:cs="宋体"/>
          <w:i/>
          <w:color w:val="231F20"/>
          <w:spacing w:val="-39"/>
          <w:w w:val="105"/>
          <w:kern w:val="0"/>
        </w:rPr>
        <w:t xml:space="preserve"> </w:t>
      </w:r>
      <w:r>
        <w:rPr>
          <w:rFonts w:ascii="宋体" w:hAnsi="宋体" w:cs="宋体"/>
          <w:color w:val="231F20"/>
          <w:spacing w:val="7"/>
          <w:w w:val="105"/>
          <w:kern w:val="0"/>
        </w:rPr>
        <w:t>为随机误差项，</w:t>
      </w:r>
      <m:oMath>
        <m:r>
          <w:rPr>
            <w:rFonts w:ascii="Cambria Math" w:hAnsi="Cambria Math" w:cs="宋体"/>
            <w:color w:val="231F20"/>
            <w:spacing w:val="4"/>
            <w:w w:val="105"/>
            <w:kern w:val="0"/>
          </w:rPr>
          <m:t>u</m:t>
        </m:r>
      </m:oMath>
      <w:r>
        <w:rPr>
          <w:rFonts w:ascii="宋体" w:hAnsi="宋体" w:cs="宋体"/>
          <w:color w:val="231F20"/>
          <w:spacing w:val="1"/>
          <w:w w:val="105"/>
          <w:kern w:val="0"/>
        </w:rPr>
        <w:t>是无效率值。随机前沿分析的本质就是将</w:t>
      </w:r>
      <m:oMath>
        <m:r>
          <w:rPr>
            <w:rFonts w:ascii="Cambria Math" w:hAnsi="Cambria Math" w:cs="宋体"/>
            <w:color w:val="231F20"/>
            <w:w w:val="105"/>
            <w:kern w:val="0"/>
          </w:rPr>
          <m:t>v</m:t>
        </m:r>
      </m:oMath>
      <w:r>
        <w:rPr>
          <w:rFonts w:ascii="宋体" w:hAnsi="宋体" w:cs="宋体"/>
          <w:i/>
          <w:color w:val="231F20"/>
          <w:spacing w:val="-39"/>
          <w:w w:val="105"/>
          <w:kern w:val="0"/>
        </w:rPr>
        <w:t xml:space="preserve"> </w:t>
      </w:r>
      <w:r>
        <w:rPr>
          <w:rFonts w:ascii="宋体" w:hAnsi="宋体" w:cs="宋体"/>
          <w:color w:val="231F20"/>
          <w:spacing w:val="5"/>
          <w:w w:val="105"/>
          <w:kern w:val="0"/>
        </w:rPr>
        <w:t>纳入至</w:t>
      </w:r>
      <w:r>
        <w:rPr>
          <w:rFonts w:ascii="宋体" w:hAnsi="宋体" w:cs="宋体"/>
          <w:color w:val="231F20"/>
          <w:spacing w:val="6"/>
          <w:w w:val="105"/>
          <w:kern w:val="0"/>
        </w:rPr>
        <w:t>回归方程中以区分</w:t>
      </w:r>
      <m:oMath>
        <m:r>
          <w:rPr>
            <w:rFonts w:ascii="Cambria Math" w:hAnsi="Cambria Math" w:cs="宋体"/>
            <w:color w:val="231F20"/>
            <w:w w:val="105"/>
            <w:kern w:val="0"/>
          </w:rPr>
          <m:t>u</m:t>
        </m:r>
      </m:oMath>
      <w:r>
        <w:rPr>
          <w:rFonts w:ascii="宋体" w:hAnsi="宋体" w:cs="宋体"/>
          <w:color w:val="231F20"/>
          <w:spacing w:val="4"/>
          <w:w w:val="105"/>
          <w:kern w:val="0"/>
        </w:rPr>
        <w:t>。但在一般情况下，认为观测值在生产前沿上时，无效率值为</w:t>
      </w:r>
      <w:r>
        <w:rPr>
          <w:rFonts w:ascii="宋体" w:hAnsi="宋体" w:cs="宋体"/>
          <w:color w:val="231F20"/>
          <w:w w:val="105"/>
          <w:kern w:val="0"/>
        </w:rPr>
        <w:t>0。</w:t>
      </w:r>
    </w:p>
    <w:p w14:paraId="0D119E98" w14:textId="77777777" w:rsidR="00897705" w:rsidRDefault="00000000">
      <w:pPr>
        <w:autoSpaceDE w:val="0"/>
        <w:autoSpaceDN w:val="0"/>
        <w:ind w:right="204" w:firstLine="420"/>
        <w:rPr>
          <w:rFonts w:ascii="宋体" w:hAnsi="宋体" w:cs="宋体"/>
          <w:color w:val="231F20"/>
          <w:spacing w:val="1"/>
          <w:w w:val="105"/>
          <w:kern w:val="0"/>
        </w:rPr>
      </w:pPr>
      <w:r>
        <w:rPr>
          <w:rFonts w:ascii="宋体" w:hAnsi="宋体" w:cs="宋体"/>
          <w:color w:val="231F20"/>
          <w:spacing w:val="4"/>
          <w:kern w:val="0"/>
        </w:rPr>
        <w:t xml:space="preserve">一般情况下，方向距离函数的参数形式有两种：超越对数函数和二次型函数。但由于超越对数函 </w:t>
      </w:r>
      <w:r>
        <w:rPr>
          <w:rFonts w:ascii="宋体" w:hAnsi="宋体" w:cs="宋体"/>
          <w:color w:val="231F20"/>
          <w:spacing w:val="3"/>
          <w:w w:val="105"/>
          <w:kern w:val="0"/>
        </w:rPr>
        <w:t>数不满足方向距离函数的转换性</w:t>
      </w:r>
      <w:r>
        <w:rPr>
          <w:rFonts w:ascii="宋体" w:hAnsi="宋体" w:cs="宋体"/>
          <w:color w:val="231F20"/>
          <w:spacing w:val="1"/>
          <w:w w:val="105"/>
          <w:kern w:val="0"/>
        </w:rPr>
        <w:t>，故本文采用二次型函数形式：</w:t>
      </w:r>
    </w:p>
    <w:p w14:paraId="77FDEBC8" w14:textId="77777777" w:rsidR="00897705" w:rsidRDefault="00000000">
      <w:pPr>
        <w:autoSpaceDE w:val="0"/>
        <w:autoSpaceDN w:val="0"/>
        <w:ind w:right="204" w:firstLine="420"/>
        <w:rPr>
          <w:rFonts w:ascii="宋体" w:hAnsi="宋体" w:cs="宋体"/>
          <w:color w:val="231F20"/>
          <w:spacing w:val="1"/>
          <w:w w:val="105"/>
          <w:kern w:val="0"/>
        </w:rPr>
      </w:pPr>
      <m:oMathPara>
        <m:oMath>
          <m:acc>
            <m:accPr>
              <m:chr m:val="⃑"/>
              <m:ctrlPr>
                <w:rPr>
                  <w:rFonts w:ascii="Cambria Math" w:hAnsi="Cambria Math"/>
                </w:rPr>
              </m:ctrlPr>
            </m:accPr>
            <m:e>
              <m:r>
                <w:rPr>
                  <w:rFonts w:ascii="Cambria Math" w:hAnsi="Cambria Math"/>
                </w:rPr>
                <m:t>D</m:t>
              </m:r>
            </m:e>
          </m:acc>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g</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nary>
            <m:naryPr>
              <m:chr m:val="∑"/>
              <m:limLoc m:val="subSup"/>
              <m:ctrlPr>
                <w:rPr>
                  <w:rFonts w:ascii="Cambria Math" w:hAnsi="Cambria Math" w:cs="宋体"/>
                  <w:i/>
                </w:rPr>
              </m:ctrlPr>
            </m:naryPr>
            <m:sub>
              <m:r>
                <w:rPr>
                  <w:rFonts w:ascii="Cambria Math" w:hAnsi="Cambria Math" w:cs="宋体"/>
                </w:rPr>
                <m:t>n=1</m:t>
              </m:r>
            </m:sub>
            <m:sup>
              <m:r>
                <w:rPr>
                  <w:rFonts w:ascii="Cambria Math" w:hAnsi="Cambria Math" w:cs="宋体"/>
                </w:rPr>
                <m:t>3</m:t>
              </m:r>
            </m:sup>
            <m:e>
              <m:sSub>
                <m:sSubPr>
                  <m:ctrlPr>
                    <w:rPr>
                      <w:rFonts w:ascii="Cambria Math" w:hAnsi="Cambria Math" w:cs="宋体"/>
                      <w:i/>
                    </w:rPr>
                  </m:ctrlPr>
                </m:sSubPr>
                <m:e>
                  <m:r>
                    <w:rPr>
                      <w:rFonts w:ascii="Cambria Math" w:hAnsi="Cambria Math" w:cs="宋体"/>
                    </w:rPr>
                    <m:t>a</m:t>
                  </m:r>
                </m:e>
                <m:sub>
                  <m:r>
                    <w:rPr>
                      <w:rFonts w:ascii="Cambria Math" w:hAnsi="Cambria Math" w:cs="宋体"/>
                    </w:rPr>
                    <m:t>n</m:t>
                  </m:r>
                </m:sub>
              </m:sSub>
              <m:sSub>
                <m:sSubPr>
                  <m:ctrlPr>
                    <w:rPr>
                      <w:rFonts w:ascii="Cambria Math" w:hAnsi="Cambria Math" w:cs="宋体"/>
                      <w:i/>
                    </w:rPr>
                  </m:ctrlPr>
                </m:sSubPr>
                <m:e>
                  <m:r>
                    <w:rPr>
                      <w:rFonts w:ascii="Cambria Math" w:hAnsi="Cambria Math" w:cs="宋体"/>
                    </w:rPr>
                    <m:t>x</m:t>
                  </m:r>
                </m:e>
                <m:sub>
                  <m:r>
                    <w:rPr>
                      <w:rFonts w:ascii="Cambria Math" w:hAnsi="Cambria Math" w:cs="宋体"/>
                    </w:rPr>
                    <m:t>n</m:t>
                  </m:r>
                </m:sub>
              </m:sSub>
              <m:r>
                <w:rPr>
                  <w:rFonts w:ascii="Cambria Math" w:hAnsi="Cambria Math" w:cs="宋体"/>
                </w:rPr>
                <m:t>+</m:t>
              </m:r>
              <m:sSub>
                <m:sSubPr>
                  <m:ctrlPr>
                    <w:rPr>
                      <w:rFonts w:ascii="Cambria Math" w:hAnsi="Cambria Math" w:cs="宋体"/>
                      <w:i/>
                    </w:rPr>
                  </m:ctrlPr>
                </m:sSubPr>
                <m:e>
                  <m:r>
                    <w:rPr>
                      <w:rFonts w:ascii="Cambria Math" w:hAnsi="Cambria Math" w:cs="宋体" w:hint="eastAsia"/>
                    </w:rPr>
                    <m:t>β</m:t>
                  </m:r>
                  <m:ctrlPr>
                    <w:rPr>
                      <w:rFonts w:ascii="Cambria Math" w:hAnsi="Cambria Math" w:cs="宋体" w:hint="eastAsia"/>
                      <w:i/>
                    </w:rPr>
                  </m:ctrlPr>
                </m:e>
                <m:sub>
                  <m:r>
                    <w:rPr>
                      <w:rFonts w:ascii="Cambria Math" w:hAnsi="Cambria Math" w:cs="宋体"/>
                    </w:rPr>
                    <m:t>1</m:t>
                  </m:r>
                </m:sub>
              </m:sSub>
              <m:sSub>
                <m:sSubPr>
                  <m:ctrlPr>
                    <w:rPr>
                      <w:rFonts w:ascii="Cambria Math" w:hAnsi="Cambria Math" w:cs="宋体"/>
                      <w:i/>
                    </w:rPr>
                  </m:ctrlPr>
                </m:sSubPr>
                <m:e>
                  <m:r>
                    <w:rPr>
                      <w:rFonts w:ascii="Cambria Math" w:hAnsi="Cambria Math" w:cs="宋体"/>
                    </w:rPr>
                    <m:t>y</m:t>
                  </m:r>
                </m:e>
                <m:sub>
                  <m:r>
                    <w:rPr>
                      <w:rFonts w:ascii="Cambria Math" w:hAnsi="Cambria Math" w:cs="宋体"/>
                    </w:rPr>
                    <m:t>1</m:t>
                  </m:r>
                </m:sub>
              </m:sSub>
              <m:r>
                <w:rPr>
                  <w:rFonts w:ascii="Cambria Math" w:hAnsi="Cambria Math" w:cs="宋体"/>
                </w:rPr>
                <m:t>+</m:t>
              </m:r>
              <m:sSub>
                <m:sSubPr>
                  <m:ctrlPr>
                    <w:rPr>
                      <w:rFonts w:ascii="Cambria Math" w:hAnsi="Cambria Math" w:cs="宋体"/>
                      <w:i/>
                    </w:rPr>
                  </m:ctrlPr>
                </m:sSubPr>
                <m:e>
                  <m:r>
                    <w:rPr>
                      <w:rFonts w:ascii="Cambria Math" w:hAnsi="Cambria Math" w:cs="宋体" w:hint="eastAsia"/>
                    </w:rPr>
                    <m:t>γ</m:t>
                  </m:r>
                  <m:ctrlPr>
                    <w:rPr>
                      <w:rFonts w:ascii="Cambria Math" w:hAnsi="Cambria Math" w:cs="宋体" w:hint="eastAsia"/>
                      <w:i/>
                    </w:rPr>
                  </m:ctrlPr>
                </m:e>
                <m:sub>
                  <m:r>
                    <w:rPr>
                      <w:rFonts w:ascii="Cambria Math" w:hAnsi="Cambria Math" w:cs="宋体"/>
                    </w:rPr>
                    <m:t>1</m:t>
                  </m:r>
                </m:sub>
              </m:sSub>
              <m:sSub>
                <m:sSubPr>
                  <m:ctrlPr>
                    <w:rPr>
                      <w:rFonts w:ascii="Cambria Math" w:hAnsi="Cambria Math" w:cs="宋体"/>
                      <w:i/>
                    </w:rPr>
                  </m:ctrlPr>
                </m:sSubPr>
                <m:e>
                  <m:r>
                    <w:rPr>
                      <w:rFonts w:ascii="Cambria Math" w:hAnsi="Cambria Math" w:cs="宋体"/>
                    </w:rPr>
                    <m:t>b</m:t>
                  </m:r>
                </m:e>
                <m:sub>
                  <m:r>
                    <w:rPr>
                      <w:rFonts w:ascii="Cambria Math" w:hAnsi="Cambria Math" w:cs="宋体"/>
                    </w:rPr>
                    <m:t>1</m:t>
                  </m:r>
                </m:sub>
              </m:sSub>
              <m:r>
                <w:rPr>
                  <w:rFonts w:ascii="Cambria Math" w:hAnsi="Cambria Math" w:cs="宋体"/>
                </w:rPr>
                <m:t>+</m:t>
              </m:r>
              <m:f>
                <m:fPr>
                  <m:ctrlPr>
                    <w:rPr>
                      <w:rFonts w:ascii="Cambria Math" w:hAnsi="Cambria Math" w:cs="宋体"/>
                      <w:i/>
                    </w:rPr>
                  </m:ctrlPr>
                </m:fPr>
                <m:num>
                  <m:r>
                    <w:rPr>
                      <w:rFonts w:ascii="Cambria Math" w:hAnsi="Cambria Math" w:cs="宋体"/>
                    </w:rPr>
                    <m:t>1</m:t>
                  </m:r>
                </m:num>
                <m:den>
                  <m:r>
                    <w:rPr>
                      <w:rFonts w:ascii="Cambria Math" w:hAnsi="Cambria Math" w:cs="宋体"/>
                    </w:rPr>
                    <m:t>2</m:t>
                  </m:r>
                </m:den>
              </m:f>
              <m:nary>
                <m:naryPr>
                  <m:chr m:val="∑"/>
                  <m:limLoc m:val="subSup"/>
                  <m:ctrlPr>
                    <w:rPr>
                      <w:rFonts w:ascii="Cambria Math" w:hAnsi="Cambria Math" w:cs="宋体"/>
                      <w:i/>
                    </w:rPr>
                  </m:ctrlPr>
                </m:naryPr>
                <m:sub>
                  <m:r>
                    <w:rPr>
                      <w:rFonts w:ascii="Cambria Math" w:hAnsi="Cambria Math" w:cs="宋体"/>
                    </w:rPr>
                    <m:t>n=1</m:t>
                  </m:r>
                </m:sub>
                <m:sup>
                  <m:r>
                    <w:rPr>
                      <w:rFonts w:ascii="Cambria Math" w:hAnsi="Cambria Math" w:cs="宋体"/>
                    </w:rPr>
                    <m:t>3</m:t>
                  </m:r>
                </m:sup>
                <m:e>
                  <m:nary>
                    <m:naryPr>
                      <m:chr m:val="∑"/>
                      <m:limLoc m:val="subSup"/>
                      <m:ctrlPr>
                        <w:rPr>
                          <w:rFonts w:ascii="Cambria Math" w:hAnsi="Cambria Math" w:cs="宋体"/>
                          <w:i/>
                        </w:rPr>
                      </m:ctrlPr>
                    </m:naryPr>
                    <m:sub>
                      <m:r>
                        <w:rPr>
                          <w:rFonts w:ascii="Cambria Math" w:hAnsi="Cambria Math" w:cs="宋体"/>
                        </w:rPr>
                        <m:t>n=1</m:t>
                      </m:r>
                    </m:sub>
                    <m:sup>
                      <m:r>
                        <w:rPr>
                          <w:rFonts w:ascii="Cambria Math" w:hAnsi="Cambria Math" w:cs="宋体"/>
                        </w:rPr>
                        <m:t>3</m:t>
                      </m:r>
                    </m:sup>
                    <m:e>
                      <m:sSub>
                        <m:sSubPr>
                          <m:ctrlPr>
                            <w:rPr>
                              <w:rFonts w:ascii="Cambria Math" w:hAnsi="Cambria Math" w:cs="宋体"/>
                              <w:i/>
                            </w:rPr>
                          </m:ctrlPr>
                        </m:sSubPr>
                        <m:e>
                          <m:r>
                            <w:rPr>
                              <w:rFonts w:ascii="Cambria Math" w:hAnsi="Cambria Math" w:cs="宋体"/>
                            </w:rPr>
                            <m:t>a</m:t>
                          </m:r>
                        </m:e>
                        <m:sub>
                          <m:r>
                            <w:rPr>
                              <w:rFonts w:ascii="Cambria Math" w:hAnsi="Cambria Math" w:cs="宋体"/>
                            </w:rPr>
                            <m:t>n,n</m:t>
                          </m:r>
                        </m:sub>
                      </m:sSub>
                      <m:sSub>
                        <m:sSubPr>
                          <m:ctrlPr>
                            <w:rPr>
                              <w:rFonts w:ascii="Cambria Math" w:hAnsi="Cambria Math" w:cs="宋体"/>
                              <w:i/>
                            </w:rPr>
                          </m:ctrlPr>
                        </m:sSubPr>
                        <m:e>
                          <m:r>
                            <w:rPr>
                              <w:rFonts w:ascii="Cambria Math" w:hAnsi="Cambria Math" w:cs="宋体"/>
                            </w:rPr>
                            <m:t>x</m:t>
                          </m:r>
                        </m:e>
                        <m:sub>
                          <m:r>
                            <w:rPr>
                              <w:rFonts w:ascii="Cambria Math" w:hAnsi="Cambria Math" w:cs="宋体"/>
                            </w:rPr>
                            <m:t>n</m:t>
                          </m:r>
                        </m:sub>
                      </m:sSub>
                      <m:sSub>
                        <m:sSubPr>
                          <m:ctrlPr>
                            <w:rPr>
                              <w:rFonts w:ascii="Cambria Math" w:hAnsi="Cambria Math" w:cs="宋体"/>
                              <w:i/>
                            </w:rPr>
                          </m:ctrlPr>
                        </m:sSubPr>
                        <m:e>
                          <m:r>
                            <w:rPr>
                              <w:rFonts w:ascii="Cambria Math" w:hAnsi="Cambria Math" w:cs="宋体"/>
                            </w:rPr>
                            <m:t>x</m:t>
                          </m:r>
                        </m:e>
                        <m:sub>
                          <m:r>
                            <w:rPr>
                              <w:rFonts w:ascii="Cambria Math" w:hAnsi="Cambria Math" w:cs="宋体"/>
                            </w:rPr>
                            <m:t>n</m:t>
                          </m:r>
                        </m:sub>
                      </m:sSub>
                      <m:r>
                        <w:rPr>
                          <w:rFonts w:ascii="Cambria Math" w:hAnsi="Cambria Math" w:cs="宋体"/>
                        </w:rPr>
                        <m:t>+</m:t>
                      </m:r>
                      <m:f>
                        <m:fPr>
                          <m:ctrlPr>
                            <w:rPr>
                              <w:rFonts w:ascii="Cambria Math" w:hAnsi="Cambria Math" w:cs="宋体"/>
                              <w:i/>
                            </w:rPr>
                          </m:ctrlPr>
                        </m:fPr>
                        <m:num>
                          <m:r>
                            <w:rPr>
                              <w:rFonts w:ascii="Cambria Math" w:hAnsi="Cambria Math" w:cs="宋体"/>
                            </w:rPr>
                            <m:t>1</m:t>
                          </m:r>
                        </m:num>
                        <m:den>
                          <m:r>
                            <w:rPr>
                              <w:rFonts w:ascii="Cambria Math" w:hAnsi="Cambria Math" w:cs="宋体"/>
                            </w:rPr>
                            <m:t>2</m:t>
                          </m:r>
                        </m:den>
                      </m:f>
                      <m:sSub>
                        <m:sSubPr>
                          <m:ctrlPr>
                            <w:rPr>
                              <w:rFonts w:ascii="Cambria Math" w:hAnsi="Cambria Math" w:cs="宋体"/>
                              <w:i/>
                            </w:rPr>
                          </m:ctrlPr>
                        </m:sSubPr>
                        <m:e>
                          <m:r>
                            <w:rPr>
                              <w:rFonts w:ascii="Cambria Math" w:hAnsi="Cambria Math" w:cs="宋体" w:hint="eastAsia"/>
                            </w:rPr>
                            <m:t>β</m:t>
                          </m:r>
                          <m:ctrlPr>
                            <w:rPr>
                              <w:rFonts w:ascii="Cambria Math" w:hAnsi="Cambria Math" w:cs="宋体" w:hint="eastAsia"/>
                              <w:i/>
                            </w:rPr>
                          </m:ctrlPr>
                        </m:e>
                        <m:sub>
                          <m:r>
                            <w:rPr>
                              <w:rFonts w:ascii="Cambria Math" w:hAnsi="Cambria Math" w:cs="宋体"/>
                            </w:rPr>
                            <m:t>11</m:t>
                          </m:r>
                        </m:sub>
                      </m:sSub>
                      <m:sSubSup>
                        <m:sSubSupPr>
                          <m:ctrlPr>
                            <w:rPr>
                              <w:rFonts w:ascii="Cambria Math" w:hAnsi="Cambria Math" w:cs="宋体"/>
                              <w:i/>
                            </w:rPr>
                          </m:ctrlPr>
                        </m:sSubSupPr>
                        <m:e>
                          <m:r>
                            <w:rPr>
                              <w:rFonts w:ascii="Cambria Math" w:hAnsi="Cambria Math" w:cs="宋体"/>
                            </w:rPr>
                            <m:t>y</m:t>
                          </m:r>
                        </m:e>
                        <m:sub>
                          <m:r>
                            <w:rPr>
                              <w:rFonts w:ascii="Cambria Math" w:hAnsi="Cambria Math" w:cs="宋体"/>
                            </w:rPr>
                            <m:t>1</m:t>
                          </m:r>
                        </m:sub>
                        <m:sup>
                          <m:r>
                            <w:rPr>
                              <w:rFonts w:ascii="Cambria Math" w:hAnsi="Cambria Math" w:cs="宋体"/>
                            </w:rPr>
                            <m:t>2</m:t>
                          </m:r>
                        </m:sup>
                      </m:sSubSup>
                      <m:r>
                        <w:rPr>
                          <w:rFonts w:ascii="Cambria Math" w:hAnsi="Cambria Math" w:cs="宋体"/>
                        </w:rPr>
                        <m:t>+</m:t>
                      </m:r>
                      <m:f>
                        <m:fPr>
                          <m:ctrlPr>
                            <w:rPr>
                              <w:rFonts w:ascii="Cambria Math" w:hAnsi="Cambria Math" w:cs="宋体"/>
                              <w:i/>
                            </w:rPr>
                          </m:ctrlPr>
                        </m:fPr>
                        <m:num>
                          <m:r>
                            <w:rPr>
                              <w:rFonts w:ascii="Cambria Math" w:hAnsi="Cambria Math" w:cs="宋体"/>
                            </w:rPr>
                            <m:t>1</m:t>
                          </m:r>
                        </m:num>
                        <m:den>
                          <m:r>
                            <w:rPr>
                              <w:rFonts w:ascii="Cambria Math" w:hAnsi="Cambria Math" w:cs="宋体"/>
                            </w:rPr>
                            <m:t>2</m:t>
                          </m:r>
                        </m:den>
                      </m:f>
                      <m:sSub>
                        <m:sSubPr>
                          <m:ctrlPr>
                            <w:rPr>
                              <w:rFonts w:ascii="Cambria Math" w:hAnsi="Cambria Math" w:cs="宋体"/>
                              <w:i/>
                            </w:rPr>
                          </m:ctrlPr>
                        </m:sSubPr>
                        <m:e>
                          <m:r>
                            <w:rPr>
                              <w:rFonts w:ascii="Cambria Math" w:hAnsi="Cambria Math" w:cs="宋体" w:hint="eastAsia"/>
                            </w:rPr>
                            <m:t>γ</m:t>
                          </m:r>
                          <m:ctrlPr>
                            <w:rPr>
                              <w:rFonts w:ascii="Cambria Math" w:hAnsi="Cambria Math" w:cs="宋体" w:hint="eastAsia"/>
                              <w:i/>
                            </w:rPr>
                          </m:ctrlPr>
                        </m:e>
                        <m:sub>
                          <m:r>
                            <w:rPr>
                              <w:rFonts w:ascii="Cambria Math" w:hAnsi="Cambria Math" w:cs="宋体"/>
                            </w:rPr>
                            <m:t>11</m:t>
                          </m:r>
                        </m:sub>
                      </m:sSub>
                      <m:sSubSup>
                        <m:sSubSupPr>
                          <m:ctrlPr>
                            <w:rPr>
                              <w:rFonts w:ascii="Cambria Math" w:hAnsi="Cambria Math" w:cs="宋体"/>
                              <w:i/>
                            </w:rPr>
                          </m:ctrlPr>
                        </m:sSubSupPr>
                        <m:e>
                          <m:r>
                            <w:rPr>
                              <w:rFonts w:ascii="Cambria Math" w:hAnsi="Cambria Math" w:cs="宋体"/>
                            </w:rPr>
                            <m:t>b</m:t>
                          </m:r>
                        </m:e>
                        <m:sub>
                          <m:r>
                            <w:rPr>
                              <w:rFonts w:ascii="Cambria Math" w:hAnsi="Cambria Math" w:cs="宋体"/>
                            </w:rPr>
                            <m:t>1</m:t>
                          </m:r>
                        </m:sub>
                        <m:sup>
                          <m:r>
                            <w:rPr>
                              <w:rFonts w:ascii="Cambria Math" w:hAnsi="Cambria Math" w:cs="宋体"/>
                            </w:rPr>
                            <m:t>2</m:t>
                          </m:r>
                        </m:sup>
                      </m:sSubSup>
                      <m:r>
                        <w:rPr>
                          <w:rFonts w:ascii="Cambria Math" w:hAnsi="Cambria Math" w:cs="宋体"/>
                        </w:rPr>
                        <m:t>+</m:t>
                      </m:r>
                      <m:nary>
                        <m:naryPr>
                          <m:chr m:val="∑"/>
                          <m:limLoc m:val="subSup"/>
                          <m:ctrlPr>
                            <w:rPr>
                              <w:rFonts w:ascii="Cambria Math" w:hAnsi="Cambria Math" w:cs="宋体"/>
                              <w:i/>
                            </w:rPr>
                          </m:ctrlPr>
                        </m:naryPr>
                        <m:sub>
                          <m:r>
                            <w:rPr>
                              <w:rFonts w:ascii="Cambria Math" w:hAnsi="Cambria Math" w:cs="宋体"/>
                            </w:rPr>
                            <m:t>n=1</m:t>
                          </m:r>
                        </m:sub>
                        <m:sup>
                          <m:r>
                            <w:rPr>
                              <w:rFonts w:ascii="Cambria Math" w:hAnsi="Cambria Math" w:cs="宋体"/>
                            </w:rPr>
                            <m:t>3</m:t>
                          </m:r>
                        </m:sup>
                        <m:e>
                          <m:sSub>
                            <m:sSubPr>
                              <m:ctrlPr>
                                <w:rPr>
                                  <w:rFonts w:ascii="Cambria Math" w:hAnsi="Cambria Math" w:cs="宋体"/>
                                  <w:i/>
                                </w:rPr>
                              </m:ctrlPr>
                            </m:sSubPr>
                            <m:e>
                              <m:r>
                                <w:rPr>
                                  <w:rFonts w:ascii="Cambria Math" w:hAnsi="Cambria Math" w:cs="宋体" w:hint="eastAsia"/>
                                </w:rPr>
                                <m:t>δ</m:t>
                              </m:r>
                              <m:ctrlPr>
                                <w:rPr>
                                  <w:rFonts w:ascii="Cambria Math" w:hAnsi="Cambria Math" w:cs="宋体" w:hint="eastAsia"/>
                                  <w:i/>
                                </w:rPr>
                              </m:ctrlPr>
                            </m:e>
                            <m:sub>
                              <m:r>
                                <w:rPr>
                                  <w:rFonts w:ascii="Cambria Math" w:hAnsi="Cambria Math" w:cs="宋体"/>
                                </w:rPr>
                                <m:t>n1</m:t>
                              </m:r>
                            </m:sub>
                          </m:sSub>
                          <m:sSub>
                            <m:sSubPr>
                              <m:ctrlPr>
                                <w:rPr>
                                  <w:rFonts w:ascii="Cambria Math" w:hAnsi="Cambria Math" w:cs="宋体"/>
                                  <w:i/>
                                </w:rPr>
                              </m:ctrlPr>
                            </m:sSubPr>
                            <m:e>
                              <m:r>
                                <w:rPr>
                                  <w:rFonts w:ascii="Cambria Math" w:hAnsi="Cambria Math" w:cs="宋体"/>
                                </w:rPr>
                                <m:t>x</m:t>
                              </m:r>
                            </m:e>
                            <m:sub>
                              <m:r>
                                <w:rPr>
                                  <w:rFonts w:ascii="Cambria Math" w:hAnsi="Cambria Math" w:cs="宋体"/>
                                </w:rPr>
                                <m:t>n</m:t>
                              </m:r>
                            </m:sub>
                          </m:sSub>
                          <m:sSub>
                            <m:sSubPr>
                              <m:ctrlPr>
                                <w:rPr>
                                  <w:rFonts w:ascii="Cambria Math" w:hAnsi="Cambria Math" w:cs="宋体"/>
                                  <w:i/>
                                </w:rPr>
                              </m:ctrlPr>
                            </m:sSubPr>
                            <m:e>
                              <m:r>
                                <w:rPr>
                                  <w:rFonts w:ascii="Cambria Math" w:hAnsi="Cambria Math" w:cs="宋体"/>
                                </w:rPr>
                                <m:t>y</m:t>
                              </m:r>
                            </m:e>
                            <m:sub>
                              <m:r>
                                <w:rPr>
                                  <w:rFonts w:ascii="Cambria Math" w:hAnsi="Cambria Math" w:cs="宋体"/>
                                </w:rPr>
                                <m:t>1</m:t>
                              </m:r>
                            </m:sub>
                          </m:sSub>
                          <m:r>
                            <w:rPr>
                              <w:rFonts w:ascii="Cambria Math" w:hAnsi="Cambria Math" w:cs="宋体"/>
                            </w:rPr>
                            <m:t>+</m:t>
                          </m:r>
                          <m:nary>
                            <m:naryPr>
                              <m:chr m:val="∑"/>
                              <m:limLoc m:val="subSup"/>
                              <m:ctrlPr>
                                <w:rPr>
                                  <w:rFonts w:ascii="Cambria Math" w:hAnsi="Cambria Math" w:cs="宋体"/>
                                  <w:i/>
                                </w:rPr>
                              </m:ctrlPr>
                            </m:naryPr>
                            <m:sub>
                              <m:r>
                                <w:rPr>
                                  <w:rFonts w:ascii="Cambria Math" w:hAnsi="Cambria Math" w:cs="宋体"/>
                                </w:rPr>
                                <m:t>n=1</m:t>
                              </m:r>
                            </m:sub>
                            <m:sup>
                              <m:r>
                                <w:rPr>
                                  <w:rFonts w:ascii="Cambria Math" w:hAnsi="Cambria Math" w:cs="宋体"/>
                                </w:rPr>
                                <m:t>3</m:t>
                              </m:r>
                            </m:sup>
                            <m:e>
                              <m:sSub>
                                <m:sSubPr>
                                  <m:ctrlPr>
                                    <w:rPr>
                                      <w:rFonts w:ascii="Cambria Math" w:hAnsi="Cambria Math" w:cs="宋体"/>
                                      <w:i/>
                                    </w:rPr>
                                  </m:ctrlPr>
                                </m:sSubPr>
                                <m:e>
                                  <m:r>
                                    <w:rPr>
                                      <w:rFonts w:ascii="Cambria Math" w:hAnsi="Cambria Math" w:cs="宋体" w:hint="eastAsia"/>
                                    </w:rPr>
                                    <m:t>η</m:t>
                                  </m:r>
                                  <m:ctrlPr>
                                    <w:rPr>
                                      <w:rFonts w:ascii="Cambria Math" w:hAnsi="Cambria Math" w:cs="宋体" w:hint="eastAsia"/>
                                      <w:i/>
                                    </w:rPr>
                                  </m:ctrlPr>
                                </m:e>
                                <m:sub>
                                  <m:r>
                                    <w:rPr>
                                      <w:rFonts w:ascii="Cambria Math" w:hAnsi="Cambria Math" w:cs="宋体"/>
                                    </w:rPr>
                                    <m:t>n1</m:t>
                                  </m:r>
                                </m:sub>
                              </m:sSub>
                              <m:sSub>
                                <m:sSubPr>
                                  <m:ctrlPr>
                                    <w:rPr>
                                      <w:rFonts w:ascii="Cambria Math" w:hAnsi="Cambria Math" w:cs="宋体"/>
                                      <w:i/>
                                    </w:rPr>
                                  </m:ctrlPr>
                                </m:sSubPr>
                                <m:e>
                                  <m:r>
                                    <w:rPr>
                                      <w:rFonts w:ascii="Cambria Math" w:hAnsi="Cambria Math" w:cs="宋体"/>
                                    </w:rPr>
                                    <m:t>x</m:t>
                                  </m:r>
                                </m:e>
                                <m:sub>
                                  <m:r>
                                    <w:rPr>
                                      <w:rFonts w:ascii="Cambria Math" w:hAnsi="Cambria Math" w:cs="宋体"/>
                                    </w:rPr>
                                    <m:t>n</m:t>
                                  </m:r>
                                </m:sub>
                              </m:sSub>
                              <m:sSub>
                                <m:sSubPr>
                                  <m:ctrlPr>
                                    <w:rPr>
                                      <w:rFonts w:ascii="Cambria Math" w:hAnsi="Cambria Math" w:cs="宋体"/>
                                      <w:i/>
                                    </w:rPr>
                                  </m:ctrlPr>
                                </m:sSubPr>
                                <m:e>
                                  <m:r>
                                    <w:rPr>
                                      <w:rFonts w:ascii="Cambria Math" w:hAnsi="Cambria Math" w:cs="宋体"/>
                                    </w:rPr>
                                    <m:t>b</m:t>
                                  </m:r>
                                </m:e>
                                <m:sub>
                                  <m:r>
                                    <w:rPr>
                                      <w:rFonts w:ascii="Cambria Math" w:hAnsi="Cambria Math" w:cs="宋体"/>
                                    </w:rPr>
                                    <m:t>1</m:t>
                                  </m:r>
                                </m:sub>
                              </m:sSub>
                              <m:r>
                                <w:rPr>
                                  <w:rFonts w:ascii="Cambria Math" w:hAnsi="Cambria Math" w:cs="宋体"/>
                                </w:rPr>
                                <m:t>+</m:t>
                              </m:r>
                              <m:sSub>
                                <m:sSubPr>
                                  <m:ctrlPr>
                                    <w:rPr>
                                      <w:rFonts w:ascii="Cambria Math" w:hAnsi="Cambria Math" w:cs="宋体"/>
                                      <w:i/>
                                    </w:rPr>
                                  </m:ctrlPr>
                                </m:sSubPr>
                                <m:e>
                                  <m:r>
                                    <w:rPr>
                                      <w:rFonts w:ascii="Cambria Math" w:hAnsi="Cambria Math" w:cs="宋体" w:hint="eastAsia"/>
                                    </w:rPr>
                                    <m:t>μ</m:t>
                                  </m:r>
                                  <m:ctrlPr>
                                    <w:rPr>
                                      <w:rFonts w:ascii="Cambria Math" w:hAnsi="Cambria Math" w:cs="宋体" w:hint="eastAsia"/>
                                      <w:i/>
                                    </w:rPr>
                                  </m:ctrlPr>
                                </m:e>
                                <m:sub>
                                  <m:r>
                                    <w:rPr>
                                      <w:rFonts w:ascii="Cambria Math" w:hAnsi="Cambria Math" w:cs="宋体"/>
                                    </w:rPr>
                                    <m:t>11</m:t>
                                  </m:r>
                                </m:sub>
                              </m:sSub>
                              <m:sSub>
                                <m:sSubPr>
                                  <m:ctrlPr>
                                    <w:rPr>
                                      <w:rFonts w:ascii="Cambria Math" w:hAnsi="Cambria Math" w:cs="宋体"/>
                                      <w:i/>
                                    </w:rPr>
                                  </m:ctrlPr>
                                </m:sSubPr>
                                <m:e>
                                  <m:r>
                                    <w:rPr>
                                      <w:rFonts w:ascii="Cambria Math" w:hAnsi="Cambria Math" w:cs="宋体"/>
                                    </w:rPr>
                                    <m:t>y</m:t>
                                  </m:r>
                                </m:e>
                                <m:sub>
                                  <m:r>
                                    <w:rPr>
                                      <w:rFonts w:ascii="Cambria Math" w:hAnsi="Cambria Math" w:cs="宋体"/>
                                    </w:rPr>
                                    <m:t>1</m:t>
                                  </m:r>
                                </m:sub>
                              </m:sSub>
                              <m:sSub>
                                <m:sSubPr>
                                  <m:ctrlPr>
                                    <w:rPr>
                                      <w:rFonts w:ascii="Cambria Math" w:hAnsi="Cambria Math" w:cs="宋体"/>
                                      <w:i/>
                                    </w:rPr>
                                  </m:ctrlPr>
                                </m:sSubPr>
                                <m:e>
                                  <m:r>
                                    <w:rPr>
                                      <w:rFonts w:ascii="Cambria Math" w:hAnsi="Cambria Math" w:cs="宋体"/>
                                    </w:rPr>
                                    <m:t>b</m:t>
                                  </m:r>
                                </m:e>
                                <m:sub>
                                  <m:r>
                                    <w:rPr>
                                      <w:rFonts w:ascii="Cambria Math" w:hAnsi="Cambria Math" w:cs="宋体"/>
                                    </w:rPr>
                                    <m:t>1</m:t>
                                  </m:r>
                                </m:sub>
                              </m:sSub>
                            </m:e>
                          </m:nary>
                        </m:e>
                      </m:nary>
                    </m:e>
                  </m:nary>
                </m:e>
              </m:nary>
            </m:e>
          </m:nary>
          <m:r>
            <w:rPr>
              <w:rFonts w:ascii="Cambria Math" w:hAnsi="Cambria Math" w:cs="宋体"/>
            </w:rPr>
            <m:t xml:space="preserve">  (5)</m:t>
          </m:r>
        </m:oMath>
      </m:oMathPara>
    </w:p>
    <w:p w14:paraId="634B4B32" w14:textId="77777777" w:rsidR="00897705" w:rsidRDefault="00000000">
      <w:pPr>
        <w:autoSpaceDE w:val="0"/>
        <w:autoSpaceDN w:val="0"/>
        <w:ind w:firstLineChars="188" w:firstLine="507"/>
        <w:rPr>
          <w:rFonts w:ascii="宋体" w:hAnsi="宋体" w:cs="宋体"/>
          <w:color w:val="231F20"/>
          <w:spacing w:val="3"/>
          <w:w w:val="102"/>
          <w:kern w:val="0"/>
        </w:rPr>
      </w:pPr>
      <w:r>
        <w:rPr>
          <w:rFonts w:ascii="宋体" w:hAnsi="宋体" w:cs="宋体"/>
          <w:color w:val="231F20"/>
          <w:spacing w:val="13"/>
          <w:w w:val="102"/>
          <w:kern w:val="0"/>
        </w:rPr>
        <w:t>如公式</w:t>
      </w:r>
      <w:r>
        <w:rPr>
          <w:rFonts w:ascii="宋体" w:hAnsi="宋体" w:cs="宋体"/>
          <w:color w:val="231F20"/>
          <w:spacing w:val="1"/>
          <w:w w:val="102"/>
          <w:kern w:val="0"/>
        </w:rPr>
        <w:t>(</w:t>
      </w:r>
      <w:r>
        <w:rPr>
          <w:rFonts w:ascii="宋体" w:hAnsi="宋体" w:cs="宋体"/>
          <w:color w:val="231F20"/>
          <w:spacing w:val="2"/>
          <w:w w:val="102"/>
          <w:kern w:val="0"/>
        </w:rPr>
        <w:t>5</w:t>
      </w:r>
      <w:r>
        <w:rPr>
          <w:rFonts w:ascii="宋体" w:hAnsi="宋体" w:cs="宋体"/>
          <w:color w:val="231F20"/>
          <w:spacing w:val="10"/>
          <w:w w:val="102"/>
          <w:kern w:val="0"/>
        </w:rPr>
        <w:t>)</w:t>
      </w:r>
      <w:r>
        <w:rPr>
          <w:rFonts w:ascii="宋体" w:hAnsi="宋体" w:cs="宋体"/>
          <w:color w:val="231F20"/>
          <w:spacing w:val="11"/>
          <w:w w:val="102"/>
          <w:kern w:val="0"/>
        </w:rPr>
        <w:t>所示，本文选取了</w:t>
      </w:r>
      <w:r>
        <w:rPr>
          <w:rFonts w:ascii="宋体" w:hAnsi="宋体" w:cs="宋体"/>
          <w:color w:val="231F20"/>
          <w:w w:val="102"/>
          <w:kern w:val="0"/>
        </w:rPr>
        <w:t>3</w:t>
      </w:r>
      <w:r>
        <w:rPr>
          <w:rFonts w:ascii="宋体" w:hAnsi="宋体" w:cs="宋体"/>
          <w:color w:val="231F20"/>
          <w:spacing w:val="19"/>
          <w:w w:val="102"/>
          <w:kern w:val="0"/>
        </w:rPr>
        <w:t>种投入要素</w:t>
      </w:r>
      <w:r>
        <w:rPr>
          <w:rFonts w:ascii="宋体" w:hAnsi="宋体" w:cs="宋体"/>
          <w:color w:val="231F20"/>
          <w:spacing w:val="-19"/>
          <w:w w:val="102"/>
          <w:kern w:val="0"/>
        </w:rPr>
        <w:t>（</w:t>
      </w:r>
      <w:r>
        <w:rPr>
          <w:rFonts w:ascii="宋体" w:hAnsi="宋体" w:cs="宋体"/>
          <w:color w:val="231F20"/>
          <w:spacing w:val="8"/>
          <w:w w:val="102"/>
          <w:kern w:val="0"/>
        </w:rPr>
        <w:t>劳动力</w:t>
      </w:r>
      <m:oMath>
        <m:sSub>
          <m:sSubPr>
            <m:ctrlPr>
              <w:rPr>
                <w:rFonts w:ascii="Cambria Math" w:hAnsi="Cambria Math" w:cs="宋体"/>
                <w:i/>
                <w:color w:val="231F20"/>
                <w:w w:val="102"/>
                <w:kern w:val="0"/>
              </w:rPr>
            </m:ctrlPr>
          </m:sSubPr>
          <m:e>
            <m:r>
              <w:rPr>
                <w:rFonts w:ascii="Cambria Math" w:hAnsi="Cambria Math" w:cs="宋体"/>
                <w:color w:val="231F20"/>
                <w:w w:val="102"/>
                <w:kern w:val="0"/>
              </w:rPr>
              <m:t>x</m:t>
            </m:r>
          </m:e>
          <m:sub>
            <m:r>
              <w:rPr>
                <w:rFonts w:ascii="Cambria Math" w:hAnsi="Cambria Math" w:cs="宋体"/>
                <w:color w:val="231F20"/>
                <w:w w:val="102"/>
                <w:kern w:val="0"/>
              </w:rPr>
              <m:t>1</m:t>
            </m:r>
          </m:sub>
        </m:sSub>
      </m:oMath>
      <w:r>
        <w:rPr>
          <w:rFonts w:ascii="宋体" w:hAnsi="宋体" w:cs="宋体"/>
          <w:color w:val="231F20"/>
          <w:spacing w:val="8"/>
          <w:w w:val="102"/>
          <w:kern w:val="0"/>
        </w:rPr>
        <w:t>、资本</w:t>
      </w:r>
      <m:oMath>
        <m:sSub>
          <m:sSubPr>
            <m:ctrlPr>
              <w:rPr>
                <w:rFonts w:ascii="Cambria Math" w:hAnsi="Cambria Math" w:cs="宋体"/>
                <w:i/>
                <w:color w:val="231F20"/>
                <w:w w:val="102"/>
                <w:kern w:val="0"/>
              </w:rPr>
            </m:ctrlPr>
          </m:sSubPr>
          <m:e>
            <m:r>
              <w:rPr>
                <w:rFonts w:ascii="Cambria Math" w:hAnsi="Cambria Math" w:cs="宋体"/>
                <w:color w:val="231F20"/>
                <w:w w:val="102"/>
                <w:kern w:val="0"/>
              </w:rPr>
              <m:t>x</m:t>
            </m:r>
          </m:e>
          <m:sub>
            <m:r>
              <w:rPr>
                <w:rFonts w:ascii="Cambria Math" w:hAnsi="Cambria Math" w:cs="宋体"/>
                <w:color w:val="231F20"/>
                <w:w w:val="102"/>
                <w:kern w:val="0"/>
                <w:position w:val="-3"/>
                <w:vertAlign w:val="subscript"/>
              </w:rPr>
              <m:t>2</m:t>
            </m:r>
          </m:sub>
        </m:sSub>
      </m:oMath>
      <w:r>
        <w:rPr>
          <w:rFonts w:ascii="宋体" w:hAnsi="宋体" w:cs="宋体"/>
          <w:color w:val="231F20"/>
          <w:spacing w:val="10"/>
          <w:w w:val="102"/>
          <w:kern w:val="0"/>
        </w:rPr>
        <w:t>和能源消耗量</w:t>
      </w:r>
      <m:oMath>
        <m:sSub>
          <m:sSubPr>
            <m:ctrlPr>
              <w:rPr>
                <w:rFonts w:ascii="Cambria Math" w:hAnsi="Cambria Math" w:cs="宋体"/>
                <w:i/>
                <w:color w:val="231F20"/>
                <w:w w:val="102"/>
                <w:kern w:val="0"/>
              </w:rPr>
            </m:ctrlPr>
          </m:sSubPr>
          <m:e>
            <m:r>
              <w:rPr>
                <w:rFonts w:ascii="Cambria Math" w:hAnsi="Cambria Math" w:cs="宋体"/>
                <w:color w:val="231F20"/>
                <w:w w:val="102"/>
                <w:kern w:val="0"/>
              </w:rPr>
              <m:t>x</m:t>
            </m:r>
          </m:e>
          <m:sub>
            <m:r>
              <w:rPr>
                <w:rFonts w:ascii="Cambria Math" w:hAnsi="Cambria Math" w:cs="宋体"/>
                <w:color w:val="231F20"/>
                <w:spacing w:val="-30"/>
                <w:w w:val="102"/>
                <w:kern w:val="0"/>
                <w:position w:val="-3"/>
                <w:vertAlign w:val="subscript"/>
              </w:rPr>
              <m:t>3</m:t>
            </m:r>
          </m:sub>
        </m:sSub>
      </m:oMath>
      <w:r>
        <w:rPr>
          <w:rFonts w:ascii="宋体" w:hAnsi="宋体" w:cs="宋体"/>
          <w:color w:val="231F20"/>
          <w:spacing w:val="-60"/>
          <w:w w:val="102"/>
          <w:kern w:val="0"/>
        </w:rPr>
        <w:t>）</w:t>
      </w:r>
      <w:r>
        <w:rPr>
          <w:rFonts w:ascii="宋体" w:hAnsi="宋体" w:cs="宋体"/>
          <w:color w:val="231F20"/>
          <w:spacing w:val="13"/>
          <w:w w:val="102"/>
          <w:kern w:val="0"/>
        </w:rPr>
        <w:t>，</w:t>
      </w:r>
      <w:r>
        <w:rPr>
          <w:rFonts w:ascii="宋体" w:hAnsi="宋体" w:cs="宋体"/>
          <w:color w:val="231F20"/>
          <w:w w:val="102"/>
          <w:kern w:val="0"/>
        </w:rPr>
        <w:t>1</w:t>
      </w:r>
      <w:r>
        <w:rPr>
          <w:rFonts w:ascii="宋体" w:hAnsi="宋体" w:cs="宋体"/>
          <w:color w:val="231F20"/>
          <w:spacing w:val="10"/>
          <w:w w:val="102"/>
          <w:kern w:val="0"/>
        </w:rPr>
        <w:t>种期望产出</w:t>
      </w:r>
      <w:r>
        <w:rPr>
          <w:rFonts w:ascii="宋体" w:hAnsi="宋体" w:cs="宋体"/>
          <w:color w:val="231F20"/>
          <w:spacing w:val="-27"/>
          <w:w w:val="102"/>
          <w:kern w:val="0"/>
        </w:rPr>
        <w:t>（</w:t>
      </w:r>
      <w:r>
        <w:rPr>
          <w:rFonts w:ascii="宋体" w:hAnsi="宋体" w:cs="宋体"/>
          <w:color w:val="231F20"/>
          <w:spacing w:val="9"/>
          <w:w w:val="102"/>
          <w:kern w:val="0"/>
        </w:rPr>
        <w:t>地区生产总值</w:t>
      </w:r>
      <m:oMath>
        <m:sSub>
          <m:sSubPr>
            <m:ctrlPr>
              <w:rPr>
                <w:rFonts w:ascii="Cambria Math" w:hAnsi="Cambria Math" w:cs="宋体"/>
                <w:i/>
                <w:color w:val="231F20"/>
                <w:w w:val="102"/>
                <w:kern w:val="0"/>
              </w:rPr>
            </m:ctrlPr>
          </m:sSubPr>
          <m:e>
            <m:r>
              <w:rPr>
                <w:rFonts w:ascii="Cambria Math" w:hAnsi="Cambria Math" w:cs="宋体"/>
                <w:color w:val="231F20"/>
                <w:w w:val="102"/>
                <w:kern w:val="0"/>
              </w:rPr>
              <m:t>y</m:t>
            </m:r>
          </m:e>
          <m:sub>
            <m:r>
              <w:rPr>
                <w:rFonts w:ascii="Cambria Math" w:hAnsi="Cambria Math" w:cs="宋体"/>
                <w:color w:val="231F20"/>
                <w:spacing w:val="-30"/>
                <w:w w:val="102"/>
                <w:kern w:val="0"/>
                <w:position w:val="-3"/>
                <w:vertAlign w:val="subscript"/>
              </w:rPr>
              <m:t>1</m:t>
            </m:r>
          </m:sub>
        </m:sSub>
      </m:oMath>
      <w:r>
        <w:rPr>
          <w:rFonts w:ascii="宋体" w:hAnsi="宋体" w:cs="宋体"/>
          <w:color w:val="231F20"/>
          <w:w w:val="102"/>
          <w:kern w:val="0"/>
        </w:rPr>
        <w:t>）</w:t>
      </w:r>
      <w:r>
        <w:rPr>
          <w:rFonts w:ascii="宋体" w:hAnsi="宋体" w:cs="宋体"/>
          <w:color w:val="231F20"/>
          <w:spacing w:val="31"/>
          <w:w w:val="102"/>
          <w:kern w:val="0"/>
        </w:rPr>
        <w:t>和</w:t>
      </w:r>
      <w:r>
        <w:rPr>
          <w:rFonts w:ascii="宋体" w:hAnsi="宋体" w:cs="宋体"/>
          <w:color w:val="231F20"/>
          <w:w w:val="102"/>
          <w:kern w:val="0"/>
        </w:rPr>
        <w:t>1</w:t>
      </w:r>
      <w:r>
        <w:rPr>
          <w:rFonts w:ascii="宋体" w:hAnsi="宋体" w:cs="宋体"/>
          <w:color w:val="231F20"/>
          <w:spacing w:val="4"/>
          <w:w w:val="102"/>
          <w:kern w:val="0"/>
        </w:rPr>
        <w:t>种非期望产出</w:t>
      </w:r>
      <w:r>
        <w:rPr>
          <w:rFonts w:ascii="宋体" w:hAnsi="宋体" w:cs="宋体"/>
          <w:color w:val="231F20"/>
          <w:spacing w:val="-28"/>
          <w:w w:val="102"/>
          <w:kern w:val="0"/>
        </w:rPr>
        <w:t>（</w:t>
      </w:r>
      <w:r>
        <w:rPr>
          <w:rFonts w:ascii="宋体" w:hAnsi="宋体" w:cs="宋体"/>
          <w:color w:val="231F20"/>
          <w:spacing w:val="2"/>
          <w:w w:val="102"/>
          <w:kern w:val="0"/>
        </w:rPr>
        <w:t>CO</w:t>
      </w:r>
      <w:r>
        <w:rPr>
          <w:rFonts w:ascii="宋体" w:hAnsi="宋体" w:cs="宋体"/>
          <w:color w:val="231F20"/>
          <w:w w:val="99"/>
          <w:kern w:val="0"/>
          <w:position w:val="-3"/>
        </w:rPr>
        <w:t>2</w:t>
      </w:r>
      <w:r>
        <w:rPr>
          <w:rFonts w:ascii="宋体" w:hAnsi="宋体" w:cs="宋体"/>
          <w:color w:val="231F20"/>
          <w:spacing w:val="13"/>
          <w:w w:val="102"/>
          <w:kern w:val="0"/>
        </w:rPr>
        <w:t>排放量</w:t>
      </w:r>
      <m:oMath>
        <m:sSub>
          <m:sSubPr>
            <m:ctrlPr>
              <w:rPr>
                <w:rFonts w:ascii="Cambria Math" w:hAnsi="Cambria Math" w:cs="宋体"/>
                <w:i/>
                <w:color w:val="231F20"/>
                <w:spacing w:val="1"/>
                <w:w w:val="102"/>
                <w:kern w:val="0"/>
              </w:rPr>
            </m:ctrlPr>
          </m:sSubPr>
          <m:e>
            <m:r>
              <w:rPr>
                <w:rFonts w:ascii="Cambria Math" w:hAnsi="Cambria Math" w:cs="宋体"/>
                <w:color w:val="231F20"/>
                <w:spacing w:val="1"/>
                <w:w w:val="102"/>
                <w:kern w:val="0"/>
              </w:rPr>
              <m:t>b</m:t>
            </m:r>
          </m:e>
          <m:sub>
            <m:r>
              <w:rPr>
                <w:rFonts w:ascii="Cambria Math" w:hAnsi="Cambria Math" w:cs="宋体"/>
                <w:color w:val="231F20"/>
                <w:spacing w:val="-30"/>
                <w:w w:val="102"/>
                <w:kern w:val="0"/>
                <w:position w:val="-3"/>
                <w:vertAlign w:val="subscript"/>
              </w:rPr>
              <m:t>1</m:t>
            </m:r>
          </m:sub>
        </m:sSub>
      </m:oMath>
      <w:r>
        <w:rPr>
          <w:rFonts w:ascii="宋体" w:hAnsi="宋体" w:cs="宋体"/>
          <w:color w:val="231F20"/>
          <w:spacing w:val="-68"/>
          <w:w w:val="102"/>
          <w:kern w:val="0"/>
        </w:rPr>
        <w:t>）</w:t>
      </w:r>
      <w:r>
        <w:rPr>
          <w:rFonts w:ascii="宋体" w:hAnsi="宋体" w:cs="宋体"/>
          <w:color w:val="231F20"/>
          <w:spacing w:val="5"/>
          <w:w w:val="102"/>
          <w:kern w:val="0"/>
        </w:rPr>
        <w:t>。在公式</w:t>
      </w:r>
      <w:r>
        <w:rPr>
          <w:rFonts w:ascii="宋体" w:hAnsi="宋体" w:cs="宋体"/>
          <w:color w:val="231F20"/>
          <w:spacing w:val="1"/>
          <w:w w:val="102"/>
          <w:kern w:val="0"/>
        </w:rPr>
        <w:t>(</w:t>
      </w:r>
      <w:r>
        <w:rPr>
          <w:rFonts w:ascii="宋体" w:hAnsi="宋体" w:cs="宋体"/>
          <w:color w:val="231F20"/>
          <w:spacing w:val="2"/>
          <w:w w:val="102"/>
          <w:kern w:val="0"/>
        </w:rPr>
        <w:t>3)</w:t>
      </w:r>
      <w:r>
        <w:rPr>
          <w:rFonts w:ascii="宋体" w:hAnsi="宋体" w:cs="宋体"/>
          <w:color w:val="231F20"/>
          <w:spacing w:val="9"/>
          <w:w w:val="102"/>
          <w:kern w:val="0"/>
        </w:rPr>
        <w:t>的基础上，令</w:t>
      </w:r>
      <m:oMath>
        <m:r>
          <w:rPr>
            <w:rFonts w:ascii="Cambria Math" w:hAnsi="Cambria Math" w:cs="宋体"/>
            <w:color w:val="231F20"/>
            <w:spacing w:val="2"/>
            <w:w w:val="102"/>
            <w:kern w:val="0"/>
          </w:rPr>
          <m:t>g=(1</m:t>
        </m:r>
        <m:r>
          <w:rPr>
            <w:rFonts w:ascii="Cambria Math" w:hAnsi="Cambria Math" w:cs="宋体"/>
            <w:color w:val="231F20"/>
            <w:w w:val="102"/>
            <w:kern w:val="0"/>
          </w:rPr>
          <m:t>,</m:t>
        </m:r>
        <m:r>
          <w:rPr>
            <w:rFonts w:ascii="Cambria Math" w:hAnsi="Cambria Math" w:cs="宋体"/>
            <w:color w:val="231F20"/>
            <w:spacing w:val="2"/>
            <w:w w:val="170"/>
            <w:kern w:val="0"/>
          </w:rPr>
          <m:t>-</m:t>
        </m:r>
        <m:r>
          <w:rPr>
            <w:rFonts w:ascii="Cambria Math" w:hAnsi="Cambria Math" w:cs="宋体"/>
            <w:color w:val="231F20"/>
            <w:spacing w:val="2"/>
            <w:w w:val="102"/>
            <w:kern w:val="0"/>
          </w:rPr>
          <m:t>1</m:t>
        </m:r>
        <m:r>
          <w:rPr>
            <w:rFonts w:ascii="Cambria Math" w:hAnsi="Cambria Math" w:cs="宋体"/>
            <w:color w:val="231F20"/>
            <w:spacing w:val="1"/>
            <w:w w:val="102"/>
            <w:kern w:val="0"/>
          </w:rPr>
          <m:t>)</m:t>
        </m:r>
      </m:oMath>
      <w:r>
        <w:rPr>
          <w:rFonts w:ascii="宋体" w:hAnsi="宋体" w:cs="宋体"/>
          <w:color w:val="231F20"/>
          <w:spacing w:val="18"/>
          <w:w w:val="102"/>
          <w:kern w:val="0"/>
        </w:rPr>
        <w:t>，以</w:t>
      </w:r>
      <w:r>
        <w:rPr>
          <w:rFonts w:ascii="宋体" w:hAnsi="宋体" w:cs="宋体"/>
          <w:color w:val="231F20"/>
          <w:spacing w:val="2"/>
          <w:w w:val="102"/>
          <w:kern w:val="0"/>
        </w:rPr>
        <w:t>CO</w:t>
      </w:r>
      <w:r>
        <w:rPr>
          <w:rFonts w:ascii="宋体" w:hAnsi="宋体" w:cs="宋体"/>
          <w:color w:val="231F20"/>
          <w:w w:val="99"/>
          <w:kern w:val="0"/>
          <w:position w:val="-3"/>
        </w:rPr>
        <w:t>2</w:t>
      </w:r>
      <w:r>
        <w:rPr>
          <w:rFonts w:ascii="宋体" w:hAnsi="宋体" w:cs="宋体"/>
          <w:color w:val="231F20"/>
          <w:spacing w:val="2"/>
          <w:w w:val="102"/>
          <w:kern w:val="0"/>
        </w:rPr>
        <w:t>排放</w:t>
      </w:r>
      <w:r>
        <w:rPr>
          <w:rFonts w:ascii="宋体" w:hAnsi="宋体" w:cs="宋体"/>
          <w:color w:val="231F20"/>
          <w:spacing w:val="30"/>
          <w:w w:val="102"/>
          <w:kern w:val="0"/>
        </w:rPr>
        <w:t>量</w:t>
      </w:r>
      <m:oMath>
        <m:sSub>
          <m:sSubPr>
            <m:ctrlPr>
              <w:rPr>
                <w:rFonts w:ascii="Cambria Math" w:hAnsi="Cambria Math" w:cs="宋体"/>
                <w:i/>
                <w:color w:val="231F20"/>
                <w:spacing w:val="1"/>
                <w:w w:val="102"/>
                <w:kern w:val="0"/>
              </w:rPr>
            </m:ctrlPr>
          </m:sSubPr>
          <m:e>
            <m:r>
              <w:rPr>
                <w:rFonts w:ascii="Cambria Math" w:hAnsi="Cambria Math" w:cs="宋体"/>
                <w:color w:val="231F20"/>
                <w:spacing w:val="1"/>
                <w:w w:val="102"/>
                <w:kern w:val="0"/>
              </w:rPr>
              <m:t>b</m:t>
            </m:r>
          </m:e>
          <m:sub>
            <m:r>
              <w:rPr>
                <w:rFonts w:ascii="Cambria Math" w:hAnsi="Cambria Math" w:cs="宋体"/>
                <w:color w:val="231F20"/>
                <w:spacing w:val="-30"/>
                <w:w w:val="102"/>
                <w:kern w:val="0"/>
                <w:position w:val="-3"/>
                <w:vertAlign w:val="subscript"/>
              </w:rPr>
              <m:t>1</m:t>
            </m:r>
          </m:sub>
        </m:sSub>
      </m:oMath>
      <w:r>
        <w:rPr>
          <w:rFonts w:ascii="宋体" w:hAnsi="宋体" w:cs="宋体"/>
          <w:color w:val="231F20"/>
          <w:spacing w:val="9"/>
          <w:w w:val="102"/>
          <w:kern w:val="0"/>
        </w:rPr>
        <w:t>为被解释变量</w:t>
      </w:r>
      <w:r>
        <w:rPr>
          <w:rFonts w:ascii="宋体" w:hAnsi="宋体" w:cs="宋体"/>
          <w:color w:val="231F20"/>
          <w:spacing w:val="-28"/>
          <w:w w:val="102"/>
          <w:kern w:val="0"/>
        </w:rPr>
        <w:t>（</w:t>
      </w:r>
      <m:oMath>
        <m:r>
          <w:rPr>
            <w:rFonts w:ascii="Cambria Math" w:hAnsi="Cambria Math" w:cs="宋体"/>
            <w:color w:val="231F20"/>
            <w:spacing w:val="-28"/>
            <w:w w:val="102"/>
            <w:kern w:val="0"/>
          </w:rPr>
          <m:t>a=</m:t>
        </m:r>
        <m:sSub>
          <m:sSubPr>
            <m:ctrlPr>
              <w:rPr>
                <w:rFonts w:ascii="Cambria Math" w:hAnsi="Cambria Math" w:cs="宋体"/>
                <w:i/>
                <w:color w:val="231F20"/>
                <w:spacing w:val="1"/>
                <w:w w:val="102"/>
                <w:kern w:val="0"/>
              </w:rPr>
            </m:ctrlPr>
          </m:sSubPr>
          <m:e>
            <m:r>
              <w:rPr>
                <w:rFonts w:ascii="Cambria Math" w:hAnsi="Cambria Math" w:cs="宋体"/>
                <w:color w:val="231F20"/>
                <w:spacing w:val="1"/>
                <w:w w:val="102"/>
                <w:kern w:val="0"/>
              </w:rPr>
              <m:t>b</m:t>
            </m:r>
          </m:e>
          <m:sub>
            <m:r>
              <w:rPr>
                <w:rFonts w:ascii="Cambria Math" w:hAnsi="Cambria Math" w:cs="宋体"/>
                <w:color w:val="231F20"/>
                <w:spacing w:val="-30"/>
                <w:w w:val="102"/>
                <w:kern w:val="0"/>
                <w:position w:val="-3"/>
                <w:vertAlign w:val="subscript"/>
              </w:rPr>
              <m:t>1</m:t>
            </m:r>
          </m:sub>
        </m:sSub>
      </m:oMath>
      <w:r>
        <w:rPr>
          <w:rFonts w:ascii="宋体" w:hAnsi="宋体" w:cs="宋体"/>
          <w:color w:val="231F20"/>
          <w:spacing w:val="-69"/>
          <w:w w:val="102"/>
          <w:kern w:val="0"/>
        </w:rPr>
        <w:t>）</w:t>
      </w:r>
      <w:r>
        <w:rPr>
          <w:rFonts w:ascii="宋体" w:hAnsi="宋体" w:cs="宋体"/>
          <w:color w:val="231F20"/>
          <w:spacing w:val="3"/>
          <w:w w:val="102"/>
          <w:kern w:val="0"/>
        </w:rPr>
        <w:t>，则可以推导出：</w:t>
      </w:r>
    </w:p>
    <w:p w14:paraId="0BF88E84" w14:textId="77777777" w:rsidR="00F146E7" w:rsidRDefault="00000000" w:rsidP="00F146E7">
      <w:pPr>
        <w:autoSpaceDE w:val="0"/>
        <w:autoSpaceDN w:val="0"/>
        <w:ind w:firstLineChars="188" w:firstLine="451"/>
        <w:rPr>
          <w:rFonts w:ascii="宋体" w:hAnsi="宋体" w:cs="宋体"/>
          <w:kern w:val="0"/>
        </w:rPr>
      </w:pPr>
      <m:oMathPara>
        <m:oMath>
          <m:acc>
            <m:accPr>
              <m:chr m:val="⃑"/>
              <m:ctrlPr>
                <w:rPr>
                  <w:rFonts w:ascii="Cambria Math" w:hAnsi="Cambria Math"/>
                </w:rPr>
              </m:ctrlPr>
            </m:accPr>
            <m:e>
              <m:r>
                <w:rPr>
                  <w:rFonts w:ascii="Cambria Math" w:hAnsi="Cambria Math"/>
                </w:rPr>
                <m:t>D</m:t>
              </m:r>
            </m:e>
          </m:acc>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b,0</m:t>
              </m:r>
              <m:r>
                <m:rPr>
                  <m:sty m:val="p"/>
                </m:rPr>
                <w:rPr>
                  <w:rFonts w:ascii="Cambria Math" w:hAnsi="Cambria Math"/>
                </w:rPr>
                <m:t>;1,-1</m:t>
              </m:r>
            </m:e>
          </m:d>
          <m:r>
            <w:rPr>
              <w:rFonts w:ascii="Cambria Math" w:hAnsi="Cambria Math"/>
            </w:rPr>
            <m:t>+v-u=-b  (6)</m:t>
          </m:r>
        </m:oMath>
      </m:oMathPara>
    </w:p>
    <w:p w14:paraId="0CC9B46A" w14:textId="598010D4" w:rsidR="00897705" w:rsidRPr="00F146E7" w:rsidRDefault="00000000" w:rsidP="00F146E7">
      <w:pPr>
        <w:autoSpaceDE w:val="0"/>
        <w:autoSpaceDN w:val="0"/>
        <w:ind w:firstLineChars="188" w:firstLine="472"/>
        <w:rPr>
          <w:rFonts w:ascii="宋体" w:hAnsi="宋体" w:cs="宋体" w:hint="eastAsia"/>
          <w:kern w:val="0"/>
        </w:rPr>
      </w:pPr>
      <w:r>
        <w:rPr>
          <w:rFonts w:ascii="宋体" w:hAnsi="宋体" w:cs="宋体"/>
          <w:color w:val="231F20"/>
          <w:w w:val="105"/>
          <w:kern w:val="0"/>
        </w:rPr>
        <w:t>进一步地，根据公式(5)，我们可以将公式(6)进行推导并化简为：</w:t>
      </w:r>
    </w:p>
    <w:p w14:paraId="311B006E" w14:textId="77777777" w:rsidR="00897705" w:rsidRDefault="00000000">
      <w:pPr>
        <w:rPr>
          <w:rFonts w:ascii="宋体" w:hAnsi="宋体"/>
        </w:rPr>
      </w:pPr>
      <m:oMathPara>
        <m:oMath>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α</m:t>
              </m:r>
            </m:e>
            <m:sub>
              <m:r>
                <w:rPr>
                  <w:rFonts w:ascii="Cambria Math" w:hAnsi="Cambria Math"/>
                </w:rPr>
                <m:t>1</m:t>
              </m:r>
            </m:sub>
          </m:sSub>
          <m:r>
            <w:rPr>
              <w:rFonts w:ascii="Cambria Math" w:hAnsi="Cambria Math"/>
            </w:rPr>
            <m:t>+</m:t>
          </m:r>
          <m:nary>
            <m:naryPr>
              <m:chr m:val="∑"/>
              <m:limLoc m:val="subSup"/>
              <m:ctrlPr>
                <w:rPr>
                  <w:rFonts w:ascii="Cambria Math" w:hAnsi="Cambria Math" w:cs="宋体"/>
                  <w:i/>
                </w:rPr>
              </m:ctrlPr>
            </m:naryPr>
            <m:sub>
              <m:r>
                <w:rPr>
                  <w:rFonts w:ascii="Cambria Math" w:hAnsi="Cambria Math" w:cs="宋体"/>
                </w:rPr>
                <m:t>n=1</m:t>
              </m:r>
            </m:sub>
            <m:sup>
              <m:r>
                <w:rPr>
                  <w:rFonts w:ascii="Cambria Math" w:hAnsi="Cambria Math" w:cs="宋体"/>
                </w:rPr>
                <m:t>3</m:t>
              </m:r>
            </m:sup>
            <m:e>
              <m:sSub>
                <m:sSubPr>
                  <m:ctrlPr>
                    <w:rPr>
                      <w:rFonts w:ascii="Cambria Math" w:hAnsi="Cambria Math" w:cs="宋体"/>
                      <w:i/>
                    </w:rPr>
                  </m:ctrlPr>
                </m:sSubPr>
                <m:e>
                  <m:r>
                    <w:rPr>
                      <w:rFonts w:ascii="Cambria Math" w:hAnsi="Cambria Math" w:cs="宋体"/>
                    </w:rPr>
                    <m:t>a</m:t>
                  </m:r>
                </m:e>
                <m:sub>
                  <m:r>
                    <w:rPr>
                      <w:rFonts w:ascii="Cambria Math" w:hAnsi="Cambria Math" w:cs="宋体"/>
                    </w:rPr>
                    <m:t>n</m:t>
                  </m:r>
                </m:sub>
              </m:sSub>
              <m:sSub>
                <m:sSubPr>
                  <m:ctrlPr>
                    <w:rPr>
                      <w:rFonts w:ascii="Cambria Math" w:hAnsi="Cambria Math" w:cs="宋体"/>
                      <w:i/>
                    </w:rPr>
                  </m:ctrlPr>
                </m:sSubPr>
                <m:e>
                  <m:r>
                    <w:rPr>
                      <w:rFonts w:ascii="Cambria Math" w:hAnsi="Cambria Math" w:cs="宋体"/>
                    </w:rPr>
                    <m:t>x</m:t>
                  </m:r>
                </m:e>
                <m:sub>
                  <m:r>
                    <w:rPr>
                      <w:rFonts w:ascii="Cambria Math" w:hAnsi="Cambria Math" w:cs="宋体"/>
                    </w:rPr>
                    <m:t>n</m:t>
                  </m:r>
                </m:sub>
              </m:sSub>
              <m:r>
                <w:rPr>
                  <w:rFonts w:ascii="Cambria Math" w:hAnsi="Cambria Math" w:cs="宋体"/>
                </w:rPr>
                <m:t>+</m:t>
              </m:r>
              <m:sSub>
                <m:sSubPr>
                  <m:ctrlPr>
                    <w:rPr>
                      <w:rFonts w:ascii="Cambria Math" w:hAnsi="Cambria Math" w:cs="宋体"/>
                      <w:i/>
                    </w:rPr>
                  </m:ctrlPr>
                </m:sSubPr>
                <m:e>
                  <m:r>
                    <w:rPr>
                      <w:rFonts w:ascii="Cambria Math" w:hAnsi="Cambria Math" w:cs="宋体" w:hint="eastAsia"/>
                    </w:rPr>
                    <m:t>β</m:t>
                  </m:r>
                  <m:ctrlPr>
                    <w:rPr>
                      <w:rFonts w:ascii="Cambria Math" w:hAnsi="Cambria Math" w:cs="宋体" w:hint="eastAsia"/>
                      <w:i/>
                    </w:rPr>
                  </m:ctrlPr>
                </m:e>
                <m:sub>
                  <m:r>
                    <w:rPr>
                      <w:rFonts w:ascii="Cambria Math" w:hAnsi="Cambria Math" w:cs="宋体"/>
                    </w:rPr>
                    <m:t>1</m:t>
                  </m:r>
                </m:sub>
              </m:sSub>
              <m:d>
                <m:dPr>
                  <m:ctrlPr>
                    <w:rPr>
                      <w:rFonts w:ascii="Cambria Math" w:hAnsi="Cambria Math" w:cs="宋体"/>
                      <w:i/>
                    </w:rPr>
                  </m:ctrlPr>
                </m:dPr>
                <m:e>
                  <m:sSub>
                    <m:sSubPr>
                      <m:ctrlPr>
                        <w:rPr>
                          <w:rFonts w:ascii="Cambria Math" w:hAnsi="Cambria Math" w:cs="宋体"/>
                          <w:i/>
                        </w:rPr>
                      </m:ctrlPr>
                    </m:sSubPr>
                    <m:e>
                      <m:r>
                        <w:rPr>
                          <w:rFonts w:ascii="Cambria Math" w:hAnsi="Cambria Math" w:cs="宋体"/>
                        </w:rPr>
                        <m:t>y</m:t>
                      </m:r>
                    </m:e>
                    <m:sub>
                      <m:r>
                        <w:rPr>
                          <w:rFonts w:ascii="Cambria Math" w:hAnsi="Cambria Math" w:cs="宋体"/>
                        </w:rPr>
                        <m:t>1</m:t>
                      </m:r>
                    </m:sub>
                  </m:sSub>
                  <m:r>
                    <w:rPr>
                      <w:rFonts w:ascii="Cambria Math" w:hAnsi="Cambria Math" w:cs="宋体"/>
                    </w:rPr>
                    <m:t>+</m:t>
                  </m:r>
                  <m:sSub>
                    <m:sSubPr>
                      <m:ctrlPr>
                        <w:rPr>
                          <w:rFonts w:ascii="Cambria Math" w:hAnsi="Cambria Math" w:cs="宋体"/>
                          <w:i/>
                        </w:rPr>
                      </m:ctrlPr>
                    </m:sSubPr>
                    <m:e>
                      <m:r>
                        <w:rPr>
                          <w:rFonts w:ascii="Cambria Math" w:hAnsi="Cambria Math" w:cs="宋体"/>
                        </w:rPr>
                        <m:t>b</m:t>
                      </m:r>
                    </m:e>
                    <m:sub>
                      <m:r>
                        <w:rPr>
                          <w:rFonts w:ascii="Cambria Math" w:hAnsi="Cambria Math" w:cs="宋体"/>
                        </w:rPr>
                        <m:t>1</m:t>
                      </m:r>
                    </m:sub>
                  </m:sSub>
                </m:e>
              </m:d>
              <m:r>
                <w:rPr>
                  <w:rFonts w:ascii="Cambria Math" w:hAnsi="Cambria Math" w:cs="宋体"/>
                </w:rPr>
                <m:t>+</m:t>
              </m:r>
              <m:f>
                <m:fPr>
                  <m:ctrlPr>
                    <w:rPr>
                      <w:rFonts w:ascii="Cambria Math" w:hAnsi="Cambria Math" w:cs="宋体"/>
                      <w:i/>
                    </w:rPr>
                  </m:ctrlPr>
                </m:fPr>
                <m:num>
                  <m:r>
                    <w:rPr>
                      <w:rFonts w:ascii="Cambria Math" w:hAnsi="Cambria Math" w:cs="宋体"/>
                    </w:rPr>
                    <m:t>1</m:t>
                  </m:r>
                </m:num>
                <m:den>
                  <m:r>
                    <w:rPr>
                      <w:rFonts w:ascii="Cambria Math" w:hAnsi="Cambria Math" w:cs="宋体"/>
                    </w:rPr>
                    <m:t>2</m:t>
                  </m:r>
                </m:den>
              </m:f>
              <m:nary>
                <m:naryPr>
                  <m:chr m:val="∑"/>
                  <m:limLoc m:val="subSup"/>
                  <m:ctrlPr>
                    <w:rPr>
                      <w:rFonts w:ascii="Cambria Math" w:hAnsi="Cambria Math" w:cs="宋体"/>
                      <w:i/>
                    </w:rPr>
                  </m:ctrlPr>
                </m:naryPr>
                <m:sub>
                  <m:r>
                    <w:rPr>
                      <w:rFonts w:ascii="Cambria Math" w:hAnsi="Cambria Math" w:cs="宋体"/>
                    </w:rPr>
                    <m:t>n=1</m:t>
                  </m:r>
                </m:sub>
                <m:sup>
                  <m:r>
                    <w:rPr>
                      <w:rFonts w:ascii="Cambria Math" w:hAnsi="Cambria Math" w:cs="宋体"/>
                    </w:rPr>
                    <m:t>3</m:t>
                  </m:r>
                </m:sup>
                <m:e>
                  <m:nary>
                    <m:naryPr>
                      <m:chr m:val="∑"/>
                      <m:limLoc m:val="subSup"/>
                      <m:ctrlPr>
                        <w:rPr>
                          <w:rFonts w:ascii="Cambria Math" w:hAnsi="Cambria Math" w:cs="宋体"/>
                          <w:i/>
                        </w:rPr>
                      </m:ctrlPr>
                    </m:naryPr>
                    <m:sub>
                      <m:r>
                        <w:rPr>
                          <w:rFonts w:ascii="Cambria Math" w:hAnsi="Cambria Math" w:cs="宋体"/>
                        </w:rPr>
                        <m:t>n=1</m:t>
                      </m:r>
                    </m:sub>
                    <m:sup>
                      <m:r>
                        <w:rPr>
                          <w:rFonts w:ascii="Cambria Math" w:hAnsi="Cambria Math" w:cs="宋体"/>
                        </w:rPr>
                        <m:t>3</m:t>
                      </m:r>
                    </m:sup>
                    <m:e>
                      <m:sSub>
                        <m:sSubPr>
                          <m:ctrlPr>
                            <w:rPr>
                              <w:rFonts w:ascii="Cambria Math" w:hAnsi="Cambria Math" w:cs="宋体"/>
                              <w:i/>
                            </w:rPr>
                          </m:ctrlPr>
                        </m:sSubPr>
                        <m:e>
                          <m:r>
                            <w:rPr>
                              <w:rFonts w:ascii="Cambria Math" w:hAnsi="Cambria Math" w:cs="宋体"/>
                            </w:rPr>
                            <m:t>a</m:t>
                          </m:r>
                        </m:e>
                        <m:sub>
                          <m:r>
                            <w:rPr>
                              <w:rFonts w:ascii="Cambria Math" w:hAnsi="Cambria Math" w:cs="宋体"/>
                            </w:rPr>
                            <m:t>n,n</m:t>
                          </m:r>
                        </m:sub>
                      </m:sSub>
                      <m:sSub>
                        <m:sSubPr>
                          <m:ctrlPr>
                            <w:rPr>
                              <w:rFonts w:ascii="Cambria Math" w:hAnsi="Cambria Math" w:cs="宋体"/>
                              <w:i/>
                            </w:rPr>
                          </m:ctrlPr>
                        </m:sSubPr>
                        <m:e>
                          <m:r>
                            <w:rPr>
                              <w:rFonts w:ascii="Cambria Math" w:hAnsi="Cambria Math" w:cs="宋体"/>
                            </w:rPr>
                            <m:t>x</m:t>
                          </m:r>
                        </m:e>
                        <m:sub>
                          <m:r>
                            <w:rPr>
                              <w:rFonts w:ascii="Cambria Math" w:hAnsi="Cambria Math" w:cs="宋体"/>
                            </w:rPr>
                            <m:t>n</m:t>
                          </m:r>
                        </m:sub>
                      </m:sSub>
                      <m:sSub>
                        <m:sSubPr>
                          <m:ctrlPr>
                            <w:rPr>
                              <w:rFonts w:ascii="Cambria Math" w:hAnsi="Cambria Math" w:cs="宋体"/>
                              <w:i/>
                            </w:rPr>
                          </m:ctrlPr>
                        </m:sSubPr>
                        <m:e>
                          <m:r>
                            <w:rPr>
                              <w:rFonts w:ascii="Cambria Math" w:hAnsi="Cambria Math" w:cs="宋体"/>
                            </w:rPr>
                            <m:t>x</m:t>
                          </m:r>
                        </m:e>
                        <m:sub>
                          <m:r>
                            <w:rPr>
                              <w:rFonts w:ascii="Cambria Math" w:hAnsi="Cambria Math" w:cs="宋体"/>
                            </w:rPr>
                            <m:t>n</m:t>
                          </m:r>
                        </m:sub>
                      </m:sSub>
                      <m:r>
                        <w:rPr>
                          <w:rFonts w:ascii="Cambria Math" w:hAnsi="Cambria Math" w:cs="宋体"/>
                        </w:rPr>
                        <m:t>+</m:t>
                      </m:r>
                      <m:f>
                        <m:fPr>
                          <m:ctrlPr>
                            <w:rPr>
                              <w:rFonts w:ascii="Cambria Math" w:hAnsi="Cambria Math" w:cs="宋体"/>
                              <w:i/>
                            </w:rPr>
                          </m:ctrlPr>
                        </m:fPr>
                        <m:num>
                          <m:r>
                            <w:rPr>
                              <w:rFonts w:ascii="Cambria Math" w:hAnsi="Cambria Math" w:cs="宋体"/>
                            </w:rPr>
                            <m:t>1</m:t>
                          </m:r>
                        </m:num>
                        <m:den>
                          <m:r>
                            <w:rPr>
                              <w:rFonts w:ascii="Cambria Math" w:hAnsi="Cambria Math" w:cs="宋体"/>
                            </w:rPr>
                            <m:t>2</m:t>
                          </m:r>
                        </m:den>
                      </m:f>
                      <m:sSub>
                        <m:sSubPr>
                          <m:ctrlPr>
                            <w:rPr>
                              <w:rFonts w:ascii="Cambria Math" w:hAnsi="Cambria Math" w:cs="宋体"/>
                              <w:i/>
                            </w:rPr>
                          </m:ctrlPr>
                        </m:sSubPr>
                        <m:e>
                          <m:r>
                            <w:rPr>
                              <w:rFonts w:ascii="Cambria Math" w:hAnsi="Cambria Math" w:cs="宋体" w:hint="eastAsia"/>
                            </w:rPr>
                            <m:t>β</m:t>
                          </m:r>
                          <m:ctrlPr>
                            <w:rPr>
                              <w:rFonts w:ascii="Cambria Math" w:hAnsi="Cambria Math" w:cs="宋体" w:hint="eastAsia"/>
                              <w:i/>
                            </w:rPr>
                          </m:ctrlPr>
                        </m:e>
                        <m:sub>
                          <m:r>
                            <w:rPr>
                              <w:rFonts w:ascii="Cambria Math" w:hAnsi="Cambria Math" w:cs="宋体"/>
                            </w:rPr>
                            <m:t>11</m:t>
                          </m:r>
                        </m:sub>
                      </m:sSub>
                      <m:sSup>
                        <m:sSupPr>
                          <m:ctrlPr>
                            <w:rPr>
                              <w:rFonts w:ascii="Cambria Math" w:hAnsi="Cambria Math" w:cs="宋体"/>
                              <w:i/>
                            </w:rPr>
                          </m:ctrlPr>
                        </m:sSupPr>
                        <m:e>
                          <m:d>
                            <m:dPr>
                              <m:ctrlPr>
                                <w:rPr>
                                  <w:rFonts w:ascii="Cambria Math" w:hAnsi="Cambria Math" w:cs="宋体"/>
                                  <w:i/>
                                </w:rPr>
                              </m:ctrlPr>
                            </m:dPr>
                            <m:e>
                              <m:sSub>
                                <m:sSubPr>
                                  <m:ctrlPr>
                                    <w:rPr>
                                      <w:rFonts w:ascii="Cambria Math" w:hAnsi="Cambria Math" w:cs="宋体"/>
                                      <w:i/>
                                    </w:rPr>
                                  </m:ctrlPr>
                                </m:sSubPr>
                                <m:e>
                                  <m:r>
                                    <w:rPr>
                                      <w:rFonts w:ascii="Cambria Math" w:hAnsi="Cambria Math" w:cs="宋体"/>
                                    </w:rPr>
                                    <m:t>y</m:t>
                                  </m:r>
                                </m:e>
                                <m:sub>
                                  <m:r>
                                    <w:rPr>
                                      <w:rFonts w:ascii="Cambria Math" w:hAnsi="Cambria Math" w:cs="宋体"/>
                                    </w:rPr>
                                    <m:t>1</m:t>
                                  </m:r>
                                </m:sub>
                              </m:sSub>
                              <m:r>
                                <w:rPr>
                                  <w:rFonts w:ascii="Cambria Math" w:hAnsi="Cambria Math" w:cs="宋体"/>
                                </w:rPr>
                                <m:t>+</m:t>
                              </m:r>
                              <m:sSub>
                                <m:sSubPr>
                                  <m:ctrlPr>
                                    <w:rPr>
                                      <w:rFonts w:ascii="Cambria Math" w:hAnsi="Cambria Math" w:cs="宋体"/>
                                      <w:i/>
                                    </w:rPr>
                                  </m:ctrlPr>
                                </m:sSubPr>
                                <m:e>
                                  <m:r>
                                    <w:rPr>
                                      <w:rFonts w:ascii="Cambria Math" w:hAnsi="Cambria Math" w:cs="宋体"/>
                                    </w:rPr>
                                    <m:t>b</m:t>
                                  </m:r>
                                </m:e>
                                <m:sub>
                                  <m:r>
                                    <w:rPr>
                                      <w:rFonts w:ascii="Cambria Math" w:hAnsi="Cambria Math" w:cs="宋体"/>
                                    </w:rPr>
                                    <m:t>1</m:t>
                                  </m:r>
                                </m:sub>
                              </m:sSub>
                            </m:e>
                          </m:d>
                        </m:e>
                        <m:sup>
                          <m:r>
                            <w:rPr>
                              <w:rFonts w:ascii="Cambria Math" w:hAnsi="Cambria Math" w:cs="宋体"/>
                            </w:rPr>
                            <m:t>2</m:t>
                          </m:r>
                        </m:sup>
                      </m:sSup>
                      <m:r>
                        <w:rPr>
                          <w:rFonts w:ascii="Cambria Math" w:hAnsi="Cambria Math" w:cs="宋体"/>
                        </w:rPr>
                        <m:t>+</m:t>
                      </m:r>
                      <m:nary>
                        <m:naryPr>
                          <m:chr m:val="∑"/>
                          <m:limLoc m:val="subSup"/>
                          <m:ctrlPr>
                            <w:rPr>
                              <w:rFonts w:ascii="Cambria Math" w:hAnsi="Cambria Math" w:cs="宋体"/>
                              <w:i/>
                            </w:rPr>
                          </m:ctrlPr>
                        </m:naryPr>
                        <m:sub>
                          <m:r>
                            <w:rPr>
                              <w:rFonts w:ascii="Cambria Math" w:hAnsi="Cambria Math" w:cs="宋体"/>
                            </w:rPr>
                            <m:t>n=1</m:t>
                          </m:r>
                        </m:sub>
                        <m:sup>
                          <m:r>
                            <w:rPr>
                              <w:rFonts w:ascii="Cambria Math" w:hAnsi="Cambria Math" w:cs="宋体"/>
                            </w:rPr>
                            <m:t>3</m:t>
                          </m:r>
                        </m:sup>
                        <m:e>
                          <m:sSub>
                            <m:sSubPr>
                              <m:ctrlPr>
                                <w:rPr>
                                  <w:rFonts w:ascii="Cambria Math" w:hAnsi="Cambria Math" w:cs="宋体"/>
                                  <w:i/>
                                </w:rPr>
                              </m:ctrlPr>
                            </m:sSubPr>
                            <m:e>
                              <m:r>
                                <w:rPr>
                                  <w:rFonts w:ascii="Cambria Math" w:hAnsi="Cambria Math" w:cs="宋体" w:hint="eastAsia"/>
                                </w:rPr>
                                <m:t>δ</m:t>
                              </m:r>
                              <m:ctrlPr>
                                <w:rPr>
                                  <w:rFonts w:ascii="Cambria Math" w:hAnsi="Cambria Math" w:cs="宋体" w:hint="eastAsia"/>
                                  <w:i/>
                                </w:rPr>
                              </m:ctrlPr>
                            </m:e>
                            <m:sub>
                              <m:r>
                                <w:rPr>
                                  <w:rFonts w:ascii="Cambria Math" w:hAnsi="Cambria Math" w:cs="宋体"/>
                                </w:rPr>
                                <m:t>n1</m:t>
                              </m:r>
                            </m:sub>
                          </m:sSub>
                          <m:sSub>
                            <m:sSubPr>
                              <m:ctrlPr>
                                <w:rPr>
                                  <w:rFonts w:ascii="Cambria Math" w:hAnsi="Cambria Math" w:cs="宋体"/>
                                  <w:i/>
                                </w:rPr>
                              </m:ctrlPr>
                            </m:sSubPr>
                            <m:e>
                              <m:r>
                                <w:rPr>
                                  <w:rFonts w:ascii="Cambria Math" w:hAnsi="Cambria Math" w:cs="宋体"/>
                                </w:rPr>
                                <m:t>x</m:t>
                              </m:r>
                            </m:e>
                            <m:sub>
                              <m:r>
                                <w:rPr>
                                  <w:rFonts w:ascii="Cambria Math" w:hAnsi="Cambria Math" w:cs="宋体"/>
                                </w:rPr>
                                <m:t>n</m:t>
                              </m:r>
                            </m:sub>
                          </m:sSub>
                          <m:sSub>
                            <m:sSubPr>
                              <m:ctrlPr>
                                <w:rPr>
                                  <w:rFonts w:ascii="Cambria Math" w:hAnsi="Cambria Math" w:cs="宋体"/>
                                  <w:i/>
                                </w:rPr>
                              </m:ctrlPr>
                            </m:sSubPr>
                            <m:e>
                              <m:r>
                                <w:rPr>
                                  <w:rFonts w:ascii="Cambria Math" w:hAnsi="Cambria Math" w:cs="宋体"/>
                                </w:rPr>
                                <m:t>(y</m:t>
                              </m:r>
                            </m:e>
                            <m:sub>
                              <m:r>
                                <w:rPr>
                                  <w:rFonts w:ascii="Cambria Math" w:hAnsi="Cambria Math" w:cs="宋体"/>
                                </w:rPr>
                                <m:t>1</m:t>
                              </m:r>
                            </m:sub>
                          </m:sSub>
                          <m:r>
                            <w:rPr>
                              <w:rFonts w:ascii="Cambria Math" w:hAnsi="Cambria Math" w:cs="宋体"/>
                            </w:rPr>
                            <m:t>+</m:t>
                          </m:r>
                          <m:sSub>
                            <m:sSubPr>
                              <m:ctrlPr>
                                <w:rPr>
                                  <w:rFonts w:ascii="Cambria Math" w:hAnsi="Cambria Math" w:cs="宋体"/>
                                  <w:i/>
                                </w:rPr>
                              </m:ctrlPr>
                            </m:sSubPr>
                            <m:e>
                              <m:r>
                                <w:rPr>
                                  <w:rFonts w:ascii="Cambria Math" w:hAnsi="Cambria Math" w:cs="宋体"/>
                                </w:rPr>
                                <m:t>b</m:t>
                              </m:r>
                            </m:e>
                            <m:sub>
                              <m:r>
                                <w:rPr>
                                  <w:rFonts w:ascii="Cambria Math" w:hAnsi="Cambria Math" w:cs="宋体"/>
                                </w:rPr>
                                <m:t>1</m:t>
                              </m:r>
                            </m:sub>
                          </m:sSub>
                          <m:r>
                            <w:rPr>
                              <w:rFonts w:ascii="Cambria Math" w:hAnsi="Cambria Math" w:cs="宋体"/>
                            </w:rPr>
                            <m:t>)+v-u</m:t>
                          </m:r>
                        </m:e>
                      </m:nary>
                      <m:r>
                        <w:rPr>
                          <w:rFonts w:ascii="Cambria Math" w:hAnsi="Cambria Math" w:cs="宋体"/>
                        </w:rPr>
                        <m:t xml:space="preserve">        </m:t>
                      </m:r>
                      <m:d>
                        <m:dPr>
                          <m:ctrlPr>
                            <w:rPr>
                              <w:rFonts w:ascii="Cambria Math" w:hAnsi="Cambria Math" w:cs="宋体"/>
                              <w:i/>
                            </w:rPr>
                          </m:ctrlPr>
                        </m:dPr>
                        <m:e>
                          <m:r>
                            <w:rPr>
                              <w:rFonts w:ascii="Cambria Math" w:hAnsi="Cambria Math" w:cs="宋体"/>
                            </w:rPr>
                            <m:t>7</m:t>
                          </m:r>
                        </m:e>
                      </m:d>
                    </m:e>
                  </m:nary>
                </m:e>
              </m:nary>
            </m:e>
          </m:nary>
        </m:oMath>
      </m:oMathPara>
    </w:p>
    <w:p w14:paraId="73EC3F18" w14:textId="77777777" w:rsidR="00897705" w:rsidRDefault="00000000">
      <w:pPr>
        <w:rPr>
          <w:rFonts w:ascii="宋体" w:hAnsi="宋体"/>
          <w:i/>
        </w:rPr>
      </w:pPr>
      <m:oMathPara>
        <m:oMath>
          <m:sSub>
            <m:sSubPr>
              <m:ctrlPr>
                <w:rPr>
                  <w:rFonts w:ascii="Cambria Math" w:hAnsi="Cambria Math"/>
                  <w:i/>
                </w:rPr>
              </m:ctrlPr>
            </m:sSubPr>
            <m:e>
              <m:r>
                <w:rPr>
                  <w:rFonts w:ascii="Cambria Math" w:hAnsi="Cambria Math" w:hint="eastAsia"/>
                </w:rPr>
                <m:t>β</m:t>
              </m:r>
              <m:ctrlPr>
                <w:rPr>
                  <w:rFonts w:ascii="Cambria Math" w:hAnsi="Cambria Math" w:hint="eastAsia"/>
                  <w:i/>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γ</m:t>
              </m:r>
            </m:e>
            <m:sub>
              <m:r>
                <w:rPr>
                  <w:rFonts w:ascii="Cambria Math" w:hAnsi="Cambria Math"/>
                </w:rPr>
                <m:t>1</m:t>
              </m:r>
            </m:sub>
          </m:sSub>
          <m:r>
            <w:rPr>
              <w:rFonts w:ascii="Cambria Math" w:hAnsi="Cambria Math"/>
            </w:rPr>
            <m:t xml:space="preserve">=-1; </m:t>
          </m:r>
          <m:sSub>
            <m:sSubPr>
              <m:ctrlPr>
                <w:rPr>
                  <w:rFonts w:ascii="Cambria Math" w:hAnsi="Cambria Math"/>
                  <w:i/>
                </w:rPr>
              </m:ctrlPr>
            </m:sSubPr>
            <m:e>
              <m:r>
                <w:rPr>
                  <w:rFonts w:ascii="Cambria Math" w:hAnsi="Cambria Math" w:hint="eastAsia"/>
                </w:rPr>
                <m:t>β</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hint="eastAsia"/>
                </w:rPr>
                <m:t>γ</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hint="eastAsia"/>
                </w:rPr>
                <m:t>μ</m:t>
              </m:r>
            </m:e>
            <m:sub>
              <m:r>
                <w:rPr>
                  <w:rFonts w:ascii="Cambria Math" w:hAnsi="Cambria Math"/>
                </w:rPr>
                <m:t>11</m:t>
              </m:r>
            </m:sub>
          </m:sSub>
          <m:r>
            <w:rPr>
              <w:rFonts w:ascii="Cambria Math" w:hAnsi="Cambria Math"/>
            </w:rPr>
            <m:t xml:space="preserve">; </m:t>
          </m:r>
          <m:sSub>
            <m:sSubPr>
              <m:ctrlPr>
                <w:rPr>
                  <w:rFonts w:ascii="Cambria Math" w:hAnsi="Cambria Math"/>
                  <w:i/>
                </w:rPr>
              </m:ctrlPr>
            </m:sSubPr>
            <m:e>
              <m:r>
                <w:rPr>
                  <w:rFonts w:ascii="Cambria Math" w:hAnsi="Cambria Math" w:hint="eastAsia"/>
                </w:rPr>
                <m:t>δ</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hint="eastAsia"/>
                </w:rPr>
                <m:t>η</m:t>
              </m:r>
            </m:e>
            <m:sub>
              <m:r>
                <w:rPr>
                  <w:rFonts w:ascii="Cambria Math" w:hAnsi="Cambria Math"/>
                </w:rPr>
                <m:t>n1</m:t>
              </m:r>
            </m:sub>
          </m:sSub>
        </m:oMath>
      </m:oMathPara>
    </w:p>
    <w:p w14:paraId="493D7254" w14:textId="77777777" w:rsidR="00897705" w:rsidRDefault="00000000">
      <w:pPr>
        <w:ind w:firstLineChars="200" w:firstLine="480"/>
        <w:rPr>
          <w:rFonts w:ascii="宋体" w:hAnsi="宋体"/>
        </w:rPr>
      </w:pPr>
      <w:r>
        <w:rPr>
          <w:rFonts w:ascii="宋体" w:hAnsi="宋体" w:hint="eastAsia"/>
        </w:rPr>
        <w:t>其中</w:t>
      </w:r>
      <m:oMath>
        <m:r>
          <w:rPr>
            <w:rFonts w:ascii="Cambria Math" w:hAnsi="Cambria Math"/>
          </w:rPr>
          <m:t>u=D(x, y, b;g)</m:t>
        </m:r>
      </m:oMath>
      <w:r>
        <w:rPr>
          <w:rFonts w:ascii="宋体" w:hAnsi="宋体" w:hint="eastAsia"/>
        </w:rPr>
        <w:t>，表示决策单元的无效率值。</w:t>
      </w:r>
    </w:p>
    <w:p w14:paraId="5557EF09" w14:textId="77777777" w:rsidR="00897705" w:rsidRDefault="00000000">
      <w:pPr>
        <w:ind w:firstLineChars="200" w:firstLine="480"/>
        <w:rPr>
          <w:rFonts w:ascii="宋体" w:hAnsi="宋体"/>
        </w:rPr>
      </w:pPr>
      <w:r>
        <w:rPr>
          <w:rFonts w:ascii="宋体" w:hAnsi="宋体" w:hint="eastAsia"/>
        </w:rPr>
        <w:t>本文利用以下公式对CO2影子价格进行估算：</w:t>
      </w:r>
    </w:p>
    <w:p w14:paraId="297A030A" w14:textId="77777777" w:rsidR="00897705" w:rsidRDefault="00000000">
      <w:pPr>
        <w:rPr>
          <w:rFonts w:ascii="宋体" w:hAnsi="宋体"/>
        </w:rPr>
      </w:pPr>
      <m:oMathPara>
        <m:oMath>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f>
            <m:fPr>
              <m:ctrlPr>
                <w:rPr>
                  <w:rFonts w:ascii="Cambria Math" w:hAnsi="Cambria Math"/>
                  <w:i/>
                </w:rPr>
              </m:ctrlPr>
            </m:fPr>
            <m:num>
              <m:r>
                <w:rPr>
                  <w:rFonts w:ascii="Cambria Math" w:hAnsi="Cambria Math"/>
                </w:rPr>
                <m:t>∂</m:t>
              </m:r>
              <m:acc>
                <m:accPr>
                  <m:chr m:val="⃑"/>
                  <m:ctrlPr>
                    <w:rPr>
                      <w:rFonts w:ascii="Cambria Math" w:hAnsi="Cambria Math"/>
                    </w:rPr>
                  </m:ctrlPr>
                </m:accPr>
                <m:e>
                  <m:sSub>
                    <m:sSubPr>
                      <m:ctrlPr>
                        <w:rPr>
                          <w:rFonts w:ascii="Cambria Math" w:hAnsi="Cambria Math"/>
                          <w:i/>
                          <w:iCs/>
                        </w:rPr>
                      </m:ctrlPr>
                    </m:sSubPr>
                    <m:e>
                      <m:r>
                        <w:rPr>
                          <w:rFonts w:ascii="Cambria Math" w:hAnsi="Cambria Math"/>
                        </w:rPr>
                        <m:t>D</m:t>
                      </m:r>
                    </m:e>
                    <m:sub>
                      <m:r>
                        <w:rPr>
                          <w:rFonts w:ascii="Cambria Math" w:hAnsi="Cambria Math"/>
                        </w:rPr>
                        <m:t>i</m:t>
                      </m:r>
                    </m:sub>
                  </m:sSub>
                </m:e>
              </m:acc>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g</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num>
            <m:den>
              <m:r>
                <w:rPr>
                  <w:rFonts w:ascii="Cambria Math" w:hAnsi="Cambria Math"/>
                </w:rPr>
                <m:t>∂</m:t>
              </m:r>
              <m:acc>
                <m:accPr>
                  <m:chr m:val="⃑"/>
                  <m:ctrlPr>
                    <w:rPr>
                      <w:rFonts w:ascii="Cambria Math" w:hAnsi="Cambria Math"/>
                    </w:rPr>
                  </m:ctrlPr>
                </m:accPr>
                <m:e>
                  <m:sSub>
                    <m:sSubPr>
                      <m:ctrlPr>
                        <w:rPr>
                          <w:rFonts w:ascii="Cambria Math" w:hAnsi="Cambria Math"/>
                          <w:i/>
                          <w:iCs/>
                        </w:rPr>
                      </m:ctrlPr>
                    </m:sSubPr>
                    <m:e>
                      <m:r>
                        <w:rPr>
                          <w:rFonts w:ascii="Cambria Math" w:hAnsi="Cambria Math"/>
                        </w:rPr>
                        <m:t>D</m:t>
                      </m:r>
                    </m:e>
                    <m:sub>
                      <m:r>
                        <w:rPr>
                          <w:rFonts w:ascii="Cambria Math" w:hAnsi="Cambria Math"/>
                        </w:rPr>
                        <m:t>i</m:t>
                      </m:r>
                    </m:sub>
                  </m:sSub>
                </m:e>
              </m:acc>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g</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den>
          </m:f>
          <m:r>
            <w:rPr>
              <w:rFonts w:ascii="Cambria Math" w:hAnsi="Cambria Math"/>
            </w:rPr>
            <m:t xml:space="preserve">        (9)</m:t>
          </m:r>
        </m:oMath>
      </m:oMathPara>
    </w:p>
    <w:p w14:paraId="48D35725" w14:textId="77777777" w:rsidR="00897705" w:rsidRDefault="00000000">
      <w:pPr>
        <w:ind w:firstLineChars="200" w:firstLine="480"/>
        <w:rPr>
          <w:rFonts w:ascii="宋体" w:hAnsi="宋体"/>
        </w:rPr>
      </w:pPr>
      <w:r>
        <w:rPr>
          <w:rFonts w:ascii="宋体" w:hAnsi="宋体" w:hint="eastAsia"/>
        </w:rPr>
        <w:t>其中</w:t>
      </w:r>
      <m:oMath>
        <m:sSub>
          <m:sSubPr>
            <m:ctrlPr>
              <w:rPr>
                <w:rFonts w:ascii="Cambria Math" w:hAnsi="Cambria Math"/>
                <w:i/>
                <w:iCs/>
              </w:rPr>
            </m:ctrlPr>
          </m:sSubPr>
          <m:e>
            <m:r>
              <w:rPr>
                <w:rFonts w:ascii="Cambria Math" w:hAnsi="Cambria Math"/>
              </w:rPr>
              <m:t>q</m:t>
            </m:r>
          </m:e>
          <m:sub>
            <m:r>
              <w:rPr>
                <w:rFonts w:ascii="Cambria Math" w:hAnsi="Cambria Math"/>
              </w:rPr>
              <m:t>i</m:t>
            </m:r>
          </m:sub>
        </m:sSub>
      </m:oMath>
      <w:r>
        <w:rPr>
          <w:rFonts w:ascii="宋体" w:hAnsi="宋体" w:hint="eastAsia"/>
        </w:rPr>
        <w:t>为</w:t>
      </w:r>
      <w:r>
        <w:rPr>
          <w:rFonts w:ascii="宋体" w:hAnsi="宋体"/>
        </w:rPr>
        <w:t>CO2</w:t>
      </w:r>
      <w:r>
        <w:rPr>
          <w:rFonts w:ascii="宋体" w:hAnsi="宋体" w:hint="eastAsia"/>
        </w:rPr>
        <w:t>的影子价格，</w:t>
      </w:r>
      <m:oMath>
        <m:sSub>
          <m:sSubPr>
            <m:ctrlPr>
              <w:rPr>
                <w:rFonts w:ascii="Cambria Math" w:hAnsi="Cambria Math"/>
                <w:i/>
                <w:iCs/>
              </w:rPr>
            </m:ctrlPr>
          </m:sSubPr>
          <m:e>
            <m:r>
              <w:rPr>
                <w:rFonts w:ascii="Cambria Math" w:hAnsi="Cambria Math"/>
              </w:rPr>
              <m:t>p</m:t>
            </m:r>
          </m:e>
          <m:sub>
            <m:r>
              <w:rPr>
                <w:rFonts w:ascii="Cambria Math" w:hAnsi="Cambria Math"/>
              </w:rPr>
              <m:t>i</m:t>
            </m:r>
          </m:sub>
        </m:sSub>
      </m:oMath>
      <w:r>
        <w:rPr>
          <w:rFonts w:ascii="宋体" w:hAnsi="宋体" w:hint="eastAsia"/>
        </w:rPr>
        <w:t>为期望产出的价格，但由于本文选取的期望产出为地区生产总值，所以</w:t>
      </w:r>
      <m:oMath>
        <m:sSub>
          <m:sSubPr>
            <m:ctrlPr>
              <w:rPr>
                <w:rFonts w:ascii="Cambria Math" w:hAnsi="Cambria Math"/>
                <w:i/>
                <w:iCs/>
              </w:rPr>
            </m:ctrlPr>
          </m:sSubPr>
          <m:e>
            <m:r>
              <w:rPr>
                <w:rFonts w:ascii="Cambria Math" w:hAnsi="Cambria Math"/>
              </w:rPr>
              <m:t>p</m:t>
            </m:r>
          </m:e>
          <m:sub>
            <m:r>
              <w:rPr>
                <w:rFonts w:ascii="Cambria Math" w:hAnsi="Cambria Math"/>
              </w:rPr>
              <m:t>i</m:t>
            </m:r>
          </m:sub>
        </m:sSub>
        <m:r>
          <w:rPr>
            <w:rFonts w:ascii="Cambria Math" w:hAnsi="Cambria Math"/>
          </w:rPr>
          <m:t>=1</m:t>
        </m:r>
      </m:oMath>
      <w:r>
        <w:rPr>
          <w:rFonts w:ascii="宋体" w:hAnsi="宋体" w:hint="eastAsia"/>
        </w:rPr>
        <w:t>。这意味着在其他条件不变的情况下，额外降低一单位二氧化碳排放需要的机会成本为</w:t>
      </w:r>
      <m:oMath>
        <m:sSub>
          <m:sSubPr>
            <m:ctrlPr>
              <w:rPr>
                <w:rFonts w:ascii="Cambria Math" w:hAnsi="Cambria Math"/>
                <w:i/>
                <w:iCs/>
              </w:rPr>
            </m:ctrlPr>
          </m:sSubPr>
          <m:e>
            <m:r>
              <w:rPr>
                <w:rFonts w:ascii="Cambria Math" w:hAnsi="Cambria Math"/>
              </w:rPr>
              <m:t>q</m:t>
            </m:r>
          </m:e>
          <m:sub>
            <m:r>
              <w:rPr>
                <w:rFonts w:ascii="Cambria Math" w:hAnsi="Cambria Math"/>
              </w:rPr>
              <m:t>i</m:t>
            </m:r>
          </m:sub>
        </m:sSub>
      </m:oMath>
      <w:r>
        <w:rPr>
          <w:rFonts w:ascii="宋体" w:hAnsi="宋体" w:hint="eastAsia"/>
        </w:rPr>
        <w:t>。通过公式</w:t>
      </w:r>
      <w:r>
        <w:rPr>
          <w:rFonts w:ascii="宋体" w:hAnsi="宋体"/>
        </w:rPr>
        <w:t>(5)</w:t>
      </w:r>
      <w:r>
        <w:rPr>
          <w:rFonts w:ascii="宋体" w:hAnsi="宋体" w:hint="eastAsia"/>
        </w:rPr>
        <w:t>分别对期望产出和非期望产出求导，并将结果代入至公式</w:t>
      </w:r>
      <w:r>
        <w:rPr>
          <w:rFonts w:ascii="宋体" w:hAnsi="宋体"/>
        </w:rPr>
        <w:t>(9)</w:t>
      </w:r>
      <w:r>
        <w:rPr>
          <w:rFonts w:ascii="宋体" w:hAnsi="宋体" w:hint="eastAsia"/>
        </w:rPr>
        <w:t>中，可以得到估算</w:t>
      </w:r>
      <w:r>
        <w:rPr>
          <w:rFonts w:ascii="宋体" w:hAnsi="宋体"/>
        </w:rPr>
        <w:t>CO2</w:t>
      </w:r>
      <w:r>
        <w:rPr>
          <w:rFonts w:ascii="宋体" w:hAnsi="宋体" w:hint="eastAsia"/>
        </w:rPr>
        <w:t>影子价格的具体形式：</w:t>
      </w:r>
    </w:p>
    <w:p w14:paraId="6EC30F57" w14:textId="77777777" w:rsidR="00897705" w:rsidRDefault="00000000">
      <w:pPr>
        <w:rPr>
          <w:rFonts w:ascii="宋体" w:hAnsi="宋体" w:cs="宋体"/>
          <w:b/>
          <w:bCs/>
          <w:color w:val="231F20"/>
          <w:w w:val="105"/>
          <w:kern w:val="0"/>
        </w:rPr>
      </w:pPr>
      <m:oMathPara>
        <m:oMath>
          <m:sSub>
            <m:sSubPr>
              <m:ctrlPr>
                <w:rPr>
                  <w:rFonts w:ascii="Cambria Math" w:hAnsi="Cambria Math"/>
                  <w:i/>
                  <w:iCs/>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f>
            <m:fPr>
              <m:ctrlPr>
                <w:rPr>
                  <w:rFonts w:ascii="Cambria Math" w:hAnsi="Cambria Math"/>
                  <w:i/>
                </w:rPr>
              </m:ctrlPr>
            </m:fPr>
            <m:num>
              <m:sSub>
                <m:sSubPr>
                  <m:ctrlPr>
                    <w:rPr>
                      <w:rFonts w:ascii="Cambria Math" w:hAnsi="Cambria Math"/>
                      <w:i/>
                    </w:rPr>
                  </m:ctrlPr>
                </m:sSubPr>
                <m:e>
                  <m:r>
                    <w:rPr>
                      <w:rFonts w:ascii="Cambria Math" w:hAnsi="Cambria Math" w:hint="eastAsia"/>
                    </w:rPr>
                    <m:t>γ</m:t>
                  </m:r>
                  <m:ctrlPr>
                    <w:rPr>
                      <w:rFonts w:ascii="Cambria Math" w:hAnsi="Cambria Math" w:hint="eastAsia"/>
                      <w:i/>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γ</m:t>
                  </m:r>
                  <m:ctrlPr>
                    <w:rPr>
                      <w:rFonts w:ascii="Cambria Math" w:hAnsi="Cambria Math" w:hint="eastAsia"/>
                      <w:i/>
                    </w:rPr>
                  </m:ctrlPr>
                </m:e>
                <m:sub>
                  <m:r>
                    <w:rPr>
                      <w:rFonts w:ascii="Cambria Math" w:hAnsi="Cambria Math"/>
                    </w:rPr>
                    <m:t>11</m:t>
                  </m:r>
                </m:sub>
              </m:sSub>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nary>
                <m:naryPr>
                  <m:chr m:val="∑"/>
                  <m:limLoc m:val="subSup"/>
                  <m:ctrlPr>
                    <w:rPr>
                      <w:rFonts w:ascii="Cambria Math" w:hAnsi="Cambria Math" w:cs="宋体"/>
                      <w:i/>
                    </w:rPr>
                  </m:ctrlPr>
                </m:naryPr>
                <m:sub>
                  <m:r>
                    <w:rPr>
                      <w:rFonts w:ascii="Cambria Math" w:hAnsi="Cambria Math" w:cs="宋体"/>
                    </w:rPr>
                    <m:t>n=1</m:t>
                  </m:r>
                </m:sub>
                <m:sup>
                  <m:r>
                    <w:rPr>
                      <w:rFonts w:ascii="Cambria Math" w:hAnsi="Cambria Math" w:cs="宋体"/>
                    </w:rPr>
                    <m:t>3</m:t>
                  </m:r>
                </m:sup>
                <m:e>
                  <m:sSub>
                    <m:sSubPr>
                      <m:ctrlPr>
                        <w:rPr>
                          <w:rFonts w:ascii="Cambria Math" w:hAnsi="Cambria Math" w:cs="宋体"/>
                          <w:i/>
                        </w:rPr>
                      </m:ctrlPr>
                    </m:sSubPr>
                    <m:e>
                      <m:r>
                        <w:rPr>
                          <w:rFonts w:ascii="Cambria Math" w:hAnsi="Cambria Math" w:cs="宋体" w:hint="eastAsia"/>
                        </w:rPr>
                        <m:t>η</m:t>
                      </m:r>
                      <m:ctrlPr>
                        <w:rPr>
                          <w:rFonts w:ascii="Cambria Math" w:hAnsi="Cambria Math" w:cs="宋体" w:hint="eastAsia"/>
                          <w:i/>
                        </w:rPr>
                      </m:ctrlPr>
                    </m:e>
                    <m:sub>
                      <m:r>
                        <w:rPr>
                          <w:rFonts w:ascii="Cambria Math" w:hAnsi="Cambria Math" w:cs="宋体"/>
                        </w:rPr>
                        <m:t>n1</m:t>
                      </m:r>
                    </m:sub>
                  </m:sSub>
                  <m:sSub>
                    <m:sSubPr>
                      <m:ctrlPr>
                        <w:rPr>
                          <w:rFonts w:ascii="Cambria Math" w:hAnsi="Cambria Math" w:cs="宋体"/>
                          <w:i/>
                        </w:rPr>
                      </m:ctrlPr>
                    </m:sSubPr>
                    <m:e>
                      <m:r>
                        <w:rPr>
                          <w:rFonts w:ascii="Cambria Math" w:hAnsi="Cambria Math" w:cs="宋体"/>
                        </w:rPr>
                        <m:t>x</m:t>
                      </m:r>
                    </m:e>
                    <m:sub>
                      <m:r>
                        <w:rPr>
                          <w:rFonts w:ascii="Cambria Math" w:hAnsi="Cambria Math" w:cs="宋体"/>
                        </w:rPr>
                        <m:t>n</m:t>
                      </m:r>
                    </m:sub>
                  </m:sSub>
                  <m:r>
                    <w:rPr>
                      <w:rFonts w:ascii="Cambria Math" w:hAnsi="Cambria Math" w:cs="宋体"/>
                    </w:rPr>
                    <m:t>+</m:t>
                  </m:r>
                  <m:sSub>
                    <m:sSubPr>
                      <m:ctrlPr>
                        <w:rPr>
                          <w:rFonts w:ascii="Cambria Math" w:hAnsi="Cambria Math" w:cs="宋体"/>
                          <w:i/>
                        </w:rPr>
                      </m:ctrlPr>
                    </m:sSubPr>
                    <m:e>
                      <m:r>
                        <w:rPr>
                          <w:rFonts w:ascii="Cambria Math" w:hAnsi="Cambria Math" w:cs="宋体" w:hint="eastAsia"/>
                        </w:rPr>
                        <m:t>μ</m:t>
                      </m:r>
                      <m:ctrlPr>
                        <w:rPr>
                          <w:rFonts w:ascii="Cambria Math" w:hAnsi="Cambria Math" w:cs="宋体" w:hint="eastAsia"/>
                          <w:i/>
                        </w:rPr>
                      </m:ctrlPr>
                    </m:e>
                    <m:sub>
                      <m:r>
                        <w:rPr>
                          <w:rFonts w:ascii="Cambria Math" w:hAnsi="Cambria Math" w:cs="宋体"/>
                        </w:rPr>
                        <m:t>11</m:t>
                      </m:r>
                    </m:sub>
                  </m:sSub>
                  <m:sSub>
                    <m:sSubPr>
                      <m:ctrlPr>
                        <w:rPr>
                          <w:rFonts w:ascii="Cambria Math" w:hAnsi="Cambria Math" w:cs="宋体"/>
                          <w:i/>
                        </w:rPr>
                      </m:ctrlPr>
                    </m:sSubPr>
                    <m:e>
                      <m:r>
                        <w:rPr>
                          <w:rFonts w:ascii="Cambria Math" w:hAnsi="Cambria Math" w:cs="宋体"/>
                        </w:rPr>
                        <m:t>y</m:t>
                      </m:r>
                    </m:e>
                    <m:sub>
                      <m:r>
                        <w:rPr>
                          <w:rFonts w:ascii="Cambria Math" w:hAnsi="Cambria Math" w:cs="宋体"/>
                        </w:rPr>
                        <m:t>1</m:t>
                      </m:r>
                    </m:sub>
                  </m:sSub>
                </m:e>
              </m:nary>
            </m:num>
            <m:den>
              <m:sSub>
                <m:sSubPr>
                  <m:ctrlPr>
                    <w:rPr>
                      <w:rFonts w:ascii="Cambria Math" w:hAnsi="Cambria Math"/>
                      <w:i/>
                    </w:rPr>
                  </m:ctrlPr>
                </m:sSubPr>
                <m:e>
                  <m:r>
                    <w:rPr>
                      <w:rFonts w:ascii="Cambria Math" w:hAnsi="Cambria Math" w:hint="eastAsia"/>
                    </w:rPr>
                    <m:t>β</m:t>
                  </m:r>
                  <m:ctrlPr>
                    <w:rPr>
                      <w:rFonts w:ascii="Cambria Math" w:hAnsi="Cambria Math" w:hint="eastAsia"/>
                      <w:i/>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β</m:t>
                  </m:r>
                  <m:ctrlPr>
                    <w:rPr>
                      <w:rFonts w:ascii="Cambria Math" w:hAnsi="Cambria Math" w:hint="eastAsia"/>
                      <w:i/>
                    </w:rPr>
                  </m:ctrlPr>
                </m:e>
                <m:sub>
                  <m:r>
                    <w:rPr>
                      <w:rFonts w:ascii="Cambria Math" w:hAnsi="Cambria Math"/>
                    </w:rPr>
                    <m:t>11</m:t>
                  </m:r>
                </m:sub>
              </m:sSub>
              <m:sSub>
                <m:sSubPr>
                  <m:ctrlPr>
                    <w:rPr>
                      <w:rFonts w:ascii="Cambria Math" w:hAnsi="Cambria Math"/>
                      <w:i/>
                    </w:rPr>
                  </m:ctrlPr>
                </m:sSubPr>
                <m:e>
                  <m:r>
                    <w:rPr>
                      <w:rFonts w:ascii="Cambria Math" w:hAnsi="Cambria Math" w:hint="eastAsia"/>
                    </w:rPr>
                    <m:t>y</m:t>
                  </m:r>
                </m:e>
                <m:sub>
                  <m:r>
                    <w:rPr>
                      <w:rFonts w:ascii="Cambria Math" w:hAnsi="Cambria Math"/>
                    </w:rPr>
                    <m:t>1</m:t>
                  </m:r>
                </m:sub>
              </m:sSub>
              <m:r>
                <w:rPr>
                  <w:rFonts w:ascii="Cambria Math" w:hAnsi="Cambria Math"/>
                </w:rPr>
                <m:t>+</m:t>
              </m:r>
              <m:nary>
                <m:naryPr>
                  <m:chr m:val="∑"/>
                  <m:limLoc m:val="subSup"/>
                  <m:ctrlPr>
                    <w:rPr>
                      <w:rFonts w:ascii="Cambria Math" w:hAnsi="Cambria Math" w:cs="宋体"/>
                      <w:i/>
                    </w:rPr>
                  </m:ctrlPr>
                </m:naryPr>
                <m:sub>
                  <m:r>
                    <w:rPr>
                      <w:rFonts w:ascii="Cambria Math" w:hAnsi="Cambria Math" w:cs="宋体"/>
                    </w:rPr>
                    <m:t>n=1</m:t>
                  </m:r>
                </m:sub>
                <m:sup>
                  <m:r>
                    <w:rPr>
                      <w:rFonts w:ascii="Cambria Math" w:hAnsi="Cambria Math" w:cs="宋体"/>
                    </w:rPr>
                    <m:t>3</m:t>
                  </m:r>
                </m:sup>
                <m:e>
                  <m:sSub>
                    <m:sSubPr>
                      <m:ctrlPr>
                        <w:rPr>
                          <w:rFonts w:ascii="Cambria Math" w:hAnsi="Cambria Math" w:cs="宋体"/>
                          <w:i/>
                        </w:rPr>
                      </m:ctrlPr>
                    </m:sSubPr>
                    <m:e>
                      <m:r>
                        <w:rPr>
                          <w:rFonts w:ascii="Cambria Math" w:hAnsi="Cambria Math" w:cs="宋体" w:hint="eastAsia"/>
                        </w:rPr>
                        <m:t>δ</m:t>
                      </m:r>
                      <m:ctrlPr>
                        <w:rPr>
                          <w:rFonts w:ascii="Cambria Math" w:hAnsi="Cambria Math" w:cs="宋体" w:hint="eastAsia"/>
                          <w:i/>
                        </w:rPr>
                      </m:ctrlPr>
                    </m:e>
                    <m:sub>
                      <m:r>
                        <w:rPr>
                          <w:rFonts w:ascii="Cambria Math" w:hAnsi="Cambria Math" w:cs="宋体"/>
                        </w:rPr>
                        <m:t>n1</m:t>
                      </m:r>
                    </m:sub>
                  </m:sSub>
                  <m:sSub>
                    <m:sSubPr>
                      <m:ctrlPr>
                        <w:rPr>
                          <w:rFonts w:ascii="Cambria Math" w:hAnsi="Cambria Math" w:cs="宋体"/>
                          <w:i/>
                        </w:rPr>
                      </m:ctrlPr>
                    </m:sSubPr>
                    <m:e>
                      <m:r>
                        <w:rPr>
                          <w:rFonts w:ascii="Cambria Math" w:hAnsi="Cambria Math" w:cs="宋体"/>
                        </w:rPr>
                        <m:t>x</m:t>
                      </m:r>
                    </m:e>
                    <m:sub>
                      <m:r>
                        <w:rPr>
                          <w:rFonts w:ascii="Cambria Math" w:hAnsi="Cambria Math" w:cs="宋体"/>
                        </w:rPr>
                        <m:t>n</m:t>
                      </m:r>
                    </m:sub>
                  </m:sSub>
                  <m:r>
                    <w:rPr>
                      <w:rFonts w:ascii="Cambria Math" w:hAnsi="Cambria Math" w:cs="宋体"/>
                    </w:rPr>
                    <m:t>+</m:t>
                  </m:r>
                  <m:sSub>
                    <m:sSubPr>
                      <m:ctrlPr>
                        <w:rPr>
                          <w:rFonts w:ascii="Cambria Math" w:hAnsi="Cambria Math" w:cs="宋体"/>
                          <w:i/>
                        </w:rPr>
                      </m:ctrlPr>
                    </m:sSubPr>
                    <m:e>
                      <m:r>
                        <w:rPr>
                          <w:rFonts w:ascii="Cambria Math" w:hAnsi="Cambria Math" w:cs="宋体" w:hint="eastAsia"/>
                        </w:rPr>
                        <m:t>μ</m:t>
                      </m:r>
                      <m:ctrlPr>
                        <w:rPr>
                          <w:rFonts w:ascii="Cambria Math" w:hAnsi="Cambria Math" w:cs="宋体" w:hint="eastAsia"/>
                          <w:i/>
                        </w:rPr>
                      </m:ctrlPr>
                    </m:e>
                    <m:sub>
                      <m:r>
                        <w:rPr>
                          <w:rFonts w:ascii="Cambria Math" w:hAnsi="Cambria Math" w:cs="宋体"/>
                        </w:rPr>
                        <m:t>11</m:t>
                      </m:r>
                    </m:sub>
                  </m:sSub>
                  <m:sSub>
                    <m:sSubPr>
                      <m:ctrlPr>
                        <w:rPr>
                          <w:rFonts w:ascii="Cambria Math" w:hAnsi="Cambria Math" w:cs="宋体"/>
                          <w:i/>
                        </w:rPr>
                      </m:ctrlPr>
                    </m:sSubPr>
                    <m:e>
                      <m:r>
                        <w:rPr>
                          <w:rFonts w:ascii="Cambria Math" w:hAnsi="Cambria Math" w:cs="宋体" w:hint="eastAsia"/>
                        </w:rPr>
                        <m:t>b</m:t>
                      </m:r>
                    </m:e>
                    <m:sub>
                      <m:r>
                        <w:rPr>
                          <w:rFonts w:ascii="Cambria Math" w:hAnsi="Cambria Math" w:cs="宋体"/>
                        </w:rPr>
                        <m:t>1</m:t>
                      </m:r>
                    </m:sub>
                  </m:sSub>
                </m:e>
              </m:nary>
            </m:den>
          </m:f>
          <m:r>
            <w:rPr>
              <w:rFonts w:ascii="Cambria Math" w:hAnsi="Cambria Math"/>
            </w:rPr>
            <m:t xml:space="preserve">     (10)</m:t>
          </m:r>
        </m:oMath>
      </m:oMathPara>
    </w:p>
    <w:p w14:paraId="4C3061D5" w14:textId="77777777" w:rsidR="00897705" w:rsidRDefault="00000000">
      <w:pPr>
        <w:pStyle w:val="2"/>
        <w:numPr>
          <w:ilvl w:val="0"/>
          <w:numId w:val="5"/>
        </w:numPr>
        <w:spacing w:before="156" w:after="156"/>
        <w:ind w:firstLine="420"/>
      </w:pPr>
      <w:bookmarkStart w:id="6" w:name="OLE_LINK3"/>
      <w:bookmarkStart w:id="7" w:name="_Toc154908716"/>
      <w:r>
        <w:rPr>
          <w:rFonts w:hint="eastAsia"/>
        </w:rPr>
        <w:lastRenderedPageBreak/>
        <w:t>线性规划法</w:t>
      </w:r>
      <w:bookmarkEnd w:id="7"/>
    </w:p>
    <w:bookmarkEnd w:id="6"/>
    <w:p w14:paraId="77261180" w14:textId="77777777" w:rsidR="00897705" w:rsidRDefault="00000000">
      <w:pPr>
        <w:ind w:firstLineChars="200" w:firstLine="480"/>
        <w:rPr>
          <w:rFonts w:cs="Times New Roman"/>
          <w:lang w:val="en-SG"/>
        </w:rPr>
      </w:pPr>
      <w:r>
        <w:rPr>
          <w:rFonts w:cs="Times New Roman" w:hint="eastAsia"/>
          <w:lang w:val="en-SG"/>
        </w:rPr>
        <w:t>根据上一部分整理出来的方向距离函数公式（</w:t>
      </w:r>
      <w:r>
        <w:rPr>
          <w:rFonts w:cs="Times New Roman" w:hint="eastAsia"/>
          <w:lang w:val="en-SG"/>
        </w:rPr>
        <w:t>5</w:t>
      </w:r>
      <w:r>
        <w:rPr>
          <w:rFonts w:cs="Times New Roman" w:hint="eastAsia"/>
          <w:lang w:val="en-SG"/>
        </w:rPr>
        <w:t>），同样可以</w:t>
      </w:r>
      <w:r>
        <w:rPr>
          <w:rFonts w:cs="Times New Roman"/>
          <w:lang w:val="en-SG"/>
        </w:rPr>
        <w:t>采用线性规划的方法来求解方向性距离函数最小化问题，该线性规划的目标与约束条件可表示为：</w:t>
      </w:r>
    </w:p>
    <w:p w14:paraId="0A7A55A3" w14:textId="77777777" w:rsidR="00897705" w:rsidRDefault="00000000">
      <w:pPr>
        <w:ind w:firstLineChars="200" w:firstLine="480"/>
        <w:rPr>
          <w:rFonts w:cs="Times New Roman"/>
        </w:rPr>
      </w:pPr>
      <m:oMathPara>
        <m:oMath>
          <m:func>
            <m:funcPr>
              <m:ctrlPr>
                <w:rPr>
                  <w:rFonts w:ascii="Cambria Math" w:hAnsi="Cambria Math" w:cs="Times New Roman"/>
                </w:rPr>
              </m:ctrlPr>
            </m:funcPr>
            <m:fName>
              <m:r>
                <m:rPr>
                  <m:sty m:val="p"/>
                </m:rPr>
                <w:rPr>
                  <w:rFonts w:ascii="Cambria Math" w:hAnsi="Cambria Math" w:cs="Times New Roman"/>
                </w:rPr>
                <m:t>min</m:t>
              </m:r>
            </m:fName>
            <m:e>
              <m:nary>
                <m:naryPr>
                  <m:chr m:val="∑"/>
                  <m:ctrlPr>
                    <w:rPr>
                      <w:rFonts w:ascii="Cambria Math" w:hAnsi="Cambria Math" w:cs="Times New Roman"/>
                    </w:rPr>
                  </m:ctrlPr>
                </m:naryPr>
                <m:sub>
                  <m:r>
                    <m:rPr>
                      <m:sty m:val="p"/>
                    </m:rPr>
                    <w:rPr>
                      <w:rFonts w:ascii="Cambria Math" w:hAnsi="Cambria Math" w:cs="Times New Roman"/>
                    </w:rPr>
                    <m:t>k=1</m:t>
                  </m:r>
                </m:sub>
                <m:sup>
                  <m:r>
                    <m:rPr>
                      <m:sty m:val="p"/>
                    </m:rPr>
                    <w:rPr>
                      <w:rFonts w:ascii="Cambria Math" w:hAnsi="Cambria Math" w:cs="Times New Roman"/>
                    </w:rPr>
                    <m:t>K</m:t>
                  </m:r>
                </m:sup>
                <m:e>
                  <m:d>
                    <m:dPr>
                      <m:ctrlPr>
                        <w:rPr>
                          <w:rFonts w:ascii="Cambria Math" w:hAnsi="Cambria Math" w:cs="Times New Roman"/>
                        </w:rPr>
                      </m:ctrlPr>
                    </m:dPr>
                    <m:e>
                      <m:acc>
                        <m:accPr>
                          <m:chr m:val="⃗"/>
                          <m:ctrlPr>
                            <w:rPr>
                              <w:rFonts w:ascii="Cambria Math" w:hAnsi="Cambria Math" w:cs="Times New Roman"/>
                            </w:rPr>
                          </m:ctrlPr>
                        </m:accPr>
                        <m:e>
                          <m:r>
                            <m:rPr>
                              <m:sty m:val="p"/>
                            </m:rPr>
                            <w:rPr>
                              <w:rFonts w:ascii="Cambria Math" w:hAnsi="Cambria Math" w:cs="Times New Roman"/>
                            </w:rPr>
                            <m:t>D</m:t>
                          </m:r>
                        </m:e>
                      </m:acc>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k</m:t>
                              </m:r>
                            </m:sub>
                          </m:sSub>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k</m:t>
                              </m:r>
                            </m:sub>
                          </m:sSub>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b</m:t>
                              </m:r>
                            </m:e>
                            <m:sub>
                              <m:r>
                                <m:rPr>
                                  <m:sty m:val="p"/>
                                </m:rPr>
                                <w:rPr>
                                  <w:rFonts w:ascii="Cambria Math" w:hAnsi="Cambria Math" w:cs="Times New Roman"/>
                                </w:rPr>
                                <m:t>k</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g</m:t>
                              </m:r>
                            </m:e>
                            <m:sub>
                              <m:r>
                                <m:rPr>
                                  <m:sty m:val="p"/>
                                </m:rPr>
                                <w:rPr>
                                  <w:rFonts w:ascii="Cambria Math" w:hAnsi="Cambria Math" w:cs="Times New Roman"/>
                                </w:rPr>
                                <m:t>y</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g</m:t>
                              </m:r>
                            </m:e>
                            <m:sub>
                              <m:r>
                                <m:rPr>
                                  <m:sty m:val="p"/>
                                </m:rPr>
                                <w:rPr>
                                  <w:rFonts w:ascii="Cambria Math" w:hAnsi="Cambria Math" w:cs="Times New Roman"/>
                                </w:rPr>
                                <m:t>b</m:t>
                              </m:r>
                            </m:sub>
                          </m:sSub>
                        </m:e>
                      </m:d>
                      <m:r>
                        <m:rPr>
                          <m:sty m:val="p"/>
                        </m:rPr>
                        <w:rPr>
                          <w:rFonts w:ascii="Cambria Math" w:hAnsi="Cambria Math" w:cs="Times New Roman"/>
                        </w:rPr>
                        <m:t>-1</m:t>
                      </m:r>
                    </m:e>
                  </m:d>
                </m:e>
              </m:nary>
            </m:e>
          </m:func>
        </m:oMath>
      </m:oMathPara>
    </w:p>
    <w:p w14:paraId="123404B1" w14:textId="77777777" w:rsidR="00897705" w:rsidRDefault="00000000">
      <w:pPr>
        <w:ind w:firstLineChars="200" w:firstLine="480"/>
        <w:rPr>
          <w:rFonts w:cs="Times New Roman"/>
          <w:lang w:val="en-SG"/>
        </w:rPr>
      </w:pPr>
      <m:oMathPara>
        <m:oMath>
          <m:r>
            <w:rPr>
              <w:rFonts w:ascii="Cambria Math" w:hAnsi="Cambria Math" w:cs="Times New Roman"/>
              <w:lang w:val="en-SG"/>
            </w:rPr>
            <m:t>s.t.</m:t>
          </m:r>
        </m:oMath>
      </m:oMathPara>
    </w:p>
    <w:p w14:paraId="70A4AFCC" w14:textId="77777777" w:rsidR="00897705" w:rsidRDefault="00000000">
      <w:pPr>
        <w:ind w:firstLineChars="200" w:firstLine="480"/>
        <w:rPr>
          <w:rFonts w:cs="Times New Roman"/>
          <w:lang w:val="en-SG"/>
        </w:rPr>
      </w:pPr>
      <m:oMathPara>
        <m:oMath>
          <m:d>
            <m:dPr>
              <m:begChr m:val="{"/>
              <m:endChr m:val=""/>
              <m:ctrlPr>
                <w:rPr>
                  <w:rFonts w:ascii="Cambria Math" w:hAnsi="Cambria Math" w:cs="Times New Roman"/>
                  <w:i/>
                  <w:lang w:val="en-SG"/>
                </w:rPr>
              </m:ctrlPr>
            </m:dPr>
            <m:e>
              <m:eqArr>
                <m:eqArrPr>
                  <m:ctrlPr>
                    <w:rPr>
                      <w:rFonts w:ascii="Cambria Math" w:hAnsi="Cambria Math" w:cs="Times New Roman"/>
                      <w:i/>
                      <w:lang w:val="en-SG"/>
                    </w:rPr>
                  </m:ctrlPr>
                </m:eqArrPr>
                <m:e>
                  <m:acc>
                    <m:accPr>
                      <m:chr m:val="⃗"/>
                      <m:ctrlPr>
                        <w:rPr>
                          <w:rFonts w:ascii="Cambria Math" w:hAnsi="Cambria Math" w:cs="Times New Roman"/>
                        </w:rPr>
                      </m:ctrlPr>
                    </m:accPr>
                    <m:e>
                      <m:r>
                        <m:rPr>
                          <m:sty m:val="p"/>
                        </m:rPr>
                        <w:rPr>
                          <w:rFonts w:ascii="Cambria Math" w:hAnsi="Cambria Math" w:cs="Times New Roman"/>
                        </w:rPr>
                        <m:t>D</m:t>
                      </m:r>
                    </m:e>
                  </m:acc>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k</m:t>
                          </m:r>
                        </m:sub>
                      </m:sSub>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k</m:t>
                          </m:r>
                        </m:sub>
                      </m:sSub>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b</m:t>
                          </m:r>
                        </m:e>
                        <m:sub>
                          <m:r>
                            <m:rPr>
                              <m:sty m:val="p"/>
                            </m:rPr>
                            <w:rPr>
                              <w:rFonts w:ascii="Cambria Math" w:hAnsi="Cambria Math" w:cs="Times New Roman"/>
                            </w:rPr>
                            <m:t>k</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g</m:t>
                          </m:r>
                        </m:e>
                        <m:sub>
                          <m:r>
                            <m:rPr>
                              <m:sty m:val="p"/>
                            </m:rPr>
                            <w:rPr>
                              <w:rFonts w:ascii="Cambria Math" w:hAnsi="Cambria Math" w:cs="Times New Roman"/>
                            </w:rPr>
                            <m:t>y</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g</m:t>
                          </m:r>
                        </m:e>
                        <m:sub>
                          <m:r>
                            <m:rPr>
                              <m:sty m:val="p"/>
                            </m:rPr>
                            <w:rPr>
                              <w:rFonts w:ascii="Cambria Math" w:hAnsi="Cambria Math" w:cs="Times New Roman"/>
                            </w:rPr>
                            <m:t>b</m:t>
                          </m:r>
                        </m:sub>
                      </m:sSub>
                    </m:e>
                  </m:d>
                  <m:r>
                    <m:rPr>
                      <m:sty m:val="p"/>
                    </m:rPr>
                    <w:rPr>
                      <w:rFonts w:ascii="Cambria Math" w:hAnsi="Cambria Math" w:cs="Times New Roman"/>
                    </w:rPr>
                    <m:t>≥0, k=1, …, K</m:t>
                  </m:r>
                </m:e>
                <m:e>
                  <m:f>
                    <m:fPr>
                      <m:ctrlPr>
                        <w:rPr>
                          <w:rFonts w:ascii="Cambria Math" w:hAnsi="Cambria Math" w:cs="Times New Roman"/>
                        </w:rPr>
                      </m:ctrlPr>
                    </m:fPr>
                    <m:num>
                      <m:r>
                        <m:rPr>
                          <m:sty m:val="p"/>
                        </m:rPr>
                        <w:rPr>
                          <w:rFonts w:ascii="Cambria Math" w:hAnsi="Cambria Math" w:cs="Times New Roman"/>
                        </w:rPr>
                        <m:t>∂</m:t>
                      </m:r>
                      <m:acc>
                        <m:accPr>
                          <m:chr m:val="⃗"/>
                          <m:ctrlPr>
                            <w:rPr>
                              <w:rFonts w:ascii="Cambria Math" w:hAnsi="Cambria Math" w:cs="Times New Roman"/>
                            </w:rPr>
                          </m:ctrlPr>
                        </m:accPr>
                        <m:e>
                          <m:r>
                            <m:rPr>
                              <m:sty m:val="p"/>
                            </m:rPr>
                            <w:rPr>
                              <w:rFonts w:ascii="Cambria Math" w:hAnsi="Cambria Math" w:cs="Times New Roman"/>
                            </w:rPr>
                            <m:t>D</m:t>
                          </m:r>
                        </m:e>
                      </m:acc>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k</m:t>
                              </m:r>
                            </m:sub>
                          </m:sSub>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k</m:t>
                              </m:r>
                            </m:sub>
                          </m:sSub>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b</m:t>
                              </m:r>
                            </m:e>
                            <m:sub>
                              <m:r>
                                <m:rPr>
                                  <m:sty m:val="p"/>
                                </m:rPr>
                                <w:rPr>
                                  <w:rFonts w:ascii="Cambria Math" w:hAnsi="Cambria Math" w:cs="Times New Roman"/>
                                </w:rPr>
                                <m:t>k</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g</m:t>
                              </m:r>
                            </m:e>
                            <m:sub>
                              <m:r>
                                <m:rPr>
                                  <m:sty m:val="p"/>
                                </m:rPr>
                                <w:rPr>
                                  <w:rFonts w:ascii="Cambria Math" w:hAnsi="Cambria Math" w:cs="Times New Roman"/>
                                </w:rPr>
                                <m:t>y</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g</m:t>
                              </m:r>
                            </m:e>
                            <m:sub>
                              <m:r>
                                <m:rPr>
                                  <m:sty m:val="p"/>
                                </m:rPr>
                                <w:rPr>
                                  <w:rFonts w:ascii="Cambria Math" w:hAnsi="Cambria Math" w:cs="Times New Roman"/>
                                </w:rPr>
                                <m:t>b</m:t>
                              </m:r>
                            </m:sub>
                          </m:sSub>
                        </m:e>
                      </m:d>
                    </m:num>
                    <m:den>
                      <m:r>
                        <m:rPr>
                          <m:sty m:val="p"/>
                        </m:rPr>
                        <w:rPr>
                          <w:rFonts w:ascii="Cambria Math" w:hAnsi="Cambria Math" w:cs="Times New Roman"/>
                        </w:rPr>
                        <m:t>∂b</m:t>
                      </m:r>
                    </m:den>
                  </m:f>
                  <m:r>
                    <m:rPr>
                      <m:sty m:val="p"/>
                    </m:rPr>
                    <w:rPr>
                      <w:rFonts w:ascii="Cambria Math" w:hAnsi="Cambria Math" w:cs="Times New Roman"/>
                    </w:rPr>
                    <m:t>≥0, k=1, …, K</m:t>
                  </m:r>
                </m:e>
                <m:e>
                  <m:f>
                    <m:fPr>
                      <m:ctrlPr>
                        <w:rPr>
                          <w:rFonts w:ascii="Cambria Math" w:hAnsi="Cambria Math" w:cs="Times New Roman"/>
                        </w:rPr>
                      </m:ctrlPr>
                    </m:fPr>
                    <m:num>
                      <m:r>
                        <m:rPr>
                          <m:sty m:val="p"/>
                        </m:rPr>
                        <w:rPr>
                          <w:rFonts w:ascii="Cambria Math" w:hAnsi="Cambria Math" w:cs="Times New Roman"/>
                        </w:rPr>
                        <m:t>∂</m:t>
                      </m:r>
                      <m:acc>
                        <m:accPr>
                          <m:chr m:val="⃗"/>
                          <m:ctrlPr>
                            <w:rPr>
                              <w:rFonts w:ascii="Cambria Math" w:hAnsi="Cambria Math" w:cs="Times New Roman"/>
                            </w:rPr>
                          </m:ctrlPr>
                        </m:accPr>
                        <m:e>
                          <m:r>
                            <m:rPr>
                              <m:sty m:val="p"/>
                            </m:rPr>
                            <w:rPr>
                              <w:rFonts w:ascii="Cambria Math" w:hAnsi="Cambria Math" w:cs="Times New Roman"/>
                            </w:rPr>
                            <m:t>D</m:t>
                          </m:r>
                        </m:e>
                      </m:acc>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k</m:t>
                              </m:r>
                            </m:sub>
                          </m:sSub>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k</m:t>
                              </m:r>
                            </m:sub>
                          </m:sSub>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b</m:t>
                              </m:r>
                            </m:e>
                            <m:sub>
                              <m:r>
                                <m:rPr>
                                  <m:sty m:val="p"/>
                                </m:rPr>
                                <w:rPr>
                                  <w:rFonts w:ascii="Cambria Math" w:hAnsi="Cambria Math" w:cs="Times New Roman"/>
                                </w:rPr>
                                <m:t>k</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g</m:t>
                              </m:r>
                            </m:e>
                            <m:sub>
                              <m:r>
                                <m:rPr>
                                  <m:sty m:val="p"/>
                                </m:rPr>
                                <w:rPr>
                                  <w:rFonts w:ascii="Cambria Math" w:hAnsi="Cambria Math" w:cs="Times New Roman"/>
                                </w:rPr>
                                <m:t>y</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g</m:t>
                              </m:r>
                            </m:e>
                            <m:sub>
                              <m:r>
                                <m:rPr>
                                  <m:sty m:val="p"/>
                                </m:rPr>
                                <w:rPr>
                                  <w:rFonts w:ascii="Cambria Math" w:hAnsi="Cambria Math" w:cs="Times New Roman"/>
                                </w:rPr>
                                <m:t>b</m:t>
                              </m:r>
                            </m:sub>
                          </m:sSub>
                        </m:e>
                      </m:d>
                    </m:num>
                    <m:den>
                      <m:r>
                        <m:rPr>
                          <m:sty m:val="p"/>
                        </m:rPr>
                        <w:rPr>
                          <w:rFonts w:ascii="Cambria Math" w:hAnsi="Cambria Math" w:cs="Times New Roman"/>
                        </w:rPr>
                        <m:t>∂</m:t>
                      </m:r>
                      <m:r>
                        <m:rPr>
                          <m:sty m:val="p"/>
                        </m:rPr>
                        <w:rPr>
                          <w:rFonts w:ascii="Cambria Math" w:hAnsi="Cambria Math" w:cs="Times New Roman" w:hint="eastAsia"/>
                        </w:rPr>
                        <m:t>x</m:t>
                      </m:r>
                    </m:den>
                  </m:f>
                  <m:r>
                    <m:rPr>
                      <m:sty m:val="p"/>
                    </m:rPr>
                    <w:rPr>
                      <w:rFonts w:ascii="Cambria Math" w:hAnsi="Cambria Math" w:cs="Times New Roman"/>
                    </w:rPr>
                    <m:t>≥0, k=1, …, K</m:t>
                  </m:r>
                  <m:ctrlPr>
                    <w:rPr>
                      <w:rFonts w:ascii="Cambria Math" w:eastAsia="Cambria Math" w:hAnsi="Cambria Math" w:cs="Cambria Math"/>
                    </w:rPr>
                  </m:ctrlPr>
                </m:e>
                <m:e>
                  <m:r>
                    <m:rPr>
                      <m:sty m:val="p"/>
                    </m:rPr>
                    <w:rPr>
                      <w:rFonts w:ascii="Cambria Math" w:hAnsi="Cambria Math" w:cs="Times New Roman"/>
                    </w:rPr>
                    <m:t xml:space="preserve"> </m:t>
                  </m:r>
                  <m:f>
                    <m:fPr>
                      <m:ctrlPr>
                        <w:rPr>
                          <w:rFonts w:ascii="Cambria Math" w:hAnsi="Cambria Math" w:cs="Times New Roman"/>
                        </w:rPr>
                      </m:ctrlPr>
                    </m:fPr>
                    <m:num>
                      <m:r>
                        <m:rPr>
                          <m:sty m:val="p"/>
                        </m:rPr>
                        <w:rPr>
                          <w:rFonts w:ascii="Cambria Math" w:hAnsi="Cambria Math" w:cs="Times New Roman"/>
                        </w:rPr>
                        <m:t>∂</m:t>
                      </m:r>
                      <m:acc>
                        <m:accPr>
                          <m:chr m:val="⃗"/>
                          <m:ctrlPr>
                            <w:rPr>
                              <w:rFonts w:ascii="Cambria Math" w:hAnsi="Cambria Math" w:cs="Times New Roman"/>
                            </w:rPr>
                          </m:ctrlPr>
                        </m:accPr>
                        <m:e>
                          <m:r>
                            <m:rPr>
                              <m:sty m:val="p"/>
                            </m:rPr>
                            <w:rPr>
                              <w:rFonts w:ascii="Cambria Math" w:hAnsi="Cambria Math" w:cs="Times New Roman"/>
                            </w:rPr>
                            <m:t>D</m:t>
                          </m:r>
                        </m:e>
                      </m:acc>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k</m:t>
                              </m:r>
                            </m:sub>
                          </m:sSub>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k</m:t>
                              </m:r>
                            </m:sub>
                          </m:sSub>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b</m:t>
                              </m:r>
                            </m:e>
                            <m:sub>
                              <m:r>
                                <m:rPr>
                                  <m:sty m:val="p"/>
                                </m:rPr>
                                <w:rPr>
                                  <w:rFonts w:ascii="Cambria Math" w:hAnsi="Cambria Math" w:cs="Times New Roman"/>
                                </w:rPr>
                                <m:t>k</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g</m:t>
                              </m:r>
                            </m:e>
                            <m:sub>
                              <m:r>
                                <m:rPr>
                                  <m:sty m:val="p"/>
                                </m:rPr>
                                <w:rPr>
                                  <w:rFonts w:ascii="Cambria Math" w:hAnsi="Cambria Math" w:cs="Times New Roman"/>
                                </w:rPr>
                                <m:t>y</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g</m:t>
                              </m:r>
                            </m:e>
                            <m:sub>
                              <m:r>
                                <m:rPr>
                                  <m:sty m:val="p"/>
                                </m:rPr>
                                <w:rPr>
                                  <w:rFonts w:ascii="Cambria Math" w:hAnsi="Cambria Math" w:cs="Times New Roman"/>
                                </w:rPr>
                                <m:t>b</m:t>
                              </m:r>
                            </m:sub>
                          </m:sSub>
                        </m:e>
                      </m:d>
                    </m:num>
                    <m:den>
                      <m:r>
                        <m:rPr>
                          <m:sty m:val="p"/>
                        </m:rPr>
                        <w:rPr>
                          <w:rFonts w:ascii="Cambria Math" w:hAnsi="Cambria Math" w:cs="Times New Roman"/>
                        </w:rPr>
                        <m:t>∂y</m:t>
                      </m:r>
                    </m:den>
                  </m:f>
                  <m:r>
                    <m:rPr>
                      <m:sty m:val="p"/>
                    </m:rPr>
                    <w:rPr>
                      <w:rFonts w:ascii="Cambria Math" w:hAnsi="Cambria Math" w:cs="Times New Roman"/>
                    </w:rPr>
                    <m:t>≤0, k=1, …, K</m:t>
                  </m:r>
                  <m:ctrlPr>
                    <w:rPr>
                      <w:rFonts w:ascii="Cambria Math" w:hAnsi="Cambria Math" w:cs="Times New Roman"/>
                    </w:rPr>
                  </m:ctrlPr>
                </m:e>
                <m:e>
                  <m:acc>
                    <m:accPr>
                      <m:chr m:val="⃗"/>
                      <m:ctrlPr>
                        <w:rPr>
                          <w:rFonts w:ascii="Cambria Math" w:hAnsi="Cambria Math" w:cs="Times New Roman"/>
                        </w:rPr>
                      </m:ctrlPr>
                    </m:accPr>
                    <m:e>
                      <m:r>
                        <m:rPr>
                          <m:sty m:val="p"/>
                        </m:rPr>
                        <w:rPr>
                          <w:rFonts w:ascii="Cambria Math" w:hAnsi="Cambria Math" w:cs="Times New Roman"/>
                        </w:rPr>
                        <m:t>D</m:t>
                      </m:r>
                    </m:e>
                  </m:acc>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k</m:t>
                          </m:r>
                        </m:sub>
                      </m:sSub>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k</m:t>
                          </m:r>
                        </m:sub>
                      </m:sSub>
                      <m:r>
                        <m:rPr>
                          <m:sty m:val="p"/>
                        </m:rPr>
                        <w:rPr>
                          <w:rFonts w:ascii="Cambria Math" w:hAnsi="Cambria Math" w:cs="Times New Roman"/>
                        </w:rPr>
                        <m:t>, 0,</m:t>
                      </m:r>
                      <m:sSub>
                        <m:sSubPr>
                          <m:ctrlPr>
                            <w:rPr>
                              <w:rFonts w:ascii="Cambria Math" w:hAnsi="Cambria Math" w:cs="Times New Roman"/>
                            </w:rPr>
                          </m:ctrlPr>
                        </m:sSubPr>
                        <m:e>
                          <m:r>
                            <m:rPr>
                              <m:sty m:val="p"/>
                            </m:rPr>
                            <w:rPr>
                              <w:rFonts w:ascii="Cambria Math" w:hAnsi="Cambria Math" w:cs="Times New Roman"/>
                            </w:rPr>
                            <m:t>g</m:t>
                          </m:r>
                        </m:e>
                        <m:sub>
                          <m:r>
                            <m:rPr>
                              <m:sty m:val="p"/>
                            </m:rPr>
                            <w:rPr>
                              <w:rFonts w:ascii="Cambria Math" w:hAnsi="Cambria Math" w:cs="Times New Roman"/>
                            </w:rPr>
                            <m:t>y</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g</m:t>
                          </m:r>
                        </m:e>
                        <m:sub>
                          <m:r>
                            <m:rPr>
                              <m:sty m:val="p"/>
                            </m:rPr>
                            <w:rPr>
                              <w:rFonts w:ascii="Cambria Math" w:hAnsi="Cambria Math" w:cs="Times New Roman"/>
                            </w:rPr>
                            <m:t>b</m:t>
                          </m:r>
                        </m:sub>
                      </m:sSub>
                    </m:e>
                  </m:d>
                  <m:r>
                    <m:rPr>
                      <m:sty m:val="p"/>
                    </m:rPr>
                    <w:rPr>
                      <w:rFonts w:ascii="Cambria Math" w:hAnsi="Cambria Math" w:cs="Times New Roman"/>
                    </w:rPr>
                    <m:t>&lt;0, k=1, …,K</m:t>
                  </m:r>
                  <m:ctrlPr>
                    <w:rPr>
                      <w:rFonts w:ascii="Cambria Math" w:hAnsi="Cambria Math" w:cs="Times New Roman"/>
                      <w:i/>
                    </w:rPr>
                  </m:ctrlPr>
                </m:e>
                <m:e>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γ</m:t>
                      </m:r>
                    </m:e>
                    <m:sub>
                      <m:r>
                        <m:rPr>
                          <m:sty m:val="p"/>
                        </m:rPr>
                        <w:rPr>
                          <w:rFonts w:ascii="Cambria Math" w:hAnsi="Cambria Math" w:cs="Times New Roman"/>
                        </w:rPr>
                        <m:t>1</m:t>
                      </m:r>
                    </m:sub>
                  </m:sSub>
                  <m:r>
                    <m:rPr>
                      <m:sty m:val="p"/>
                    </m:rPr>
                    <w:rPr>
                      <w:rFonts w:ascii="Cambria Math" w:hAnsi="Cambria Math" w:cs="Times New Roman"/>
                    </w:rPr>
                    <m:t xml:space="preserve">=-1; </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11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11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γ</m:t>
                      </m:r>
                    </m:e>
                    <m:sub>
                      <m:r>
                        <m:rPr>
                          <m:sty m:val="p"/>
                        </m:rPr>
                        <w:rPr>
                          <w:rFonts w:ascii="Cambria Math" w:hAnsi="Cambria Math" w:cs="Times New Roman"/>
                        </w:rPr>
                        <m:t>11</m:t>
                      </m:r>
                    </m:sub>
                  </m:sSub>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δ</m:t>
                      </m:r>
                    </m:e>
                    <m:sub>
                      <m:r>
                        <m:rPr>
                          <m:sty m:val="p"/>
                        </m:rPr>
                        <w:rPr>
                          <w:rFonts w:ascii="Cambria Math" w:hAnsi="Cambria Math" w:cs="Times New Roman"/>
                        </w:rPr>
                        <m:t>n1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η</m:t>
                      </m:r>
                    </m:e>
                    <m:sub>
                      <m:r>
                        <m:rPr>
                          <m:sty m:val="p"/>
                        </m:rPr>
                        <w:rPr>
                          <w:rFonts w:ascii="Cambria Math" w:hAnsi="Cambria Math" w:cs="Times New Roman"/>
                        </w:rPr>
                        <m:t>n1</m:t>
                      </m:r>
                    </m:sub>
                  </m:sSub>
                  <m:r>
                    <m:rPr>
                      <m:sty m:val="p"/>
                    </m:rPr>
                    <w:rPr>
                      <w:rFonts w:ascii="Cambria Math" w:hAnsi="Cambria Math" w:cs="Times New Roman"/>
                    </w:rPr>
                    <m:t>=0</m:t>
                  </m:r>
                  <m:ctrlPr>
                    <w:rPr>
                      <w:rFonts w:ascii="Cambria Math" w:hAnsi="Cambria Math" w:cs="Times New Roman"/>
                      <w:i/>
                    </w:rPr>
                  </m:ctrlPr>
                </m:e>
                <m:e>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 xml:space="preserve">n, </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m:t>
                          </m:r>
                        </m:sup>
                      </m:sSup>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α</m:t>
                      </m:r>
                    </m:e>
                    <m:sub>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m:t>
                          </m:r>
                        </m:sup>
                      </m:sSup>
                      <m:r>
                        <m:rPr>
                          <m:sty m:val="p"/>
                        </m:rPr>
                        <w:rPr>
                          <w:rFonts w:ascii="Cambria Math" w:hAnsi="Cambria Math" w:cs="Times New Roman"/>
                        </w:rPr>
                        <m:t>,n</m:t>
                      </m:r>
                    </m:sub>
                  </m:sSub>
                </m:e>
              </m:eqArr>
            </m:e>
          </m:d>
        </m:oMath>
      </m:oMathPara>
    </w:p>
    <w:p w14:paraId="78F91978" w14:textId="77777777" w:rsidR="00897705" w:rsidRDefault="00000000">
      <w:pPr>
        <w:ind w:firstLineChars="200" w:firstLine="480"/>
        <w:rPr>
          <w:rFonts w:cs="Times New Roman"/>
          <w:lang w:val="en-SG"/>
        </w:rPr>
      </w:pPr>
      <w:r>
        <w:rPr>
          <w:rFonts w:cs="Times New Roman"/>
          <w:lang w:val="en-SG"/>
        </w:rPr>
        <w:t>求解上述线性规划问题，并令得到的方向性距离函数为零，即可得到生产可能性边界：</w:t>
      </w:r>
    </w:p>
    <w:p w14:paraId="0753143F" w14:textId="77777777" w:rsidR="00897705" w:rsidRDefault="00000000">
      <w:pPr>
        <w:ind w:firstLineChars="200" w:firstLine="480"/>
        <w:rPr>
          <w:rFonts w:cs="Times New Roman"/>
          <w:lang w:val="en-SG"/>
        </w:rPr>
      </w:pPr>
      <m:oMathPara>
        <m:oMath>
          <m:acc>
            <m:accPr>
              <m:chr m:val="⃗"/>
              <m:ctrlPr>
                <w:rPr>
                  <w:rFonts w:ascii="Cambria Math" w:hAnsi="Cambria Math" w:cs="Times New Roman"/>
                </w:rPr>
              </m:ctrlPr>
            </m:accPr>
            <m:e>
              <m:r>
                <m:rPr>
                  <m:sty m:val="p"/>
                </m:rPr>
                <w:rPr>
                  <w:rFonts w:ascii="Cambria Math" w:hAnsi="Cambria Math" w:cs="Times New Roman"/>
                </w:rPr>
                <m:t>D</m:t>
              </m:r>
            </m:e>
          </m:acc>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k</m:t>
                  </m:r>
                </m:sub>
              </m:sSub>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k</m:t>
                  </m:r>
                </m:sub>
              </m:sSub>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b</m:t>
                  </m:r>
                </m:e>
                <m:sub>
                  <m:r>
                    <m:rPr>
                      <m:sty m:val="p"/>
                    </m:rPr>
                    <w:rPr>
                      <w:rFonts w:ascii="Cambria Math" w:hAnsi="Cambria Math" w:cs="Times New Roman"/>
                    </w:rPr>
                    <m:t>k</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g</m:t>
                  </m:r>
                </m:e>
                <m:sub>
                  <m:r>
                    <m:rPr>
                      <m:sty m:val="p"/>
                    </m:rPr>
                    <w:rPr>
                      <w:rFonts w:ascii="Cambria Math" w:hAnsi="Cambria Math" w:cs="Times New Roman"/>
                    </w:rPr>
                    <m:t>y</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g</m:t>
                  </m:r>
                </m:e>
                <m:sub>
                  <m:r>
                    <m:rPr>
                      <m:sty m:val="p"/>
                    </m:rPr>
                    <w:rPr>
                      <w:rFonts w:ascii="Cambria Math" w:hAnsi="Cambria Math" w:cs="Times New Roman"/>
                    </w:rPr>
                    <m:t>b</m:t>
                  </m:r>
                </m:sub>
              </m:sSub>
            </m:e>
          </m:d>
          <m:r>
            <w:rPr>
              <w:rFonts w:ascii="Cambria Math" w:hAnsi="Cambria Math" w:cs="Times New Roman"/>
            </w:rPr>
            <m:t>=0</m:t>
          </m:r>
        </m:oMath>
      </m:oMathPara>
    </w:p>
    <w:p w14:paraId="193C6DE9" w14:textId="77777777" w:rsidR="00897705" w:rsidRDefault="00000000">
      <w:pPr>
        <w:ind w:firstLineChars="200" w:firstLine="480"/>
        <w:rPr>
          <w:rFonts w:cs="Times New Roman"/>
          <w:lang w:val="en-SG"/>
        </w:rPr>
      </w:pPr>
      <w:r>
        <w:rPr>
          <w:rFonts w:cs="Times New Roman"/>
          <w:lang w:val="en-SG"/>
        </w:rPr>
        <w:t>交通运输行业碳排放的影子价格即减排</w:t>
      </w:r>
      <w:r>
        <w:rPr>
          <w:rFonts w:cs="Times New Roman"/>
          <w:lang w:val="en-SG"/>
        </w:rPr>
        <w:t>1</w:t>
      </w:r>
      <w:r>
        <w:rPr>
          <w:rFonts w:cs="Times New Roman"/>
          <w:lang w:val="en-SG"/>
        </w:rPr>
        <w:t>单位二氧化碳的目标产出损失，故我们对上式进行微分并求解，得到碳排放的影子价格为：</w:t>
      </w:r>
    </w:p>
    <w:p w14:paraId="3E513FE3" w14:textId="77777777" w:rsidR="00897705" w:rsidRDefault="00000000">
      <w:pPr>
        <w:ind w:firstLineChars="200" w:firstLine="480"/>
      </w:pPr>
      <m:oMathPara>
        <m:oMath>
          <m:r>
            <w:rPr>
              <w:rFonts w:ascii="Cambria Math" w:hAnsi="Cambria Math" w:cs="Times New Roman"/>
            </w:rPr>
            <m:t>P=</m:t>
          </m:r>
          <m:f>
            <m:fPr>
              <m:ctrlPr>
                <w:rPr>
                  <w:rFonts w:ascii="Cambria Math" w:hAnsi="Cambria Math" w:cs="Times New Roman"/>
                  <w:i/>
                </w:rPr>
              </m:ctrlPr>
            </m:fPr>
            <m:num>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k</m:t>
                  </m:r>
                </m:sub>
              </m:sSub>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k</m:t>
                  </m:r>
                </m:sub>
              </m:sSub>
            </m:den>
          </m:f>
          <m:r>
            <w:rPr>
              <w:rFonts w:ascii="Cambria Math" w:hAnsi="Cambria Math" w:cs="Times New Roman"/>
            </w:rPr>
            <m:t>=-</m:t>
          </m:r>
          <m:f>
            <m:fPr>
              <m:ctrlPr>
                <w:rPr>
                  <w:rFonts w:ascii="Cambria Math" w:hAnsi="Cambria Math" w:cs="Times New Roman"/>
                  <w:i/>
                </w:rPr>
              </m:ctrlPr>
            </m:fPr>
            <m:num>
              <m:r>
                <m:rPr>
                  <m:sty m:val="p"/>
                </m:rPr>
                <w:rPr>
                  <w:rFonts w:ascii="Cambria Math" w:hAnsi="Cambria Math" w:cs="Times New Roman"/>
                </w:rPr>
                <m:t>∂</m:t>
              </m:r>
              <m:acc>
                <m:accPr>
                  <m:chr m:val="⃗"/>
                  <m:ctrlPr>
                    <w:rPr>
                      <w:rFonts w:ascii="Cambria Math" w:hAnsi="Cambria Math" w:cs="Times New Roman"/>
                    </w:rPr>
                  </m:ctrlPr>
                </m:accPr>
                <m:e>
                  <m:r>
                    <m:rPr>
                      <m:sty m:val="p"/>
                    </m:rPr>
                    <w:rPr>
                      <w:rFonts w:ascii="Cambria Math" w:hAnsi="Cambria Math" w:cs="Times New Roman"/>
                    </w:rPr>
                    <m:t>D</m:t>
                  </m:r>
                </m:e>
              </m:acc>
              <m:d>
                <m:dPr>
                  <m:ctrlPr>
                    <w:rPr>
                      <w:rFonts w:ascii="Cambria Math" w:hAnsi="Cambria Math" w:cs="Times New Roman"/>
                    </w:rPr>
                  </m:ctrlPr>
                </m:dPr>
                <m:e>
                  <m:r>
                    <m:rPr>
                      <m:sty m:val="p"/>
                    </m:rPr>
                    <w:rPr>
                      <w:rFonts w:ascii="Cambria Math" w:hAnsi="Cambria Math" w:cs="Times New Roman"/>
                    </w:rPr>
                    <m:t xml:space="preserve">x, y, b, </m:t>
                  </m:r>
                  <m:sSub>
                    <m:sSubPr>
                      <m:ctrlPr>
                        <w:rPr>
                          <w:rFonts w:ascii="Cambria Math" w:hAnsi="Cambria Math" w:cs="Times New Roman"/>
                        </w:rPr>
                      </m:ctrlPr>
                    </m:sSubPr>
                    <m:e>
                      <m:r>
                        <m:rPr>
                          <m:sty m:val="p"/>
                        </m:rPr>
                        <w:rPr>
                          <w:rFonts w:ascii="Cambria Math" w:hAnsi="Cambria Math" w:cs="Times New Roman"/>
                        </w:rPr>
                        <m:t>g</m:t>
                      </m:r>
                    </m:e>
                    <m:sub>
                      <m:r>
                        <m:rPr>
                          <m:sty m:val="p"/>
                        </m:rPr>
                        <w:rPr>
                          <w:rFonts w:ascii="Cambria Math" w:hAnsi="Cambria Math" w:cs="Times New Roman"/>
                        </w:rPr>
                        <m:t>y</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b</m:t>
                      </m:r>
                    </m:sub>
                  </m:sSub>
                </m:e>
              </m:d>
              <m:r>
                <w:rPr>
                  <w:rFonts w:ascii="Cambria Math" w:hAnsi="Cambria Math" w:cs="Times New Roman"/>
                </w:rPr>
                <m:t>/∂b</m:t>
              </m:r>
            </m:num>
            <m:den>
              <m:r>
                <m:rPr>
                  <m:sty m:val="p"/>
                </m:rPr>
                <w:rPr>
                  <w:rFonts w:ascii="Cambria Math" w:hAnsi="Cambria Math" w:cs="Times New Roman"/>
                </w:rPr>
                <m:t>∂</m:t>
              </m:r>
              <m:acc>
                <m:accPr>
                  <m:chr m:val="⃗"/>
                  <m:ctrlPr>
                    <w:rPr>
                      <w:rFonts w:ascii="Cambria Math" w:hAnsi="Cambria Math" w:cs="Times New Roman"/>
                    </w:rPr>
                  </m:ctrlPr>
                </m:accPr>
                <m:e>
                  <m:r>
                    <m:rPr>
                      <m:sty m:val="p"/>
                    </m:rPr>
                    <w:rPr>
                      <w:rFonts w:ascii="Cambria Math" w:hAnsi="Cambria Math" w:cs="Times New Roman"/>
                    </w:rPr>
                    <m:t>D</m:t>
                  </m:r>
                </m:e>
              </m:acc>
              <m:d>
                <m:dPr>
                  <m:ctrlPr>
                    <w:rPr>
                      <w:rFonts w:ascii="Cambria Math" w:hAnsi="Cambria Math" w:cs="Times New Roman"/>
                    </w:rPr>
                  </m:ctrlPr>
                </m:dPr>
                <m:e>
                  <m:r>
                    <m:rPr>
                      <m:sty m:val="p"/>
                    </m:rPr>
                    <w:rPr>
                      <w:rFonts w:ascii="Cambria Math" w:hAnsi="Cambria Math" w:cs="Times New Roman"/>
                    </w:rPr>
                    <m:t xml:space="preserve">x, y, b, </m:t>
                  </m:r>
                  <m:sSub>
                    <m:sSubPr>
                      <m:ctrlPr>
                        <w:rPr>
                          <w:rFonts w:ascii="Cambria Math" w:hAnsi="Cambria Math" w:cs="Times New Roman"/>
                        </w:rPr>
                      </m:ctrlPr>
                    </m:sSubPr>
                    <m:e>
                      <m:r>
                        <m:rPr>
                          <m:sty m:val="p"/>
                        </m:rPr>
                        <w:rPr>
                          <w:rFonts w:ascii="Cambria Math" w:hAnsi="Cambria Math" w:cs="Times New Roman"/>
                        </w:rPr>
                        <m:t>g</m:t>
                      </m:r>
                    </m:e>
                    <m:sub>
                      <m:r>
                        <m:rPr>
                          <m:sty m:val="p"/>
                        </m:rPr>
                        <w:rPr>
                          <w:rFonts w:ascii="Cambria Math" w:hAnsi="Cambria Math" w:cs="Times New Roman"/>
                        </w:rPr>
                        <m:t>y</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b</m:t>
                      </m:r>
                    </m:sub>
                  </m:sSub>
                </m:e>
              </m:d>
              <m:r>
                <w:rPr>
                  <w:rFonts w:ascii="Cambria Math" w:hAnsi="Cambria Math" w:cs="Times New Roman"/>
                </w:rPr>
                <m:t>/∂y</m:t>
              </m:r>
            </m:den>
          </m:f>
        </m:oMath>
      </m:oMathPara>
    </w:p>
    <w:p w14:paraId="4E0CC2CD" w14:textId="77777777" w:rsidR="00897705" w:rsidRDefault="00000000">
      <w:pPr>
        <w:pStyle w:val="2"/>
        <w:numPr>
          <w:ilvl w:val="0"/>
          <w:numId w:val="5"/>
        </w:numPr>
        <w:spacing w:before="156" w:after="156"/>
        <w:ind w:firstLine="420"/>
      </w:pPr>
      <w:bookmarkStart w:id="8" w:name="_Toc154908717"/>
      <w:r>
        <w:rPr>
          <w:rFonts w:hint="eastAsia"/>
        </w:rPr>
        <w:t>断点回归</w:t>
      </w:r>
      <w:bookmarkEnd w:id="8"/>
    </w:p>
    <w:p w14:paraId="5A9A1C6C" w14:textId="77777777" w:rsidR="00897705" w:rsidRDefault="00000000" w:rsidP="003A0B5F">
      <w:pPr>
        <w:ind w:firstLine="420"/>
      </w:pPr>
      <w:r>
        <w:rPr>
          <w:rFonts w:hint="eastAsia"/>
        </w:rPr>
        <w:t>考虑到在</w:t>
      </w:r>
      <w:r>
        <w:rPr>
          <w:rFonts w:hint="eastAsia"/>
        </w:rPr>
        <w:t>2</w:t>
      </w:r>
      <w:r>
        <w:t>015</w:t>
      </w:r>
      <w:r>
        <w:rPr>
          <w:rFonts w:hint="eastAsia"/>
        </w:rPr>
        <w:t>年《巴黎协定》颁布之后，所有的样本都同时受到了处理，断点回归方法可能是估计《巴黎协定》对</w:t>
      </w:r>
      <w:proofErr w:type="gramStart"/>
      <w:r>
        <w:rPr>
          <w:rFonts w:hint="eastAsia"/>
        </w:rPr>
        <w:t>碳价格</w:t>
      </w:r>
      <w:proofErr w:type="gramEnd"/>
      <w:r>
        <w:rPr>
          <w:rFonts w:hint="eastAsia"/>
        </w:rPr>
        <w:t>处理效应的最佳方法。此处，断点回归的假定是，我们认为</w:t>
      </w:r>
      <w:r>
        <w:t>在没有外生冲击时各地可以合理地假定为平稳发展，</w:t>
      </w:r>
      <w:proofErr w:type="gramStart"/>
      <w:r>
        <w:t>碳交易</w:t>
      </w:r>
      <w:proofErr w:type="gramEnd"/>
      <w:r>
        <w:t>价格应该保持相对稳定</w:t>
      </w:r>
      <w:r>
        <w:rPr>
          <w:rFonts w:hint="eastAsia"/>
        </w:rPr>
        <w:t>。基于这一假定（我们也会在后续实证部分验证），此时如果在观测的时期内只有《巴黎协定》这一外生冲击，并且在外生冲击之后</w:t>
      </w:r>
      <w:proofErr w:type="gramStart"/>
      <w:r>
        <w:rPr>
          <w:rFonts w:hint="eastAsia"/>
        </w:rPr>
        <w:t>碳交易</w:t>
      </w:r>
      <w:proofErr w:type="gramEnd"/>
      <w:r>
        <w:rPr>
          <w:rFonts w:hint="eastAsia"/>
        </w:rPr>
        <w:t>价格出现了波动，那么可以将该波动归因至此外生冲击。如果断点回归的这一前提假设成立，那么</w:t>
      </w:r>
      <w:r>
        <w:rPr>
          <w:rFonts w:hint="eastAsia"/>
        </w:rPr>
        <w:lastRenderedPageBreak/>
        <w:t>我们的估计就是有效的。</w:t>
      </w:r>
    </w:p>
    <w:p w14:paraId="65412EED" w14:textId="77777777" w:rsidR="00897705" w:rsidRDefault="00000000">
      <w:pPr>
        <w:pStyle w:val="1"/>
        <w:numPr>
          <w:ilvl w:val="0"/>
          <w:numId w:val="2"/>
        </w:numPr>
        <w:spacing w:before="312"/>
      </w:pPr>
      <w:bookmarkStart w:id="9" w:name="_Toc154908718"/>
      <w:r>
        <w:rPr>
          <w:rFonts w:hint="eastAsia"/>
        </w:rPr>
        <w:t>数据来源与处理</w:t>
      </w:r>
      <w:bookmarkEnd w:id="9"/>
    </w:p>
    <w:p w14:paraId="10B2362F" w14:textId="77777777" w:rsidR="00897705" w:rsidRDefault="00000000">
      <w:pPr>
        <w:pStyle w:val="2"/>
        <w:numPr>
          <w:ilvl w:val="0"/>
          <w:numId w:val="6"/>
        </w:numPr>
        <w:spacing w:before="156" w:after="156"/>
        <w:ind w:firstLine="420"/>
      </w:pPr>
      <w:bookmarkStart w:id="10" w:name="_Toc154908719"/>
      <w:r>
        <w:rPr>
          <w:rFonts w:hint="eastAsia"/>
        </w:rPr>
        <w:t>数据选取</w:t>
      </w:r>
      <w:bookmarkEnd w:id="10"/>
    </w:p>
    <w:p w14:paraId="1FD554C2" w14:textId="77777777" w:rsidR="00897705" w:rsidRDefault="00000000">
      <w:pPr>
        <w:pStyle w:val="TOC1"/>
        <w:ind w:firstLine="420"/>
      </w:pPr>
      <w:r>
        <w:rPr>
          <w:rFonts w:hint="eastAsia"/>
        </w:rPr>
        <w:t>鉴于数据的可获得性和样本代表性，研究样本为我国</w:t>
      </w:r>
      <w:r>
        <w:t>8</w:t>
      </w:r>
      <w:r>
        <w:rPr>
          <w:rFonts w:hint="eastAsia"/>
        </w:rPr>
        <w:t>个省份（城市），其中上海、浙江、江苏、安徽代表东南沿海较为发达的城市，</w:t>
      </w:r>
      <w:bookmarkStart w:id="11" w:name="_Hlk154171953"/>
      <w:r>
        <w:rPr>
          <w:rFonts w:hint="eastAsia"/>
        </w:rPr>
        <w:t>其经济特征为高碳排放相关产业依赖度低、政策落实水平及敏感度较高</w:t>
      </w:r>
      <w:bookmarkEnd w:id="11"/>
      <w:r>
        <w:rPr>
          <w:rFonts w:hint="eastAsia"/>
        </w:rPr>
        <w:t>；内蒙古自治区、宁夏回族自治区、新疆维吾尔自治区、甘肃省则代表西北内陆较为落后地区，其经济特征为高碳排放相关产业依赖度高、政策落实水平及敏感度较低，样本跨度为</w:t>
      </w:r>
      <w:r>
        <w:rPr>
          <w:rFonts w:hint="eastAsia"/>
        </w:rPr>
        <w:t>2011</w:t>
      </w:r>
      <w:r>
        <w:rPr>
          <w:rFonts w:hint="eastAsia"/>
        </w:rPr>
        <w:t>年</w:t>
      </w:r>
      <w:r>
        <w:rPr>
          <w:rFonts w:hint="eastAsia"/>
        </w:rPr>
        <w:t>-2020</w:t>
      </w:r>
      <w:r>
        <w:rPr>
          <w:rFonts w:hint="eastAsia"/>
        </w:rPr>
        <w:t>年。基于求解影子价格的模型，采用两大类产出进行分析，包括合意产出（各地区</w:t>
      </w:r>
      <w:r>
        <w:rPr>
          <w:rFonts w:hint="eastAsia"/>
        </w:rPr>
        <w:t>GDP</w:t>
      </w:r>
      <w:r>
        <w:rPr>
          <w:rFonts w:hint="eastAsia"/>
        </w:rPr>
        <w:t>产值）以及非合意产出（各地区二氧化碳排放量）；同时考虑三种要素投入：劳动力、资本存量及能源消费。下面对上述五类数据的来源或估计方法进行说明：</w:t>
      </w:r>
    </w:p>
    <w:p w14:paraId="56216C58" w14:textId="77777777" w:rsidR="00897705" w:rsidRDefault="00000000">
      <w:pPr>
        <w:pStyle w:val="TOC1"/>
        <w:numPr>
          <w:ilvl w:val="0"/>
          <w:numId w:val="7"/>
        </w:numPr>
        <w:rPr>
          <w:b/>
          <w:bCs/>
        </w:rPr>
      </w:pPr>
      <w:r>
        <w:rPr>
          <w:rFonts w:hint="eastAsia"/>
          <w:b/>
          <w:bCs/>
        </w:rPr>
        <w:t>劳动力</w:t>
      </w:r>
    </w:p>
    <w:p w14:paraId="5B464BF3" w14:textId="77777777" w:rsidR="00897705" w:rsidRDefault="00000000">
      <w:pPr>
        <w:pStyle w:val="TOC1"/>
        <w:ind w:firstLine="420"/>
      </w:pPr>
      <w:r>
        <w:rPr>
          <w:rFonts w:hint="eastAsia"/>
        </w:rPr>
        <w:t>该数据来自于《中国统计年鉴》，我们将各年度各地区第一、第二、第三产业从业人员数进行加和，得到全社会各行业从业人员数。</w:t>
      </w:r>
    </w:p>
    <w:p w14:paraId="32DC9D44" w14:textId="77777777" w:rsidR="00897705" w:rsidRDefault="00000000">
      <w:pPr>
        <w:pStyle w:val="TOC1"/>
        <w:numPr>
          <w:ilvl w:val="0"/>
          <w:numId w:val="7"/>
        </w:numPr>
        <w:rPr>
          <w:b/>
          <w:bCs/>
        </w:rPr>
      </w:pPr>
      <w:r>
        <w:rPr>
          <w:rFonts w:hint="eastAsia"/>
          <w:b/>
          <w:bCs/>
        </w:rPr>
        <w:t>资本存量</w:t>
      </w:r>
    </w:p>
    <w:p w14:paraId="548A1A6F" w14:textId="77777777" w:rsidR="00897705" w:rsidRDefault="00000000">
      <w:pPr>
        <w:pStyle w:val="TOC1"/>
        <w:ind w:firstLine="420"/>
      </w:pPr>
      <w:r>
        <w:rPr>
          <w:rFonts w:hint="eastAsia"/>
        </w:rPr>
        <w:t>对于资本存量，由于缺少相关数据统计，我们参考</w:t>
      </w:r>
      <w:r>
        <w:t>单豪杰（</w:t>
      </w:r>
      <w:r>
        <w:t>2008</w:t>
      </w:r>
      <w:r>
        <w:t>）《中国资本存量</w:t>
      </w:r>
      <w:r>
        <w:t>K</w:t>
      </w:r>
      <w:r>
        <w:t>的再估算</w:t>
      </w:r>
      <w:r>
        <w:t>:1952</w:t>
      </w:r>
      <w:r>
        <w:t>～</w:t>
      </w:r>
      <w:r>
        <w:t>2006</w:t>
      </w:r>
      <w:r>
        <w:t>年》</w:t>
      </w:r>
      <w:r>
        <w:rPr>
          <w:rFonts w:hint="eastAsia"/>
        </w:rPr>
        <w:t>中使用的永续盘存法进行估算：利用各省份统计年鉴公布的固定资产投资数据</w:t>
      </w:r>
      <w:proofErr w:type="spellStart"/>
      <w:r>
        <w:rPr>
          <w:rFonts w:hint="eastAsia"/>
        </w:rPr>
        <w:t>I</w:t>
      </w:r>
      <w:r>
        <w:rPr>
          <w:vertAlign w:val="subscript"/>
        </w:rPr>
        <w:t>i</w:t>
      </w:r>
      <w:proofErr w:type="spellEnd"/>
      <w:r>
        <w:rPr>
          <w:rFonts w:hint="eastAsia"/>
        </w:rPr>
        <w:t>，参照该论文计算所得的</w:t>
      </w:r>
      <w:r>
        <w:rPr>
          <w:rFonts w:hint="eastAsia"/>
        </w:rPr>
        <w:t>2</w:t>
      </w:r>
      <w:r>
        <w:t>006</w:t>
      </w:r>
      <w:r>
        <w:rPr>
          <w:rFonts w:hint="eastAsia"/>
        </w:rPr>
        <w:t>年各省资本存量作为初始值</w:t>
      </w:r>
      <w:r>
        <w:rPr>
          <w:rFonts w:hint="eastAsia"/>
        </w:rPr>
        <w:t>K</w:t>
      </w:r>
      <w:r>
        <w:rPr>
          <w:vertAlign w:val="subscript"/>
        </w:rPr>
        <w:t>i,2006</w:t>
      </w:r>
      <w:r>
        <w:t xml:space="preserve">, </w:t>
      </w:r>
      <w:r>
        <w:rPr>
          <w:rFonts w:hint="eastAsia"/>
        </w:rPr>
        <w:t>取折旧率</w:t>
      </w:r>
      <w:r>
        <w:t>ρ</w:t>
      </w:r>
      <w:r>
        <w:rPr>
          <w:rFonts w:hint="eastAsia"/>
        </w:rPr>
        <w:t>=</w:t>
      </w:r>
      <w:r>
        <w:t>9.6%</w:t>
      </w:r>
      <w:r>
        <w:rPr>
          <w:rFonts w:hint="eastAsia"/>
        </w:rPr>
        <w:t>，按照递推关系：</w:t>
      </w:r>
    </w:p>
    <w:p w14:paraId="51250145" w14:textId="77777777" w:rsidR="00897705" w:rsidRDefault="00000000">
      <w:pPr>
        <w:pStyle w:val="TOC1"/>
      </w:pPr>
      <m:oMathPara>
        <m:oMathParaPr>
          <m:jc m:val="center"/>
        </m:oMathParaPr>
        <m:oMath>
          <m:sSub>
            <m:sSubPr>
              <m:ctrlPr>
                <w:rPr>
                  <w:rFonts w:ascii="Cambria Math" w:hAnsi="Cambria Math"/>
                  <w:i/>
                </w:rPr>
              </m:ctrlPr>
            </m:sSubPr>
            <m:e>
              <m:r>
                <w:rPr>
                  <w:rFonts w:ascii="Cambria Math" w:hAnsi="Cambria Math"/>
                </w:rPr>
                <m:t>K</m:t>
              </m:r>
            </m:e>
            <m:sub>
              <m:r>
                <w:rPr>
                  <w:rFonts w:ascii="Cambria Math" w:hAnsi="Cambria Math"/>
                </w:rPr>
                <m:t>i,t+1</m:t>
              </m:r>
            </m:sub>
          </m:sSub>
          <m:r>
            <w:rPr>
              <w:rFonts w:ascii="Cambria Math" w:hAnsi="Cambria Math"/>
            </w:rPr>
            <m:t>=</m:t>
          </m:r>
          <m:d>
            <m:dPr>
              <m:ctrlPr>
                <w:rPr>
                  <w:rFonts w:ascii="Cambria Math" w:hAnsi="Cambria Math"/>
                  <w:i/>
                </w:rPr>
              </m:ctrlPr>
            </m:dPr>
            <m:e>
              <m:r>
                <w:rPr>
                  <w:rFonts w:ascii="Cambria Math" w:hAnsi="Cambria Math"/>
                </w:rPr>
                <m:t>1-ρ</m:t>
              </m:r>
            </m:e>
          </m:d>
          <m:sSub>
            <m:sSubPr>
              <m:ctrlPr>
                <w:rPr>
                  <w:rFonts w:ascii="Cambria Math" w:hAnsi="Cambria Math"/>
                  <w:i/>
                </w:rPr>
              </m:ctrlPr>
            </m:sSubPr>
            <m:e>
              <m:r>
                <w:rPr>
                  <w:rFonts w:ascii="Cambria Math" w:hAnsi="Cambria Math" w:hint="eastAsia"/>
                </w:rPr>
                <m:t>K</m:t>
              </m:r>
            </m:e>
            <m:sub>
              <m:r>
                <w:rPr>
                  <w:rFonts w:ascii="Cambria Math" w:hAnsi="Cambria Math" w:hint="eastAsia"/>
                </w:rPr>
                <m:t>i,</m:t>
              </m:r>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i</m:t>
              </m:r>
            </m:sub>
          </m:sSub>
        </m:oMath>
      </m:oMathPara>
    </w:p>
    <w:p w14:paraId="13AE91F4" w14:textId="77777777" w:rsidR="00897705" w:rsidRDefault="00000000">
      <w:pPr>
        <w:pStyle w:val="TOC1"/>
      </w:pPr>
      <w:r>
        <w:rPr>
          <w:rFonts w:hint="eastAsia"/>
        </w:rPr>
        <w:t>计算得到</w:t>
      </w:r>
      <w:r>
        <w:rPr>
          <w:rFonts w:hint="eastAsia"/>
        </w:rPr>
        <w:t>2</w:t>
      </w:r>
      <w:r>
        <w:t>011-2020</w:t>
      </w:r>
      <w:r>
        <w:rPr>
          <w:rFonts w:hint="eastAsia"/>
        </w:rPr>
        <w:t>年各省的资本存量。</w:t>
      </w:r>
    </w:p>
    <w:p w14:paraId="2B2207F9" w14:textId="77777777" w:rsidR="00897705" w:rsidRDefault="00000000">
      <w:pPr>
        <w:numPr>
          <w:ilvl w:val="0"/>
          <w:numId w:val="7"/>
        </w:numPr>
        <w:rPr>
          <w:b/>
          <w:bCs/>
        </w:rPr>
      </w:pPr>
      <w:r>
        <w:rPr>
          <w:rFonts w:hint="eastAsia"/>
          <w:b/>
          <w:bCs/>
        </w:rPr>
        <w:t>能源消耗</w:t>
      </w:r>
    </w:p>
    <w:p w14:paraId="53989620" w14:textId="77777777" w:rsidR="00897705" w:rsidRDefault="00000000">
      <w:pPr>
        <w:pStyle w:val="TOC1"/>
        <w:ind w:firstLine="420"/>
      </w:pPr>
      <w:r>
        <w:t>以按照标准煤换算系数换算成万吨标准煤单位的能源消耗量作为地区一次能源消费指标，数据来源为《中国能源统计年鉴（</w:t>
      </w:r>
      <w:r>
        <w:t>2015-2020</w:t>
      </w:r>
      <w:r>
        <w:t>）》</w:t>
      </w:r>
      <w:r>
        <w:rPr>
          <w:rFonts w:hint="eastAsia"/>
        </w:rPr>
        <w:t>。</w:t>
      </w:r>
    </w:p>
    <w:p w14:paraId="1FC42C15" w14:textId="77777777" w:rsidR="00897705" w:rsidRDefault="00000000">
      <w:pPr>
        <w:numPr>
          <w:ilvl w:val="0"/>
          <w:numId w:val="7"/>
        </w:numPr>
      </w:pPr>
      <w:r>
        <w:rPr>
          <w:rFonts w:hint="eastAsia"/>
          <w:b/>
          <w:bCs/>
        </w:rPr>
        <w:t>期望产出</w:t>
      </w:r>
    </w:p>
    <w:p w14:paraId="43DBEF08" w14:textId="77777777" w:rsidR="00897705" w:rsidRDefault="00000000">
      <w:r>
        <w:tab/>
      </w:r>
      <w:r>
        <w:rPr>
          <w:rFonts w:hint="eastAsia"/>
        </w:rPr>
        <w:t>根据国家统计局数据，将</w:t>
      </w:r>
      <w:r>
        <w:rPr>
          <w:rFonts w:hint="eastAsia"/>
        </w:rPr>
        <w:t>2011-2020</w:t>
      </w:r>
      <w:r>
        <w:rPr>
          <w:rFonts w:hint="eastAsia"/>
        </w:rPr>
        <w:t>年地区生产总值（现价）统一调整为以</w:t>
      </w:r>
      <w:r>
        <w:rPr>
          <w:rFonts w:hint="eastAsia"/>
        </w:rPr>
        <w:t>2010</w:t>
      </w:r>
      <w:r>
        <w:rPr>
          <w:rFonts w:hint="eastAsia"/>
        </w:rPr>
        <w:t>年为基期的地区生产总值（不变价），即为各省的年度实际</w:t>
      </w:r>
      <w:r>
        <w:rPr>
          <w:rFonts w:hint="eastAsia"/>
        </w:rPr>
        <w:t>GDP</w:t>
      </w:r>
      <w:r>
        <w:rPr>
          <w:rFonts w:hint="eastAsia"/>
        </w:rPr>
        <w:t>。</w:t>
      </w:r>
    </w:p>
    <w:p w14:paraId="676DD1BB" w14:textId="77777777" w:rsidR="00897705" w:rsidRDefault="00000000">
      <w:pPr>
        <w:numPr>
          <w:ilvl w:val="0"/>
          <w:numId w:val="7"/>
        </w:numPr>
        <w:rPr>
          <w:b/>
          <w:bCs/>
        </w:rPr>
      </w:pPr>
      <w:r>
        <w:rPr>
          <w:rFonts w:hint="eastAsia"/>
          <w:b/>
          <w:bCs/>
        </w:rPr>
        <w:lastRenderedPageBreak/>
        <w:t>非期望产出</w:t>
      </w:r>
    </w:p>
    <w:p w14:paraId="7B13EC3D" w14:textId="77777777" w:rsidR="00897705" w:rsidRDefault="00000000">
      <w:r>
        <w:tab/>
      </w:r>
      <w:r>
        <w:t>本文选择二氧化碳排放量作为非期望产出变量，数据来源为中国碳核算数据库</w:t>
      </w:r>
      <w:r>
        <w:rPr>
          <w:rFonts w:hint="eastAsia"/>
        </w:rPr>
        <w:t>（</w:t>
      </w:r>
      <w:r>
        <w:rPr>
          <w:rFonts w:hint="eastAsia"/>
        </w:rPr>
        <w:t>C</w:t>
      </w:r>
      <w:r>
        <w:t>EAD</w:t>
      </w:r>
      <w:r>
        <w:rPr>
          <w:rFonts w:hint="eastAsia"/>
        </w:rPr>
        <w:t>）</w:t>
      </w:r>
      <w:r>
        <w:t>中</w:t>
      </w:r>
      <w:r>
        <w:t>2011-2020</w:t>
      </w:r>
      <w:r>
        <w:t>年省级二氧化碳排放量数据。</w:t>
      </w:r>
    </w:p>
    <w:p w14:paraId="465AE349" w14:textId="77777777" w:rsidR="00897705" w:rsidRDefault="00000000">
      <w:pPr>
        <w:ind w:firstLine="420"/>
        <w:rPr>
          <w:rFonts w:cs="Times New Roman"/>
          <w:szCs w:val="32"/>
        </w:rPr>
      </w:pPr>
      <w:r>
        <w:rPr>
          <w:rFonts w:cs="Times New Roman"/>
          <w:szCs w:val="32"/>
        </w:rPr>
        <w:t>各原始变量的描述性统计信息</w:t>
      </w:r>
      <w:r>
        <w:rPr>
          <w:rFonts w:cs="Times New Roman" w:hint="eastAsia"/>
          <w:szCs w:val="32"/>
        </w:rPr>
        <w:t>如下表：</w:t>
      </w:r>
    </w:p>
    <w:p w14:paraId="27CE3C91" w14:textId="59C58D69" w:rsidR="00897705" w:rsidRDefault="00000000">
      <w:pPr>
        <w:pStyle w:val="a4"/>
        <w:jc w:val="center"/>
        <w:rPr>
          <w:rFonts w:cs="Times New Roman"/>
          <w:b/>
          <w:bCs/>
          <w:szCs w:val="32"/>
        </w:rPr>
      </w:pPr>
      <w:r>
        <w:rPr>
          <w:b/>
          <w:bCs/>
        </w:rPr>
        <w:t>表</w:t>
      </w:r>
      <w:r>
        <w:rPr>
          <w:b/>
          <w:bCs/>
        </w:rPr>
        <w:t xml:space="preserve"> </w:t>
      </w:r>
      <w:r>
        <w:rPr>
          <w:b/>
          <w:bCs/>
        </w:rPr>
        <w:fldChar w:fldCharType="begin"/>
      </w:r>
      <w:r>
        <w:rPr>
          <w:b/>
          <w:bCs/>
        </w:rPr>
        <w:instrText xml:space="preserve"> SEQ </w:instrText>
      </w:r>
      <w:r>
        <w:rPr>
          <w:b/>
          <w:bCs/>
        </w:rPr>
        <w:instrText>表</w:instrText>
      </w:r>
      <w:r>
        <w:rPr>
          <w:b/>
          <w:bCs/>
        </w:rPr>
        <w:instrText xml:space="preserve"> \* ARABIC </w:instrText>
      </w:r>
      <w:r>
        <w:rPr>
          <w:b/>
          <w:bCs/>
        </w:rPr>
        <w:fldChar w:fldCharType="separate"/>
      </w:r>
      <w:r w:rsidR="0069698C">
        <w:rPr>
          <w:b/>
          <w:bCs/>
          <w:noProof/>
        </w:rPr>
        <w:t>1</w:t>
      </w:r>
      <w:r>
        <w:rPr>
          <w:b/>
          <w:bCs/>
        </w:rPr>
        <w:fldChar w:fldCharType="end"/>
      </w:r>
      <w:bookmarkStart w:id="12" w:name="_Toc11093"/>
      <w:r>
        <w:rPr>
          <w:rFonts w:hint="eastAsia"/>
          <w:b/>
          <w:bCs/>
        </w:rPr>
        <w:t xml:space="preserve"> </w:t>
      </w:r>
      <w:r>
        <w:rPr>
          <w:rFonts w:cs="Times New Roman" w:hint="eastAsia"/>
          <w:b/>
          <w:bCs/>
          <w:szCs w:val="32"/>
        </w:rPr>
        <w:t>原始变量统计数据描述</w:t>
      </w:r>
      <w:bookmarkEnd w:id="12"/>
    </w:p>
    <w:tbl>
      <w:tblPr>
        <w:tblStyle w:val="af"/>
        <w:tblW w:w="949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12"/>
        <w:gridCol w:w="1938"/>
        <w:gridCol w:w="1337"/>
        <w:gridCol w:w="1116"/>
        <w:gridCol w:w="1116"/>
        <w:gridCol w:w="1116"/>
        <w:gridCol w:w="1362"/>
      </w:tblGrid>
      <w:tr w:rsidR="00897705" w14:paraId="6A21729D" w14:textId="77777777">
        <w:trPr>
          <w:trHeight w:val="20"/>
          <w:jc w:val="center"/>
        </w:trPr>
        <w:tc>
          <w:tcPr>
            <w:tcW w:w="3450" w:type="dxa"/>
            <w:gridSpan w:val="2"/>
            <w:tcBorders>
              <w:top w:val="single" w:sz="4" w:space="0" w:color="auto"/>
              <w:bottom w:val="single" w:sz="4" w:space="0" w:color="auto"/>
            </w:tcBorders>
            <w:shd w:val="clear" w:color="auto" w:fill="auto"/>
            <w:vAlign w:val="center"/>
          </w:tcPr>
          <w:p w14:paraId="2DF6405F" w14:textId="77777777" w:rsidR="00897705" w:rsidRDefault="00000000">
            <w:pPr>
              <w:tabs>
                <w:tab w:val="left" w:pos="8789"/>
              </w:tabs>
              <w:spacing w:beforeLines="50" w:before="156" w:afterLines="50" w:after="156" w:line="240" w:lineRule="auto"/>
              <w:jc w:val="center"/>
              <w:rPr>
                <w:rFonts w:cs="Times New Roman"/>
                <w:sz w:val="22"/>
                <w:szCs w:val="22"/>
              </w:rPr>
            </w:pPr>
            <w:r>
              <w:rPr>
                <w:rFonts w:cs="Times New Roman"/>
                <w:sz w:val="22"/>
                <w:szCs w:val="22"/>
              </w:rPr>
              <w:t>变量</w:t>
            </w:r>
          </w:p>
        </w:tc>
        <w:tc>
          <w:tcPr>
            <w:tcW w:w="1337" w:type="dxa"/>
            <w:tcBorders>
              <w:top w:val="single" w:sz="4" w:space="0" w:color="auto"/>
              <w:bottom w:val="single" w:sz="4" w:space="0" w:color="auto"/>
            </w:tcBorders>
            <w:shd w:val="clear" w:color="auto" w:fill="auto"/>
            <w:vAlign w:val="center"/>
          </w:tcPr>
          <w:p w14:paraId="5B10511B" w14:textId="77777777" w:rsidR="00897705" w:rsidRDefault="00000000">
            <w:pPr>
              <w:tabs>
                <w:tab w:val="left" w:pos="8789"/>
              </w:tabs>
              <w:spacing w:beforeLines="50" w:before="156" w:afterLines="50" w:after="156" w:line="240" w:lineRule="auto"/>
              <w:jc w:val="center"/>
              <w:rPr>
                <w:rFonts w:cs="Times New Roman"/>
                <w:sz w:val="22"/>
                <w:szCs w:val="22"/>
              </w:rPr>
            </w:pPr>
            <w:r>
              <w:rPr>
                <w:rFonts w:cs="Times New Roman"/>
                <w:sz w:val="22"/>
                <w:szCs w:val="22"/>
              </w:rPr>
              <w:t>单位</w:t>
            </w:r>
          </w:p>
        </w:tc>
        <w:tc>
          <w:tcPr>
            <w:tcW w:w="1116" w:type="dxa"/>
            <w:tcBorders>
              <w:top w:val="single" w:sz="4" w:space="0" w:color="auto"/>
              <w:bottom w:val="single" w:sz="4" w:space="0" w:color="auto"/>
            </w:tcBorders>
            <w:shd w:val="clear" w:color="auto" w:fill="auto"/>
            <w:vAlign w:val="center"/>
          </w:tcPr>
          <w:p w14:paraId="1C04556C" w14:textId="77777777" w:rsidR="00897705" w:rsidRDefault="00000000">
            <w:pPr>
              <w:tabs>
                <w:tab w:val="left" w:pos="8789"/>
              </w:tabs>
              <w:spacing w:beforeLines="50" w:before="156" w:afterLines="50" w:after="156" w:line="240" w:lineRule="auto"/>
              <w:jc w:val="center"/>
              <w:rPr>
                <w:rFonts w:cs="Times New Roman"/>
                <w:sz w:val="22"/>
                <w:szCs w:val="22"/>
              </w:rPr>
            </w:pPr>
            <w:r>
              <w:rPr>
                <w:rFonts w:cs="Times New Roman"/>
                <w:sz w:val="22"/>
                <w:szCs w:val="22"/>
              </w:rPr>
              <w:t>均值</w:t>
            </w:r>
          </w:p>
        </w:tc>
        <w:tc>
          <w:tcPr>
            <w:tcW w:w="1116" w:type="dxa"/>
            <w:tcBorders>
              <w:top w:val="single" w:sz="4" w:space="0" w:color="auto"/>
              <w:bottom w:val="single" w:sz="4" w:space="0" w:color="auto"/>
            </w:tcBorders>
            <w:shd w:val="clear" w:color="auto" w:fill="auto"/>
            <w:vAlign w:val="center"/>
          </w:tcPr>
          <w:p w14:paraId="6D4DD730" w14:textId="77777777" w:rsidR="00897705" w:rsidRDefault="00000000">
            <w:pPr>
              <w:tabs>
                <w:tab w:val="left" w:pos="8789"/>
              </w:tabs>
              <w:spacing w:beforeLines="50" w:before="156" w:afterLines="50" w:after="156" w:line="240" w:lineRule="auto"/>
              <w:jc w:val="center"/>
              <w:rPr>
                <w:rFonts w:cs="Times New Roman"/>
                <w:sz w:val="22"/>
                <w:szCs w:val="22"/>
              </w:rPr>
            </w:pPr>
            <w:r>
              <w:rPr>
                <w:rFonts w:cs="Times New Roman"/>
                <w:sz w:val="22"/>
                <w:szCs w:val="22"/>
              </w:rPr>
              <w:t>标准差</w:t>
            </w:r>
          </w:p>
        </w:tc>
        <w:tc>
          <w:tcPr>
            <w:tcW w:w="1116" w:type="dxa"/>
            <w:tcBorders>
              <w:top w:val="single" w:sz="4" w:space="0" w:color="auto"/>
              <w:bottom w:val="single" w:sz="4" w:space="0" w:color="auto"/>
            </w:tcBorders>
            <w:shd w:val="clear" w:color="auto" w:fill="auto"/>
            <w:vAlign w:val="center"/>
          </w:tcPr>
          <w:p w14:paraId="5E454D2A" w14:textId="77777777" w:rsidR="00897705" w:rsidRDefault="00000000">
            <w:pPr>
              <w:tabs>
                <w:tab w:val="left" w:pos="8789"/>
              </w:tabs>
              <w:spacing w:beforeLines="50" w:before="156" w:afterLines="50" w:after="156" w:line="240" w:lineRule="auto"/>
              <w:jc w:val="center"/>
              <w:rPr>
                <w:rFonts w:cs="Times New Roman"/>
                <w:sz w:val="22"/>
                <w:szCs w:val="22"/>
              </w:rPr>
            </w:pPr>
            <w:r>
              <w:rPr>
                <w:rFonts w:cs="Times New Roman"/>
                <w:sz w:val="22"/>
                <w:szCs w:val="22"/>
              </w:rPr>
              <w:t>最大值</w:t>
            </w:r>
          </w:p>
        </w:tc>
        <w:tc>
          <w:tcPr>
            <w:tcW w:w="1362" w:type="dxa"/>
            <w:tcBorders>
              <w:top w:val="single" w:sz="4" w:space="0" w:color="auto"/>
              <w:bottom w:val="single" w:sz="4" w:space="0" w:color="auto"/>
            </w:tcBorders>
            <w:shd w:val="clear" w:color="auto" w:fill="auto"/>
            <w:vAlign w:val="center"/>
          </w:tcPr>
          <w:p w14:paraId="23AE207F" w14:textId="77777777" w:rsidR="00897705" w:rsidRDefault="00000000">
            <w:pPr>
              <w:tabs>
                <w:tab w:val="left" w:pos="8789"/>
              </w:tabs>
              <w:spacing w:beforeLines="50" w:before="156" w:afterLines="50" w:after="156" w:line="240" w:lineRule="auto"/>
              <w:jc w:val="center"/>
              <w:rPr>
                <w:rFonts w:cs="Times New Roman"/>
                <w:sz w:val="22"/>
                <w:szCs w:val="22"/>
              </w:rPr>
            </w:pPr>
            <w:r>
              <w:rPr>
                <w:rFonts w:cs="Times New Roman"/>
                <w:sz w:val="22"/>
                <w:szCs w:val="22"/>
              </w:rPr>
              <w:t>最小值</w:t>
            </w:r>
          </w:p>
        </w:tc>
      </w:tr>
      <w:tr w:rsidR="00897705" w14:paraId="6CEF4576" w14:textId="77777777">
        <w:trPr>
          <w:trHeight w:val="20"/>
          <w:jc w:val="center"/>
        </w:trPr>
        <w:tc>
          <w:tcPr>
            <w:tcW w:w="1512" w:type="dxa"/>
            <w:vMerge w:val="restart"/>
            <w:tcBorders>
              <w:top w:val="single" w:sz="4" w:space="0" w:color="auto"/>
            </w:tcBorders>
            <w:shd w:val="clear" w:color="auto" w:fill="auto"/>
            <w:vAlign w:val="center"/>
          </w:tcPr>
          <w:p w14:paraId="2036E002" w14:textId="77777777" w:rsidR="00897705" w:rsidRDefault="00000000">
            <w:pPr>
              <w:tabs>
                <w:tab w:val="left" w:pos="8789"/>
              </w:tabs>
              <w:spacing w:beforeLines="50" w:before="156" w:afterLines="50" w:after="156" w:line="240" w:lineRule="auto"/>
              <w:jc w:val="center"/>
              <w:rPr>
                <w:rFonts w:cs="Times New Roman"/>
                <w:sz w:val="21"/>
                <w:szCs w:val="21"/>
              </w:rPr>
            </w:pPr>
            <w:r>
              <w:rPr>
                <w:rFonts w:cs="Times New Roman"/>
                <w:sz w:val="21"/>
                <w:szCs w:val="21"/>
              </w:rPr>
              <w:t>投入要素</w:t>
            </w:r>
          </w:p>
        </w:tc>
        <w:tc>
          <w:tcPr>
            <w:tcW w:w="1938" w:type="dxa"/>
            <w:tcBorders>
              <w:top w:val="single" w:sz="4" w:space="0" w:color="auto"/>
            </w:tcBorders>
            <w:shd w:val="clear" w:color="auto" w:fill="auto"/>
            <w:vAlign w:val="center"/>
          </w:tcPr>
          <w:p w14:paraId="743C6093" w14:textId="77777777" w:rsidR="00897705" w:rsidRDefault="00000000">
            <w:pPr>
              <w:tabs>
                <w:tab w:val="left" w:pos="8789"/>
              </w:tabs>
              <w:spacing w:beforeLines="50" w:before="156" w:afterLines="50" w:after="156" w:line="240" w:lineRule="auto"/>
              <w:jc w:val="center"/>
              <w:rPr>
                <w:rFonts w:cs="Times New Roman"/>
                <w:sz w:val="21"/>
                <w:szCs w:val="21"/>
              </w:rPr>
            </w:pPr>
            <w:r>
              <w:rPr>
                <w:rFonts w:cs="Times New Roman"/>
                <w:sz w:val="21"/>
                <w:szCs w:val="21"/>
              </w:rPr>
              <w:t>劳动力投入</w:t>
            </w:r>
          </w:p>
        </w:tc>
        <w:tc>
          <w:tcPr>
            <w:tcW w:w="1337" w:type="dxa"/>
            <w:tcBorders>
              <w:top w:val="single" w:sz="4" w:space="0" w:color="auto"/>
            </w:tcBorders>
            <w:shd w:val="clear" w:color="auto" w:fill="auto"/>
            <w:vAlign w:val="center"/>
          </w:tcPr>
          <w:p w14:paraId="4B51DBEA" w14:textId="77777777" w:rsidR="00897705" w:rsidRDefault="00000000">
            <w:pPr>
              <w:tabs>
                <w:tab w:val="left" w:pos="8789"/>
              </w:tabs>
              <w:spacing w:beforeLines="50" w:before="156" w:afterLines="50" w:after="156" w:line="240" w:lineRule="auto"/>
              <w:jc w:val="center"/>
              <w:rPr>
                <w:rFonts w:cs="Times New Roman"/>
                <w:sz w:val="21"/>
                <w:szCs w:val="21"/>
              </w:rPr>
            </w:pPr>
            <w:r>
              <w:rPr>
                <w:rFonts w:cs="Times New Roman"/>
                <w:sz w:val="21"/>
                <w:szCs w:val="21"/>
              </w:rPr>
              <w:t>万人</w:t>
            </w:r>
          </w:p>
        </w:tc>
        <w:tc>
          <w:tcPr>
            <w:tcW w:w="1116" w:type="dxa"/>
            <w:tcBorders>
              <w:top w:val="single" w:sz="4" w:space="0" w:color="auto"/>
            </w:tcBorders>
            <w:shd w:val="clear" w:color="auto" w:fill="auto"/>
          </w:tcPr>
          <w:p w14:paraId="1E6E8B3C" w14:textId="77777777" w:rsidR="00897705" w:rsidRDefault="00000000">
            <w:pPr>
              <w:tabs>
                <w:tab w:val="left" w:pos="8789"/>
              </w:tabs>
              <w:spacing w:beforeLines="50" w:before="156" w:afterLines="50" w:after="156" w:line="240" w:lineRule="auto"/>
              <w:jc w:val="center"/>
              <w:rPr>
                <w:rFonts w:cs="Times New Roman"/>
                <w:sz w:val="21"/>
                <w:szCs w:val="21"/>
              </w:rPr>
            </w:pPr>
            <w:r>
              <w:rPr>
                <w:rFonts w:cs="Times New Roman"/>
                <w:sz w:val="21"/>
                <w:szCs w:val="21"/>
              </w:rPr>
              <w:t>2291.24</w:t>
            </w:r>
          </w:p>
        </w:tc>
        <w:tc>
          <w:tcPr>
            <w:tcW w:w="1116" w:type="dxa"/>
            <w:tcBorders>
              <w:top w:val="single" w:sz="4" w:space="0" w:color="auto"/>
            </w:tcBorders>
            <w:shd w:val="clear" w:color="auto" w:fill="auto"/>
          </w:tcPr>
          <w:p w14:paraId="11E02D81" w14:textId="77777777" w:rsidR="00897705" w:rsidRDefault="00000000">
            <w:pPr>
              <w:tabs>
                <w:tab w:val="left" w:pos="8789"/>
              </w:tabs>
              <w:spacing w:beforeLines="50" w:before="156" w:afterLines="50" w:after="156" w:line="240" w:lineRule="auto"/>
              <w:jc w:val="center"/>
              <w:rPr>
                <w:rFonts w:cs="Times New Roman"/>
                <w:sz w:val="21"/>
                <w:szCs w:val="21"/>
              </w:rPr>
            </w:pPr>
            <w:r>
              <w:rPr>
                <w:rFonts w:cs="Times New Roman"/>
                <w:sz w:val="21"/>
                <w:szCs w:val="21"/>
              </w:rPr>
              <w:t>1531.05</w:t>
            </w:r>
          </w:p>
        </w:tc>
        <w:tc>
          <w:tcPr>
            <w:tcW w:w="1116" w:type="dxa"/>
            <w:tcBorders>
              <w:top w:val="single" w:sz="4" w:space="0" w:color="auto"/>
            </w:tcBorders>
            <w:shd w:val="clear" w:color="auto" w:fill="auto"/>
          </w:tcPr>
          <w:p w14:paraId="603E63E3" w14:textId="77777777" w:rsidR="00897705" w:rsidRDefault="00000000">
            <w:pPr>
              <w:tabs>
                <w:tab w:val="left" w:pos="8789"/>
              </w:tabs>
              <w:spacing w:beforeLines="50" w:before="156" w:afterLines="50" w:after="156" w:line="240" w:lineRule="auto"/>
              <w:jc w:val="center"/>
              <w:rPr>
                <w:rFonts w:cs="Times New Roman"/>
                <w:sz w:val="21"/>
                <w:szCs w:val="21"/>
              </w:rPr>
            </w:pPr>
            <w:r>
              <w:rPr>
                <w:rFonts w:cs="Times New Roman"/>
                <w:sz w:val="21"/>
                <w:szCs w:val="21"/>
              </w:rPr>
              <w:t>4893.00</w:t>
            </w:r>
          </w:p>
        </w:tc>
        <w:tc>
          <w:tcPr>
            <w:tcW w:w="1362" w:type="dxa"/>
            <w:tcBorders>
              <w:top w:val="single" w:sz="4" w:space="0" w:color="auto"/>
            </w:tcBorders>
            <w:shd w:val="clear" w:color="auto" w:fill="auto"/>
          </w:tcPr>
          <w:p w14:paraId="548AD3E1" w14:textId="77777777" w:rsidR="00897705" w:rsidRDefault="00000000">
            <w:pPr>
              <w:tabs>
                <w:tab w:val="left" w:pos="8789"/>
              </w:tabs>
              <w:spacing w:beforeLines="50" w:before="156" w:afterLines="50" w:after="156" w:line="240" w:lineRule="auto"/>
              <w:jc w:val="center"/>
              <w:rPr>
                <w:rFonts w:cs="Times New Roman"/>
                <w:sz w:val="21"/>
                <w:szCs w:val="21"/>
              </w:rPr>
            </w:pPr>
            <w:r>
              <w:rPr>
                <w:rFonts w:cs="Times New Roman"/>
                <w:sz w:val="21"/>
                <w:szCs w:val="21"/>
              </w:rPr>
              <w:t>478.50</w:t>
            </w:r>
          </w:p>
        </w:tc>
      </w:tr>
      <w:tr w:rsidR="00897705" w14:paraId="34421F0A" w14:textId="77777777">
        <w:trPr>
          <w:trHeight w:val="20"/>
          <w:jc w:val="center"/>
        </w:trPr>
        <w:tc>
          <w:tcPr>
            <w:tcW w:w="1512" w:type="dxa"/>
            <w:vMerge/>
            <w:shd w:val="clear" w:color="auto" w:fill="auto"/>
            <w:vAlign w:val="center"/>
          </w:tcPr>
          <w:p w14:paraId="3248C132" w14:textId="77777777" w:rsidR="00897705" w:rsidRDefault="00897705">
            <w:pPr>
              <w:tabs>
                <w:tab w:val="left" w:pos="8789"/>
              </w:tabs>
              <w:spacing w:beforeLines="50" w:before="156" w:afterLines="50" w:after="156" w:line="240" w:lineRule="auto"/>
              <w:jc w:val="center"/>
              <w:rPr>
                <w:rFonts w:cs="Times New Roman"/>
                <w:sz w:val="21"/>
                <w:szCs w:val="21"/>
              </w:rPr>
            </w:pPr>
          </w:p>
        </w:tc>
        <w:tc>
          <w:tcPr>
            <w:tcW w:w="1938" w:type="dxa"/>
            <w:shd w:val="clear" w:color="auto" w:fill="auto"/>
            <w:vAlign w:val="center"/>
          </w:tcPr>
          <w:p w14:paraId="2C28626C" w14:textId="77777777" w:rsidR="00897705" w:rsidRDefault="00000000">
            <w:pPr>
              <w:tabs>
                <w:tab w:val="left" w:pos="8789"/>
              </w:tabs>
              <w:spacing w:beforeLines="50" w:before="156" w:afterLines="50" w:after="156" w:line="240" w:lineRule="auto"/>
              <w:jc w:val="center"/>
              <w:rPr>
                <w:rFonts w:cs="Times New Roman"/>
                <w:sz w:val="21"/>
                <w:szCs w:val="21"/>
              </w:rPr>
            </w:pPr>
            <w:r>
              <w:rPr>
                <w:rFonts w:cs="Times New Roman"/>
                <w:sz w:val="21"/>
                <w:szCs w:val="21"/>
              </w:rPr>
              <w:t>资本存量</w:t>
            </w:r>
          </w:p>
        </w:tc>
        <w:tc>
          <w:tcPr>
            <w:tcW w:w="1337" w:type="dxa"/>
            <w:shd w:val="clear" w:color="auto" w:fill="auto"/>
            <w:vAlign w:val="center"/>
          </w:tcPr>
          <w:p w14:paraId="2454991C" w14:textId="77777777" w:rsidR="00897705" w:rsidRDefault="00000000">
            <w:pPr>
              <w:tabs>
                <w:tab w:val="left" w:pos="8789"/>
              </w:tabs>
              <w:spacing w:beforeLines="50" w:before="156" w:afterLines="50" w:after="156" w:line="240" w:lineRule="auto"/>
              <w:jc w:val="center"/>
              <w:rPr>
                <w:rFonts w:cs="Times New Roman"/>
                <w:sz w:val="21"/>
                <w:szCs w:val="21"/>
              </w:rPr>
            </w:pPr>
            <w:r>
              <w:rPr>
                <w:rFonts w:cs="Times New Roman"/>
                <w:sz w:val="21"/>
                <w:szCs w:val="21"/>
              </w:rPr>
              <w:t>亿元</w:t>
            </w:r>
          </w:p>
        </w:tc>
        <w:tc>
          <w:tcPr>
            <w:tcW w:w="1116" w:type="dxa"/>
            <w:shd w:val="clear" w:color="auto" w:fill="auto"/>
          </w:tcPr>
          <w:p w14:paraId="5C8292C6" w14:textId="77777777" w:rsidR="00897705" w:rsidRDefault="00000000">
            <w:pPr>
              <w:tabs>
                <w:tab w:val="left" w:pos="8789"/>
              </w:tabs>
              <w:spacing w:beforeLines="50" w:before="156" w:afterLines="50" w:after="156" w:line="240" w:lineRule="auto"/>
              <w:jc w:val="center"/>
              <w:rPr>
                <w:rFonts w:cs="Times New Roman"/>
                <w:sz w:val="21"/>
                <w:szCs w:val="21"/>
              </w:rPr>
            </w:pPr>
            <w:r>
              <w:rPr>
                <w:rFonts w:cs="Times New Roman"/>
                <w:sz w:val="21"/>
                <w:szCs w:val="21"/>
              </w:rPr>
              <w:t>80530.69</w:t>
            </w:r>
          </w:p>
        </w:tc>
        <w:tc>
          <w:tcPr>
            <w:tcW w:w="1116" w:type="dxa"/>
            <w:shd w:val="clear" w:color="auto" w:fill="auto"/>
          </w:tcPr>
          <w:p w14:paraId="18459A56" w14:textId="77777777" w:rsidR="00897705" w:rsidRDefault="00000000">
            <w:pPr>
              <w:tabs>
                <w:tab w:val="left" w:pos="8789"/>
              </w:tabs>
              <w:spacing w:beforeLines="50" w:before="156" w:afterLines="50" w:after="156" w:line="240" w:lineRule="auto"/>
              <w:jc w:val="center"/>
              <w:rPr>
                <w:rFonts w:cs="Times New Roman"/>
                <w:sz w:val="21"/>
                <w:szCs w:val="21"/>
              </w:rPr>
            </w:pPr>
            <w:r>
              <w:rPr>
                <w:rFonts w:cs="Times New Roman"/>
                <w:sz w:val="21"/>
                <w:szCs w:val="21"/>
              </w:rPr>
              <w:t>73886.39</w:t>
            </w:r>
          </w:p>
        </w:tc>
        <w:tc>
          <w:tcPr>
            <w:tcW w:w="1116" w:type="dxa"/>
            <w:shd w:val="clear" w:color="auto" w:fill="auto"/>
          </w:tcPr>
          <w:p w14:paraId="413E9801" w14:textId="77777777" w:rsidR="00897705" w:rsidRDefault="00000000">
            <w:pPr>
              <w:tabs>
                <w:tab w:val="left" w:pos="8789"/>
              </w:tabs>
              <w:spacing w:beforeLines="50" w:before="156" w:afterLines="50" w:after="156" w:line="240" w:lineRule="auto"/>
              <w:jc w:val="center"/>
              <w:rPr>
                <w:rFonts w:cs="Times New Roman"/>
                <w:sz w:val="21"/>
                <w:szCs w:val="21"/>
              </w:rPr>
            </w:pPr>
            <w:r>
              <w:rPr>
                <w:rFonts w:cs="Times New Roman"/>
                <w:sz w:val="21"/>
                <w:szCs w:val="21"/>
              </w:rPr>
              <w:t>346860.12</w:t>
            </w:r>
          </w:p>
        </w:tc>
        <w:tc>
          <w:tcPr>
            <w:tcW w:w="1362" w:type="dxa"/>
            <w:shd w:val="clear" w:color="auto" w:fill="auto"/>
          </w:tcPr>
          <w:p w14:paraId="195A3223" w14:textId="77777777" w:rsidR="00897705" w:rsidRDefault="00000000">
            <w:pPr>
              <w:tabs>
                <w:tab w:val="left" w:pos="8789"/>
              </w:tabs>
              <w:spacing w:beforeLines="50" w:before="156" w:afterLines="50" w:after="156" w:line="240" w:lineRule="auto"/>
              <w:jc w:val="center"/>
              <w:rPr>
                <w:rFonts w:cs="Times New Roman"/>
                <w:sz w:val="21"/>
                <w:szCs w:val="21"/>
              </w:rPr>
            </w:pPr>
            <w:r>
              <w:rPr>
                <w:rFonts w:cs="Times New Roman"/>
                <w:sz w:val="21"/>
                <w:szCs w:val="21"/>
              </w:rPr>
              <w:t>5189.69</w:t>
            </w:r>
          </w:p>
        </w:tc>
      </w:tr>
      <w:tr w:rsidR="00897705" w14:paraId="6D3AF3B5" w14:textId="77777777">
        <w:trPr>
          <w:trHeight w:val="20"/>
          <w:jc w:val="center"/>
        </w:trPr>
        <w:tc>
          <w:tcPr>
            <w:tcW w:w="1512" w:type="dxa"/>
            <w:vMerge/>
            <w:shd w:val="clear" w:color="auto" w:fill="auto"/>
            <w:vAlign w:val="center"/>
          </w:tcPr>
          <w:p w14:paraId="67AD908E" w14:textId="77777777" w:rsidR="00897705" w:rsidRDefault="00897705">
            <w:pPr>
              <w:tabs>
                <w:tab w:val="left" w:pos="8789"/>
              </w:tabs>
              <w:spacing w:beforeLines="50" w:before="156" w:afterLines="50" w:after="156" w:line="240" w:lineRule="auto"/>
              <w:jc w:val="center"/>
              <w:rPr>
                <w:rFonts w:cs="Times New Roman"/>
                <w:sz w:val="21"/>
                <w:szCs w:val="21"/>
              </w:rPr>
            </w:pPr>
          </w:p>
        </w:tc>
        <w:tc>
          <w:tcPr>
            <w:tcW w:w="1938" w:type="dxa"/>
            <w:shd w:val="clear" w:color="auto" w:fill="auto"/>
            <w:vAlign w:val="center"/>
          </w:tcPr>
          <w:p w14:paraId="088F9432" w14:textId="77777777" w:rsidR="00897705" w:rsidRDefault="00000000">
            <w:pPr>
              <w:tabs>
                <w:tab w:val="left" w:pos="8789"/>
              </w:tabs>
              <w:spacing w:beforeLines="50" w:before="156" w:afterLines="50" w:after="156" w:line="240" w:lineRule="auto"/>
              <w:jc w:val="center"/>
              <w:rPr>
                <w:rFonts w:cs="Times New Roman"/>
                <w:sz w:val="21"/>
                <w:szCs w:val="21"/>
              </w:rPr>
            </w:pPr>
            <w:r>
              <w:rPr>
                <w:rFonts w:cs="Times New Roman"/>
                <w:sz w:val="21"/>
                <w:szCs w:val="21"/>
              </w:rPr>
              <w:t>能源消耗量</w:t>
            </w:r>
          </w:p>
        </w:tc>
        <w:tc>
          <w:tcPr>
            <w:tcW w:w="1337" w:type="dxa"/>
            <w:shd w:val="clear" w:color="auto" w:fill="auto"/>
            <w:vAlign w:val="center"/>
          </w:tcPr>
          <w:p w14:paraId="0734F844" w14:textId="77777777" w:rsidR="00897705" w:rsidRDefault="00000000">
            <w:pPr>
              <w:tabs>
                <w:tab w:val="left" w:pos="8789"/>
              </w:tabs>
              <w:spacing w:beforeLines="50" w:before="156" w:afterLines="50" w:after="156" w:line="240" w:lineRule="auto"/>
              <w:jc w:val="center"/>
              <w:rPr>
                <w:rFonts w:cs="Times New Roman"/>
                <w:sz w:val="21"/>
                <w:szCs w:val="21"/>
              </w:rPr>
            </w:pPr>
            <w:r>
              <w:rPr>
                <w:rFonts w:cs="Times New Roman"/>
                <w:sz w:val="21"/>
                <w:szCs w:val="21"/>
              </w:rPr>
              <w:t>万吨标准煤</w:t>
            </w:r>
          </w:p>
        </w:tc>
        <w:tc>
          <w:tcPr>
            <w:tcW w:w="1116" w:type="dxa"/>
            <w:shd w:val="clear" w:color="auto" w:fill="auto"/>
          </w:tcPr>
          <w:p w14:paraId="162501BA" w14:textId="77777777" w:rsidR="00897705" w:rsidRDefault="00000000">
            <w:pPr>
              <w:tabs>
                <w:tab w:val="left" w:pos="8789"/>
              </w:tabs>
              <w:spacing w:beforeLines="50" w:before="156" w:afterLines="50" w:after="156" w:line="240" w:lineRule="auto"/>
              <w:jc w:val="center"/>
              <w:rPr>
                <w:rFonts w:cs="Times New Roman"/>
                <w:sz w:val="21"/>
                <w:szCs w:val="21"/>
              </w:rPr>
            </w:pPr>
            <w:r>
              <w:rPr>
                <w:rFonts w:cs="Times New Roman"/>
                <w:sz w:val="21"/>
                <w:szCs w:val="21"/>
              </w:rPr>
              <w:t>15470.54</w:t>
            </w:r>
          </w:p>
        </w:tc>
        <w:tc>
          <w:tcPr>
            <w:tcW w:w="1116" w:type="dxa"/>
            <w:shd w:val="clear" w:color="auto" w:fill="auto"/>
          </w:tcPr>
          <w:p w14:paraId="24BFF8D1" w14:textId="77777777" w:rsidR="00897705" w:rsidRDefault="00000000">
            <w:pPr>
              <w:tabs>
                <w:tab w:val="left" w:pos="8789"/>
              </w:tabs>
              <w:spacing w:beforeLines="50" w:before="156" w:afterLines="50" w:after="156" w:line="240" w:lineRule="auto"/>
              <w:jc w:val="center"/>
              <w:rPr>
                <w:rFonts w:cs="Times New Roman"/>
                <w:sz w:val="21"/>
                <w:szCs w:val="21"/>
              </w:rPr>
            </w:pPr>
            <w:r>
              <w:rPr>
                <w:rFonts w:cs="Times New Roman"/>
                <w:sz w:val="21"/>
                <w:szCs w:val="21"/>
              </w:rPr>
              <w:t>7812.91</w:t>
            </w:r>
          </w:p>
        </w:tc>
        <w:tc>
          <w:tcPr>
            <w:tcW w:w="1116" w:type="dxa"/>
            <w:shd w:val="clear" w:color="auto" w:fill="auto"/>
          </w:tcPr>
          <w:p w14:paraId="73B91EE6" w14:textId="77777777" w:rsidR="00897705" w:rsidRDefault="00000000">
            <w:pPr>
              <w:tabs>
                <w:tab w:val="left" w:pos="8789"/>
              </w:tabs>
              <w:spacing w:beforeLines="50" w:before="156" w:afterLines="50" w:after="156" w:line="240" w:lineRule="auto"/>
              <w:jc w:val="center"/>
              <w:rPr>
                <w:rFonts w:cs="Times New Roman"/>
                <w:sz w:val="21"/>
                <w:szCs w:val="21"/>
              </w:rPr>
            </w:pPr>
            <w:r>
              <w:rPr>
                <w:rFonts w:cs="Times New Roman"/>
                <w:sz w:val="21"/>
                <w:szCs w:val="21"/>
              </w:rPr>
              <w:t>32672.49</w:t>
            </w:r>
          </w:p>
        </w:tc>
        <w:tc>
          <w:tcPr>
            <w:tcW w:w="1362" w:type="dxa"/>
            <w:shd w:val="clear" w:color="auto" w:fill="auto"/>
          </w:tcPr>
          <w:p w14:paraId="1FE34781" w14:textId="77777777" w:rsidR="00897705" w:rsidRDefault="00000000">
            <w:pPr>
              <w:tabs>
                <w:tab w:val="left" w:pos="8789"/>
              </w:tabs>
              <w:spacing w:beforeLines="50" w:before="156" w:afterLines="50" w:after="156" w:line="240" w:lineRule="auto"/>
              <w:jc w:val="center"/>
              <w:rPr>
                <w:rFonts w:cs="Times New Roman"/>
                <w:sz w:val="21"/>
                <w:szCs w:val="21"/>
              </w:rPr>
            </w:pPr>
            <w:r>
              <w:rPr>
                <w:rFonts w:cs="Times New Roman"/>
                <w:sz w:val="21"/>
                <w:szCs w:val="21"/>
              </w:rPr>
              <w:t>4719.90</w:t>
            </w:r>
          </w:p>
        </w:tc>
      </w:tr>
      <w:tr w:rsidR="00897705" w14:paraId="64C90DD9" w14:textId="77777777">
        <w:trPr>
          <w:trHeight w:val="20"/>
          <w:jc w:val="center"/>
        </w:trPr>
        <w:tc>
          <w:tcPr>
            <w:tcW w:w="1512" w:type="dxa"/>
            <w:shd w:val="clear" w:color="auto" w:fill="auto"/>
            <w:vAlign w:val="center"/>
          </w:tcPr>
          <w:p w14:paraId="09A44A6A" w14:textId="77777777" w:rsidR="00897705" w:rsidRDefault="00000000">
            <w:pPr>
              <w:tabs>
                <w:tab w:val="left" w:pos="8789"/>
              </w:tabs>
              <w:spacing w:beforeLines="50" w:before="156" w:afterLines="50" w:after="156" w:line="240" w:lineRule="auto"/>
              <w:jc w:val="center"/>
              <w:rPr>
                <w:rFonts w:cs="Times New Roman"/>
                <w:sz w:val="21"/>
                <w:szCs w:val="21"/>
              </w:rPr>
            </w:pPr>
            <w:r>
              <w:rPr>
                <w:rFonts w:cs="Times New Roman"/>
                <w:sz w:val="21"/>
                <w:szCs w:val="21"/>
              </w:rPr>
              <w:t>期望产出</w:t>
            </w:r>
          </w:p>
        </w:tc>
        <w:tc>
          <w:tcPr>
            <w:tcW w:w="1938" w:type="dxa"/>
            <w:shd w:val="clear" w:color="auto" w:fill="auto"/>
            <w:vAlign w:val="center"/>
          </w:tcPr>
          <w:p w14:paraId="7EC76818" w14:textId="77777777" w:rsidR="00897705" w:rsidRDefault="00000000">
            <w:pPr>
              <w:tabs>
                <w:tab w:val="left" w:pos="8789"/>
              </w:tabs>
              <w:spacing w:beforeLines="50" w:before="156" w:afterLines="50" w:after="156" w:line="240" w:lineRule="auto"/>
              <w:jc w:val="center"/>
              <w:rPr>
                <w:rFonts w:cs="Times New Roman"/>
                <w:sz w:val="21"/>
                <w:szCs w:val="21"/>
              </w:rPr>
            </w:pPr>
            <w:r>
              <w:rPr>
                <w:rFonts w:cs="Times New Roman"/>
                <w:sz w:val="21"/>
                <w:szCs w:val="21"/>
              </w:rPr>
              <w:t>地区实际生产总值</w:t>
            </w:r>
          </w:p>
        </w:tc>
        <w:tc>
          <w:tcPr>
            <w:tcW w:w="1337" w:type="dxa"/>
            <w:shd w:val="clear" w:color="auto" w:fill="auto"/>
            <w:vAlign w:val="center"/>
          </w:tcPr>
          <w:p w14:paraId="42F16BA3" w14:textId="77777777" w:rsidR="00897705" w:rsidRDefault="00000000">
            <w:pPr>
              <w:tabs>
                <w:tab w:val="left" w:pos="8789"/>
              </w:tabs>
              <w:spacing w:beforeLines="50" w:before="156" w:afterLines="50" w:after="156" w:line="240" w:lineRule="auto"/>
              <w:jc w:val="center"/>
              <w:rPr>
                <w:rFonts w:cs="Times New Roman"/>
                <w:sz w:val="21"/>
                <w:szCs w:val="21"/>
              </w:rPr>
            </w:pPr>
            <w:r>
              <w:rPr>
                <w:rFonts w:cs="Times New Roman"/>
                <w:sz w:val="21"/>
                <w:szCs w:val="21"/>
              </w:rPr>
              <w:t>亿元</w:t>
            </w:r>
          </w:p>
        </w:tc>
        <w:tc>
          <w:tcPr>
            <w:tcW w:w="1116" w:type="dxa"/>
            <w:shd w:val="clear" w:color="auto" w:fill="auto"/>
          </w:tcPr>
          <w:p w14:paraId="42BB1D10" w14:textId="77777777" w:rsidR="00897705" w:rsidRDefault="00000000">
            <w:pPr>
              <w:tabs>
                <w:tab w:val="left" w:pos="8789"/>
              </w:tabs>
              <w:spacing w:beforeLines="50" w:before="156" w:afterLines="50" w:after="156" w:line="240" w:lineRule="auto"/>
              <w:jc w:val="center"/>
              <w:rPr>
                <w:rFonts w:cs="Times New Roman"/>
                <w:sz w:val="21"/>
                <w:szCs w:val="21"/>
              </w:rPr>
            </w:pPr>
            <w:r>
              <w:rPr>
                <w:rFonts w:cs="Times New Roman"/>
                <w:sz w:val="21"/>
                <w:szCs w:val="21"/>
              </w:rPr>
              <w:t>66790.80</w:t>
            </w:r>
          </w:p>
        </w:tc>
        <w:tc>
          <w:tcPr>
            <w:tcW w:w="1116" w:type="dxa"/>
            <w:shd w:val="clear" w:color="auto" w:fill="auto"/>
          </w:tcPr>
          <w:p w14:paraId="1F56C847" w14:textId="77777777" w:rsidR="00897705" w:rsidRDefault="00000000">
            <w:pPr>
              <w:tabs>
                <w:tab w:val="left" w:pos="8789"/>
              </w:tabs>
              <w:spacing w:beforeLines="50" w:before="156" w:afterLines="50" w:after="156" w:line="240" w:lineRule="auto"/>
              <w:jc w:val="center"/>
              <w:rPr>
                <w:rFonts w:cs="Times New Roman"/>
                <w:sz w:val="21"/>
                <w:szCs w:val="21"/>
              </w:rPr>
            </w:pPr>
            <w:r>
              <w:rPr>
                <w:rFonts w:cs="Times New Roman"/>
                <w:sz w:val="21"/>
                <w:szCs w:val="21"/>
              </w:rPr>
              <w:t>38789.24</w:t>
            </w:r>
          </w:p>
        </w:tc>
        <w:tc>
          <w:tcPr>
            <w:tcW w:w="1116" w:type="dxa"/>
            <w:shd w:val="clear" w:color="auto" w:fill="auto"/>
          </w:tcPr>
          <w:p w14:paraId="5F4E20FC" w14:textId="77777777" w:rsidR="00897705" w:rsidRDefault="00000000">
            <w:pPr>
              <w:tabs>
                <w:tab w:val="left" w:pos="8789"/>
              </w:tabs>
              <w:spacing w:beforeLines="50" w:before="156" w:afterLines="50" w:after="156" w:line="240" w:lineRule="auto"/>
              <w:jc w:val="center"/>
              <w:rPr>
                <w:rFonts w:cs="Times New Roman"/>
                <w:sz w:val="21"/>
                <w:szCs w:val="21"/>
              </w:rPr>
            </w:pPr>
            <w:r>
              <w:rPr>
                <w:rFonts w:cs="Times New Roman"/>
                <w:sz w:val="21"/>
                <w:szCs w:val="21"/>
              </w:rPr>
              <w:t>165525.23</w:t>
            </w:r>
          </w:p>
        </w:tc>
        <w:tc>
          <w:tcPr>
            <w:tcW w:w="1362" w:type="dxa"/>
            <w:shd w:val="clear" w:color="auto" w:fill="auto"/>
          </w:tcPr>
          <w:p w14:paraId="5354518A" w14:textId="77777777" w:rsidR="00897705" w:rsidRDefault="00000000">
            <w:pPr>
              <w:tabs>
                <w:tab w:val="left" w:pos="8789"/>
              </w:tabs>
              <w:spacing w:beforeLines="50" w:before="156" w:afterLines="50" w:after="156" w:line="240" w:lineRule="auto"/>
              <w:jc w:val="center"/>
              <w:rPr>
                <w:rFonts w:cs="Times New Roman"/>
                <w:sz w:val="21"/>
                <w:szCs w:val="21"/>
              </w:rPr>
            </w:pPr>
            <w:r>
              <w:rPr>
                <w:rFonts w:cs="Times New Roman"/>
                <w:sz w:val="21"/>
                <w:szCs w:val="21"/>
              </w:rPr>
              <w:t>21197.03</w:t>
            </w:r>
          </w:p>
        </w:tc>
      </w:tr>
      <w:tr w:rsidR="00897705" w14:paraId="4929F1E7" w14:textId="77777777">
        <w:trPr>
          <w:trHeight w:val="20"/>
          <w:jc w:val="center"/>
        </w:trPr>
        <w:tc>
          <w:tcPr>
            <w:tcW w:w="1512" w:type="dxa"/>
            <w:tcBorders>
              <w:bottom w:val="single" w:sz="4" w:space="0" w:color="auto"/>
            </w:tcBorders>
            <w:shd w:val="clear" w:color="auto" w:fill="auto"/>
            <w:vAlign w:val="center"/>
          </w:tcPr>
          <w:p w14:paraId="10251B32" w14:textId="77777777" w:rsidR="00897705" w:rsidRDefault="00000000">
            <w:pPr>
              <w:tabs>
                <w:tab w:val="left" w:pos="8789"/>
              </w:tabs>
              <w:spacing w:beforeLines="50" w:before="156" w:afterLines="50" w:after="156" w:line="240" w:lineRule="auto"/>
              <w:jc w:val="center"/>
              <w:rPr>
                <w:rFonts w:cs="Times New Roman"/>
                <w:sz w:val="21"/>
                <w:szCs w:val="21"/>
              </w:rPr>
            </w:pPr>
            <w:r>
              <w:rPr>
                <w:rFonts w:cs="Times New Roman"/>
                <w:sz w:val="21"/>
                <w:szCs w:val="21"/>
              </w:rPr>
              <w:t>非期望产出</w:t>
            </w:r>
          </w:p>
        </w:tc>
        <w:tc>
          <w:tcPr>
            <w:tcW w:w="1938" w:type="dxa"/>
            <w:tcBorders>
              <w:bottom w:val="single" w:sz="4" w:space="0" w:color="auto"/>
            </w:tcBorders>
            <w:shd w:val="clear" w:color="auto" w:fill="auto"/>
            <w:vAlign w:val="center"/>
          </w:tcPr>
          <w:p w14:paraId="7A910D13" w14:textId="77777777" w:rsidR="00897705" w:rsidRDefault="00000000">
            <w:pPr>
              <w:tabs>
                <w:tab w:val="left" w:pos="8789"/>
              </w:tabs>
              <w:spacing w:beforeLines="50" w:before="156" w:afterLines="50" w:after="156" w:line="240" w:lineRule="auto"/>
              <w:jc w:val="center"/>
              <w:rPr>
                <w:rFonts w:cs="Times New Roman"/>
                <w:sz w:val="21"/>
                <w:szCs w:val="21"/>
              </w:rPr>
            </w:pPr>
            <w:r>
              <w:rPr>
                <w:rFonts w:cs="Times New Roman"/>
                <w:sz w:val="21"/>
                <w:szCs w:val="21"/>
              </w:rPr>
              <w:t>二氧化碳排放量</w:t>
            </w:r>
          </w:p>
        </w:tc>
        <w:tc>
          <w:tcPr>
            <w:tcW w:w="1337" w:type="dxa"/>
            <w:tcBorders>
              <w:bottom w:val="single" w:sz="4" w:space="0" w:color="auto"/>
            </w:tcBorders>
            <w:shd w:val="clear" w:color="auto" w:fill="auto"/>
            <w:vAlign w:val="center"/>
          </w:tcPr>
          <w:p w14:paraId="29AF8FC9" w14:textId="77777777" w:rsidR="00897705" w:rsidRDefault="00000000">
            <w:pPr>
              <w:tabs>
                <w:tab w:val="left" w:pos="8789"/>
              </w:tabs>
              <w:spacing w:beforeLines="50" w:before="156" w:afterLines="50" w:after="156" w:line="240" w:lineRule="auto"/>
              <w:jc w:val="center"/>
              <w:rPr>
                <w:rFonts w:cs="Times New Roman"/>
                <w:sz w:val="21"/>
                <w:szCs w:val="21"/>
              </w:rPr>
            </w:pPr>
            <w:r>
              <w:rPr>
                <w:rFonts w:cs="Times New Roman"/>
                <w:sz w:val="21"/>
                <w:szCs w:val="21"/>
              </w:rPr>
              <w:t>吨</w:t>
            </w:r>
          </w:p>
        </w:tc>
        <w:tc>
          <w:tcPr>
            <w:tcW w:w="1116" w:type="dxa"/>
            <w:tcBorders>
              <w:bottom w:val="single" w:sz="4" w:space="0" w:color="auto"/>
            </w:tcBorders>
            <w:shd w:val="clear" w:color="auto" w:fill="auto"/>
          </w:tcPr>
          <w:p w14:paraId="4F2BCB7D" w14:textId="77777777" w:rsidR="00897705" w:rsidRDefault="00000000">
            <w:pPr>
              <w:tabs>
                <w:tab w:val="left" w:pos="8789"/>
              </w:tabs>
              <w:spacing w:beforeLines="50" w:before="156" w:afterLines="50" w:after="156" w:line="240" w:lineRule="auto"/>
              <w:jc w:val="center"/>
              <w:rPr>
                <w:rFonts w:cs="Times New Roman"/>
                <w:sz w:val="21"/>
                <w:szCs w:val="21"/>
              </w:rPr>
            </w:pPr>
            <w:r>
              <w:rPr>
                <w:rFonts w:cs="Times New Roman"/>
                <w:sz w:val="21"/>
                <w:szCs w:val="21"/>
              </w:rPr>
              <w:t>40074.33</w:t>
            </w:r>
          </w:p>
        </w:tc>
        <w:tc>
          <w:tcPr>
            <w:tcW w:w="1116" w:type="dxa"/>
            <w:tcBorders>
              <w:bottom w:val="single" w:sz="4" w:space="0" w:color="auto"/>
            </w:tcBorders>
            <w:shd w:val="clear" w:color="auto" w:fill="auto"/>
          </w:tcPr>
          <w:p w14:paraId="5E2A6076" w14:textId="77777777" w:rsidR="00897705" w:rsidRDefault="00000000">
            <w:pPr>
              <w:tabs>
                <w:tab w:val="left" w:pos="8789"/>
              </w:tabs>
              <w:spacing w:beforeLines="50" w:before="156" w:afterLines="50" w:after="156" w:line="240" w:lineRule="auto"/>
              <w:jc w:val="center"/>
              <w:rPr>
                <w:rFonts w:cs="Times New Roman"/>
                <w:sz w:val="21"/>
                <w:szCs w:val="21"/>
              </w:rPr>
            </w:pPr>
            <w:r>
              <w:rPr>
                <w:rFonts w:cs="Times New Roman"/>
                <w:sz w:val="21"/>
                <w:szCs w:val="21"/>
              </w:rPr>
              <w:t>22413.21</w:t>
            </w:r>
          </w:p>
        </w:tc>
        <w:tc>
          <w:tcPr>
            <w:tcW w:w="1116" w:type="dxa"/>
            <w:tcBorders>
              <w:bottom w:val="single" w:sz="4" w:space="0" w:color="auto"/>
            </w:tcBorders>
            <w:shd w:val="clear" w:color="auto" w:fill="auto"/>
          </w:tcPr>
          <w:p w14:paraId="1AC377D8" w14:textId="77777777" w:rsidR="00897705" w:rsidRDefault="00000000">
            <w:pPr>
              <w:tabs>
                <w:tab w:val="left" w:pos="8789"/>
              </w:tabs>
              <w:spacing w:beforeLines="50" w:before="156" w:afterLines="50" w:after="156" w:line="240" w:lineRule="auto"/>
              <w:jc w:val="center"/>
              <w:rPr>
                <w:rFonts w:cs="Times New Roman"/>
                <w:sz w:val="21"/>
                <w:szCs w:val="21"/>
              </w:rPr>
            </w:pPr>
            <w:r>
              <w:rPr>
                <w:rFonts w:cs="Times New Roman"/>
                <w:sz w:val="21"/>
                <w:szCs w:val="21"/>
              </w:rPr>
              <w:t>104666.22</w:t>
            </w:r>
          </w:p>
        </w:tc>
        <w:tc>
          <w:tcPr>
            <w:tcW w:w="1362" w:type="dxa"/>
            <w:tcBorders>
              <w:bottom w:val="single" w:sz="4" w:space="0" w:color="auto"/>
            </w:tcBorders>
            <w:shd w:val="clear" w:color="auto" w:fill="auto"/>
          </w:tcPr>
          <w:p w14:paraId="57D95F4D" w14:textId="77777777" w:rsidR="00897705" w:rsidRDefault="00000000">
            <w:pPr>
              <w:tabs>
                <w:tab w:val="left" w:pos="8789"/>
              </w:tabs>
              <w:spacing w:beforeLines="50" w:before="156" w:afterLines="50" w:after="156" w:line="240" w:lineRule="auto"/>
              <w:jc w:val="center"/>
              <w:rPr>
                <w:rFonts w:cs="Times New Roman"/>
                <w:sz w:val="21"/>
                <w:szCs w:val="21"/>
              </w:rPr>
            </w:pPr>
            <w:r>
              <w:rPr>
                <w:rFonts w:cs="Times New Roman"/>
                <w:sz w:val="21"/>
                <w:szCs w:val="21"/>
              </w:rPr>
              <w:t>15147.45</w:t>
            </w:r>
          </w:p>
        </w:tc>
      </w:tr>
    </w:tbl>
    <w:p w14:paraId="6931F818" w14:textId="77777777" w:rsidR="00897705" w:rsidRDefault="00897705" w:rsidP="00A406CB">
      <w:pPr>
        <w:pStyle w:val="TOC3"/>
        <w:ind w:leftChars="0" w:left="0"/>
        <w:rPr>
          <w:rFonts w:hint="eastAsia"/>
        </w:rPr>
      </w:pPr>
    </w:p>
    <w:p w14:paraId="3D078E01" w14:textId="77777777" w:rsidR="00897705" w:rsidRDefault="00000000">
      <w:pPr>
        <w:pStyle w:val="2"/>
        <w:numPr>
          <w:ilvl w:val="0"/>
          <w:numId w:val="6"/>
        </w:numPr>
        <w:spacing w:before="156" w:after="156"/>
        <w:ind w:firstLine="420"/>
      </w:pPr>
      <w:bookmarkStart w:id="13" w:name="_Toc154908720"/>
      <w:r>
        <w:rPr>
          <w:rFonts w:hint="eastAsia"/>
        </w:rPr>
        <w:t>数据处理</w:t>
      </w:r>
      <w:bookmarkEnd w:id="13"/>
    </w:p>
    <w:p w14:paraId="65DF9BAC" w14:textId="77777777" w:rsidR="00897705" w:rsidRDefault="00000000">
      <w:r>
        <w:tab/>
      </w:r>
      <w:r>
        <w:rPr>
          <w:rFonts w:hint="eastAsia"/>
        </w:rPr>
        <w:t>为避免由于数据量纲不统一而造成结果不收敛，参照</w:t>
      </w:r>
      <w:r>
        <w:rPr>
          <w:rFonts w:hint="eastAsia"/>
        </w:rPr>
        <w:t>Wei</w:t>
      </w:r>
      <w:r>
        <w:t xml:space="preserve"> et al</w:t>
      </w:r>
      <w:r>
        <w:rPr>
          <w:rFonts w:hint="eastAsia"/>
        </w:rPr>
        <w:t>（</w:t>
      </w:r>
      <w:r>
        <w:rPr>
          <w:rFonts w:hint="eastAsia"/>
        </w:rPr>
        <w:t>2</w:t>
      </w:r>
      <w:r>
        <w:t>013</w:t>
      </w:r>
      <w:r>
        <w:rPr>
          <w:rFonts w:hint="eastAsia"/>
        </w:rPr>
        <w:t>）的做法，在模型线性规划求解之前先对数据进行标准化处理，将所有省份所有年度投入产出数据分别除以其均值，通过已知模型进行求解得到式（</w:t>
      </w:r>
      <w:r>
        <w:rPr>
          <w:rFonts w:hint="eastAsia"/>
        </w:rPr>
        <w:t>1</w:t>
      </w:r>
      <w:r>
        <w:t>0</w:t>
      </w:r>
      <w:r>
        <w:rPr>
          <w:rFonts w:hint="eastAsia"/>
        </w:rPr>
        <w:t>），此时式（</w:t>
      </w:r>
      <w:r>
        <w:rPr>
          <w:rFonts w:hint="eastAsia"/>
        </w:rPr>
        <w:t>1</w:t>
      </w:r>
      <w:r>
        <w:t>0</w:t>
      </w:r>
      <w:r>
        <w:rPr>
          <w:rFonts w:hint="eastAsia"/>
        </w:rPr>
        <w:t>）乘以对应的产出均值／污染物均值来恢复单位。</w:t>
      </w:r>
    </w:p>
    <w:p w14:paraId="4E63F11F" w14:textId="77777777" w:rsidR="00897705" w:rsidRDefault="00000000">
      <w:pPr>
        <w:pStyle w:val="1"/>
        <w:numPr>
          <w:ilvl w:val="0"/>
          <w:numId w:val="2"/>
        </w:numPr>
        <w:spacing w:before="312"/>
      </w:pPr>
      <w:bookmarkStart w:id="14" w:name="OLE_LINK2"/>
      <w:bookmarkStart w:id="15" w:name="_Toc154908721"/>
      <w:r>
        <w:rPr>
          <w:rFonts w:hint="eastAsia"/>
        </w:rPr>
        <w:t>实证结果</w:t>
      </w:r>
      <w:bookmarkEnd w:id="15"/>
    </w:p>
    <w:p w14:paraId="6B2611B8" w14:textId="507FF75E" w:rsidR="00897705" w:rsidRDefault="008F6F5D">
      <w:pPr>
        <w:pStyle w:val="2"/>
        <w:numPr>
          <w:ilvl w:val="0"/>
          <w:numId w:val="8"/>
        </w:numPr>
        <w:spacing w:before="156" w:after="156"/>
        <w:ind w:firstLine="420"/>
      </w:pPr>
      <w:bookmarkStart w:id="16" w:name="_Toc154908722"/>
      <w:bookmarkEnd w:id="14"/>
      <w:r>
        <w:rPr>
          <w:rFonts w:hint="eastAsia"/>
        </w:rPr>
        <w:t>二氧化碳影子价格</w:t>
      </w:r>
      <w:bookmarkEnd w:id="16"/>
    </w:p>
    <w:p w14:paraId="2E82A96B" w14:textId="77777777" w:rsidR="00897705" w:rsidRDefault="00000000">
      <w:pPr>
        <w:numPr>
          <w:ilvl w:val="0"/>
          <w:numId w:val="9"/>
        </w:numPr>
        <w:ind w:firstLine="420"/>
        <w:rPr>
          <w:b/>
          <w:bCs/>
        </w:rPr>
      </w:pPr>
      <w:r>
        <w:rPr>
          <w:rFonts w:hint="eastAsia"/>
          <w:b/>
          <w:bCs/>
        </w:rPr>
        <w:t>系数估计与方法选择</w:t>
      </w:r>
    </w:p>
    <w:p w14:paraId="65AA4529" w14:textId="7B17B87C" w:rsidR="00897705" w:rsidRDefault="00000000">
      <w:pPr>
        <w:ind w:firstLine="420"/>
      </w:pPr>
      <w:r>
        <w:rPr>
          <w:rFonts w:hint="eastAsia"/>
        </w:rPr>
        <w:t>本文分别尝试使用普通</w:t>
      </w:r>
      <w:r>
        <w:rPr>
          <w:rFonts w:hint="eastAsia"/>
        </w:rPr>
        <w:t>O</w:t>
      </w:r>
      <w:r>
        <w:t>LS</w:t>
      </w:r>
      <w:r>
        <w:rPr>
          <w:rFonts w:hint="eastAsia"/>
        </w:rPr>
        <w:t>、随机前沿分析、线性规划法三种方法对于式（</w:t>
      </w:r>
      <w:r>
        <w:rPr>
          <w:rFonts w:hint="eastAsia"/>
        </w:rPr>
        <w:t>5</w:t>
      </w:r>
      <w:r>
        <w:rPr>
          <w:rFonts w:hint="eastAsia"/>
        </w:rPr>
        <w:t>）中的系数进行估计，并选取拟合，计算效果最好的系数结果进行</w:t>
      </w:r>
      <w:r w:rsidR="008F6F5D">
        <w:rPr>
          <w:rFonts w:hint="eastAsia"/>
        </w:rPr>
        <w:t>二氧化碳影子价格</w:t>
      </w:r>
      <w:r>
        <w:rPr>
          <w:rFonts w:hint="eastAsia"/>
        </w:rPr>
        <w:t>的测算。从结果来看，我们认为针对本文的样本采用随机前沿分析的方式进行估计效果最好，其系数估计结果如下：</w:t>
      </w:r>
    </w:p>
    <w:p w14:paraId="502C272F" w14:textId="10C5F623" w:rsidR="00897705" w:rsidRDefault="00000000">
      <w:pPr>
        <w:pStyle w:val="a4"/>
        <w:jc w:val="center"/>
        <w:rPr>
          <w:b/>
          <w:bCs/>
        </w:rPr>
      </w:pPr>
      <w:r>
        <w:rPr>
          <w:b/>
          <w:bCs/>
        </w:rPr>
        <w:lastRenderedPageBreak/>
        <w:t>表</w:t>
      </w:r>
      <w:r>
        <w:rPr>
          <w:b/>
          <w:bCs/>
        </w:rPr>
        <w:t xml:space="preserve"> </w:t>
      </w:r>
      <w:r>
        <w:rPr>
          <w:b/>
          <w:bCs/>
        </w:rPr>
        <w:fldChar w:fldCharType="begin"/>
      </w:r>
      <w:r>
        <w:rPr>
          <w:b/>
          <w:bCs/>
        </w:rPr>
        <w:instrText xml:space="preserve"> SEQ </w:instrText>
      </w:r>
      <w:r>
        <w:rPr>
          <w:b/>
          <w:bCs/>
        </w:rPr>
        <w:instrText>表</w:instrText>
      </w:r>
      <w:r>
        <w:rPr>
          <w:b/>
          <w:bCs/>
        </w:rPr>
        <w:instrText xml:space="preserve"> \* ARABIC </w:instrText>
      </w:r>
      <w:r>
        <w:rPr>
          <w:b/>
          <w:bCs/>
        </w:rPr>
        <w:fldChar w:fldCharType="separate"/>
      </w:r>
      <w:r w:rsidR="0069698C">
        <w:rPr>
          <w:b/>
          <w:bCs/>
          <w:noProof/>
        </w:rPr>
        <w:t>2</w:t>
      </w:r>
      <w:r>
        <w:rPr>
          <w:b/>
          <w:bCs/>
        </w:rPr>
        <w:fldChar w:fldCharType="end"/>
      </w:r>
      <w:bookmarkStart w:id="17" w:name="_Toc27797"/>
      <w:r>
        <w:rPr>
          <w:rFonts w:hint="eastAsia"/>
          <w:b/>
          <w:bCs/>
        </w:rPr>
        <w:t xml:space="preserve"> </w:t>
      </w:r>
      <w:r>
        <w:rPr>
          <w:rFonts w:hint="eastAsia"/>
        </w:rPr>
        <w:t xml:space="preserve"> </w:t>
      </w:r>
      <w:r>
        <w:rPr>
          <w:rFonts w:hint="eastAsia"/>
          <w:b/>
          <w:bCs/>
        </w:rPr>
        <w:t>方向距离函数系数估计</w:t>
      </w:r>
      <w:bookmarkEnd w:id="17"/>
    </w:p>
    <w:tbl>
      <w:tblPr>
        <w:tblW w:w="0" w:type="auto"/>
        <w:jc w:val="center"/>
        <w:tblLook w:val="04A0" w:firstRow="1" w:lastRow="0" w:firstColumn="1" w:lastColumn="0" w:noHBand="0" w:noVBand="1"/>
      </w:tblPr>
      <w:tblGrid>
        <w:gridCol w:w="876"/>
        <w:gridCol w:w="1243"/>
        <w:gridCol w:w="1151"/>
        <w:gridCol w:w="675"/>
        <w:gridCol w:w="711"/>
        <w:gridCol w:w="1335"/>
        <w:gridCol w:w="1225"/>
      </w:tblGrid>
      <w:tr w:rsidR="00897705" w14:paraId="4692E8C2" w14:textId="77777777">
        <w:trPr>
          <w:trHeight w:val="494"/>
          <w:jc w:val="center"/>
        </w:trPr>
        <w:tc>
          <w:tcPr>
            <w:tcW w:w="0" w:type="auto"/>
            <w:tcBorders>
              <w:top w:val="single" w:sz="4" w:space="0" w:color="auto"/>
              <w:left w:val="nil"/>
              <w:bottom w:val="single" w:sz="4" w:space="0" w:color="auto"/>
              <w:right w:val="nil"/>
            </w:tcBorders>
            <w:shd w:val="clear" w:color="auto" w:fill="auto"/>
            <w:noWrap/>
            <w:vAlign w:val="center"/>
          </w:tcPr>
          <w:p w14:paraId="48E8287D" w14:textId="77777777" w:rsidR="00897705" w:rsidRDefault="00000000">
            <w:pPr>
              <w:widowControl/>
              <w:spacing w:line="240" w:lineRule="auto"/>
              <w:jc w:val="center"/>
              <w:rPr>
                <w:rFonts w:eastAsia="等线" w:cs="Times New Roman"/>
                <w:b/>
                <w:bCs/>
                <w:color w:val="000000"/>
                <w:kern w:val="0"/>
                <w:sz w:val="22"/>
                <w:szCs w:val="22"/>
              </w:rPr>
            </w:pPr>
            <w:r>
              <w:rPr>
                <w:rFonts w:eastAsia="等线" w:cs="Times New Roman"/>
                <w:b/>
                <w:bCs/>
                <w:color w:val="000000"/>
                <w:kern w:val="0"/>
                <w:sz w:val="22"/>
                <w:szCs w:val="22"/>
              </w:rPr>
              <w:t>b1</w:t>
            </w:r>
          </w:p>
        </w:tc>
        <w:tc>
          <w:tcPr>
            <w:tcW w:w="0" w:type="auto"/>
            <w:tcBorders>
              <w:top w:val="single" w:sz="4" w:space="0" w:color="auto"/>
              <w:left w:val="nil"/>
              <w:bottom w:val="single" w:sz="4" w:space="0" w:color="auto"/>
              <w:right w:val="nil"/>
            </w:tcBorders>
            <w:shd w:val="clear" w:color="auto" w:fill="auto"/>
            <w:noWrap/>
            <w:vAlign w:val="center"/>
          </w:tcPr>
          <w:p w14:paraId="0D662B44" w14:textId="77777777" w:rsidR="00897705" w:rsidRDefault="00000000">
            <w:pPr>
              <w:widowControl/>
              <w:spacing w:line="240" w:lineRule="auto"/>
              <w:jc w:val="center"/>
              <w:rPr>
                <w:rFonts w:eastAsia="等线" w:cs="Times New Roman"/>
                <w:b/>
                <w:bCs/>
                <w:color w:val="000000"/>
                <w:kern w:val="0"/>
                <w:sz w:val="22"/>
                <w:szCs w:val="22"/>
              </w:rPr>
            </w:pPr>
            <w:r>
              <w:rPr>
                <w:rFonts w:eastAsia="等线" w:cs="Times New Roman"/>
                <w:b/>
                <w:bCs/>
                <w:color w:val="000000"/>
                <w:kern w:val="0"/>
                <w:sz w:val="22"/>
                <w:szCs w:val="22"/>
              </w:rPr>
              <w:t>Coefficient</w:t>
            </w:r>
          </w:p>
        </w:tc>
        <w:tc>
          <w:tcPr>
            <w:tcW w:w="0" w:type="auto"/>
            <w:tcBorders>
              <w:top w:val="single" w:sz="4" w:space="0" w:color="auto"/>
              <w:left w:val="nil"/>
              <w:bottom w:val="single" w:sz="4" w:space="0" w:color="auto"/>
              <w:right w:val="nil"/>
            </w:tcBorders>
            <w:shd w:val="clear" w:color="auto" w:fill="auto"/>
            <w:noWrap/>
            <w:vAlign w:val="center"/>
          </w:tcPr>
          <w:p w14:paraId="239679BD" w14:textId="77777777" w:rsidR="00897705" w:rsidRDefault="00000000">
            <w:pPr>
              <w:widowControl/>
              <w:spacing w:line="240" w:lineRule="auto"/>
              <w:jc w:val="center"/>
              <w:rPr>
                <w:rFonts w:eastAsia="等线" w:cs="Times New Roman"/>
                <w:b/>
                <w:bCs/>
                <w:color w:val="000000"/>
                <w:kern w:val="0"/>
                <w:sz w:val="22"/>
                <w:szCs w:val="22"/>
              </w:rPr>
            </w:pPr>
            <w:proofErr w:type="spellStart"/>
            <w:r>
              <w:rPr>
                <w:rFonts w:eastAsia="等线" w:cs="Times New Roman"/>
                <w:b/>
                <w:bCs/>
                <w:color w:val="000000"/>
                <w:kern w:val="0"/>
                <w:sz w:val="22"/>
                <w:szCs w:val="22"/>
              </w:rPr>
              <w:t>Std.err</w:t>
            </w:r>
            <w:proofErr w:type="spellEnd"/>
            <w:r>
              <w:rPr>
                <w:rFonts w:eastAsia="等线" w:cs="Times New Roman"/>
                <w:b/>
                <w:bCs/>
                <w:color w:val="000000"/>
                <w:kern w:val="0"/>
                <w:sz w:val="22"/>
                <w:szCs w:val="22"/>
              </w:rPr>
              <w:t>.</w:t>
            </w:r>
          </w:p>
        </w:tc>
        <w:tc>
          <w:tcPr>
            <w:tcW w:w="0" w:type="auto"/>
            <w:tcBorders>
              <w:top w:val="single" w:sz="4" w:space="0" w:color="auto"/>
              <w:left w:val="nil"/>
              <w:bottom w:val="single" w:sz="4" w:space="0" w:color="auto"/>
              <w:right w:val="nil"/>
            </w:tcBorders>
            <w:shd w:val="clear" w:color="auto" w:fill="auto"/>
            <w:noWrap/>
            <w:vAlign w:val="center"/>
          </w:tcPr>
          <w:p w14:paraId="5EC91DAD" w14:textId="77777777" w:rsidR="00897705" w:rsidRDefault="00000000">
            <w:pPr>
              <w:widowControl/>
              <w:spacing w:line="240" w:lineRule="auto"/>
              <w:jc w:val="center"/>
              <w:rPr>
                <w:rFonts w:eastAsia="等线" w:cs="Times New Roman"/>
                <w:b/>
                <w:bCs/>
                <w:color w:val="000000"/>
                <w:kern w:val="0"/>
                <w:sz w:val="22"/>
                <w:szCs w:val="22"/>
              </w:rPr>
            </w:pPr>
            <w:r>
              <w:rPr>
                <w:rFonts w:eastAsia="等线" w:cs="Times New Roman"/>
                <w:b/>
                <w:bCs/>
                <w:color w:val="000000"/>
                <w:kern w:val="0"/>
                <w:sz w:val="22"/>
                <w:szCs w:val="22"/>
              </w:rPr>
              <w:t>z</w:t>
            </w:r>
          </w:p>
        </w:tc>
        <w:tc>
          <w:tcPr>
            <w:tcW w:w="0" w:type="auto"/>
            <w:tcBorders>
              <w:top w:val="single" w:sz="4" w:space="0" w:color="auto"/>
              <w:left w:val="nil"/>
              <w:bottom w:val="single" w:sz="4" w:space="0" w:color="auto"/>
              <w:right w:val="nil"/>
            </w:tcBorders>
            <w:shd w:val="clear" w:color="auto" w:fill="auto"/>
            <w:noWrap/>
            <w:vAlign w:val="center"/>
          </w:tcPr>
          <w:p w14:paraId="648463C4" w14:textId="77777777" w:rsidR="00897705" w:rsidRDefault="00000000">
            <w:pPr>
              <w:widowControl/>
              <w:spacing w:line="240" w:lineRule="auto"/>
              <w:jc w:val="center"/>
              <w:rPr>
                <w:rFonts w:eastAsia="等线" w:cs="Times New Roman"/>
                <w:b/>
                <w:bCs/>
                <w:color w:val="000000"/>
                <w:kern w:val="0"/>
                <w:sz w:val="22"/>
                <w:szCs w:val="22"/>
              </w:rPr>
            </w:pPr>
            <w:r>
              <w:rPr>
                <w:rFonts w:eastAsia="等线" w:cs="Times New Roman"/>
                <w:b/>
                <w:bCs/>
                <w:color w:val="000000"/>
                <w:kern w:val="0"/>
                <w:sz w:val="22"/>
                <w:szCs w:val="22"/>
              </w:rPr>
              <w:t>P&gt;|z|</w:t>
            </w:r>
          </w:p>
        </w:tc>
        <w:tc>
          <w:tcPr>
            <w:tcW w:w="0" w:type="auto"/>
            <w:gridSpan w:val="2"/>
            <w:tcBorders>
              <w:top w:val="single" w:sz="4" w:space="0" w:color="auto"/>
              <w:left w:val="nil"/>
              <w:bottom w:val="single" w:sz="4" w:space="0" w:color="auto"/>
              <w:right w:val="nil"/>
            </w:tcBorders>
            <w:shd w:val="clear" w:color="auto" w:fill="auto"/>
            <w:noWrap/>
            <w:vAlign w:val="center"/>
          </w:tcPr>
          <w:p w14:paraId="45F441F3" w14:textId="77777777" w:rsidR="00897705" w:rsidRDefault="00000000">
            <w:pPr>
              <w:widowControl/>
              <w:spacing w:line="240" w:lineRule="auto"/>
              <w:jc w:val="center"/>
              <w:rPr>
                <w:rFonts w:eastAsia="等线" w:cs="Times New Roman"/>
                <w:b/>
                <w:bCs/>
                <w:color w:val="000000"/>
                <w:kern w:val="0"/>
                <w:sz w:val="22"/>
                <w:szCs w:val="22"/>
              </w:rPr>
            </w:pPr>
            <w:r>
              <w:rPr>
                <w:rFonts w:eastAsia="等线" w:cs="Times New Roman"/>
                <w:b/>
                <w:bCs/>
                <w:color w:val="000000"/>
                <w:kern w:val="0"/>
                <w:sz w:val="22"/>
                <w:szCs w:val="22"/>
              </w:rPr>
              <w:t>[95% conf. interval]</w:t>
            </w:r>
          </w:p>
        </w:tc>
      </w:tr>
      <w:tr w:rsidR="00897705" w14:paraId="58CD37AB" w14:textId="77777777">
        <w:trPr>
          <w:trHeight w:val="494"/>
          <w:jc w:val="center"/>
        </w:trPr>
        <w:tc>
          <w:tcPr>
            <w:tcW w:w="0" w:type="auto"/>
            <w:tcBorders>
              <w:top w:val="nil"/>
              <w:left w:val="nil"/>
              <w:bottom w:val="nil"/>
              <w:right w:val="nil"/>
            </w:tcBorders>
            <w:shd w:val="clear" w:color="auto" w:fill="auto"/>
            <w:noWrap/>
            <w:vAlign w:val="center"/>
          </w:tcPr>
          <w:p w14:paraId="0CF84062"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x1</w:t>
            </w:r>
          </w:p>
        </w:tc>
        <w:tc>
          <w:tcPr>
            <w:tcW w:w="0" w:type="auto"/>
            <w:tcBorders>
              <w:top w:val="nil"/>
              <w:left w:val="nil"/>
              <w:bottom w:val="nil"/>
              <w:right w:val="nil"/>
            </w:tcBorders>
            <w:shd w:val="clear" w:color="auto" w:fill="auto"/>
            <w:noWrap/>
            <w:vAlign w:val="center"/>
          </w:tcPr>
          <w:p w14:paraId="2ACAA447"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11.23846</w:t>
            </w:r>
          </w:p>
        </w:tc>
        <w:tc>
          <w:tcPr>
            <w:tcW w:w="0" w:type="auto"/>
            <w:tcBorders>
              <w:top w:val="nil"/>
              <w:left w:val="nil"/>
              <w:bottom w:val="nil"/>
              <w:right w:val="nil"/>
            </w:tcBorders>
            <w:shd w:val="clear" w:color="auto" w:fill="auto"/>
            <w:noWrap/>
            <w:vAlign w:val="center"/>
          </w:tcPr>
          <w:p w14:paraId="3B0D05DE"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4.769088</w:t>
            </w:r>
          </w:p>
        </w:tc>
        <w:tc>
          <w:tcPr>
            <w:tcW w:w="0" w:type="auto"/>
            <w:tcBorders>
              <w:top w:val="nil"/>
              <w:left w:val="nil"/>
              <w:bottom w:val="nil"/>
              <w:right w:val="nil"/>
            </w:tcBorders>
            <w:shd w:val="clear" w:color="auto" w:fill="auto"/>
            <w:noWrap/>
            <w:vAlign w:val="center"/>
          </w:tcPr>
          <w:p w14:paraId="7DA6F9D3"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2.35</w:t>
            </w:r>
          </w:p>
        </w:tc>
        <w:tc>
          <w:tcPr>
            <w:tcW w:w="0" w:type="auto"/>
            <w:tcBorders>
              <w:top w:val="nil"/>
              <w:left w:val="nil"/>
              <w:bottom w:val="nil"/>
              <w:right w:val="nil"/>
            </w:tcBorders>
            <w:shd w:val="clear" w:color="auto" w:fill="auto"/>
            <w:noWrap/>
            <w:vAlign w:val="center"/>
          </w:tcPr>
          <w:p w14:paraId="09CB0E3D"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0.019</w:t>
            </w:r>
          </w:p>
        </w:tc>
        <w:tc>
          <w:tcPr>
            <w:tcW w:w="0" w:type="auto"/>
            <w:tcBorders>
              <w:top w:val="nil"/>
              <w:left w:val="nil"/>
              <w:bottom w:val="nil"/>
              <w:right w:val="nil"/>
            </w:tcBorders>
            <w:shd w:val="clear" w:color="auto" w:fill="auto"/>
            <w:noWrap/>
            <w:vAlign w:val="center"/>
          </w:tcPr>
          <w:p w14:paraId="4DEDF3EE"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1.883378</w:t>
            </w:r>
          </w:p>
        </w:tc>
        <w:tc>
          <w:tcPr>
            <w:tcW w:w="0" w:type="auto"/>
            <w:tcBorders>
              <w:top w:val="nil"/>
              <w:left w:val="nil"/>
              <w:bottom w:val="nil"/>
              <w:right w:val="nil"/>
            </w:tcBorders>
            <w:shd w:val="clear" w:color="auto" w:fill="auto"/>
            <w:noWrap/>
            <w:vAlign w:val="center"/>
          </w:tcPr>
          <w:p w14:paraId="3CB3CD06"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20.57755</w:t>
            </w:r>
          </w:p>
        </w:tc>
      </w:tr>
      <w:tr w:rsidR="00897705" w14:paraId="33AE5EF2" w14:textId="77777777">
        <w:trPr>
          <w:trHeight w:val="494"/>
          <w:jc w:val="center"/>
        </w:trPr>
        <w:tc>
          <w:tcPr>
            <w:tcW w:w="0" w:type="auto"/>
            <w:tcBorders>
              <w:top w:val="nil"/>
              <w:left w:val="nil"/>
              <w:bottom w:val="nil"/>
              <w:right w:val="nil"/>
            </w:tcBorders>
            <w:shd w:val="clear" w:color="auto" w:fill="auto"/>
            <w:noWrap/>
            <w:vAlign w:val="center"/>
          </w:tcPr>
          <w:p w14:paraId="53DD88D1"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x2</w:t>
            </w:r>
          </w:p>
        </w:tc>
        <w:tc>
          <w:tcPr>
            <w:tcW w:w="0" w:type="auto"/>
            <w:tcBorders>
              <w:top w:val="nil"/>
              <w:left w:val="nil"/>
              <w:bottom w:val="nil"/>
              <w:right w:val="nil"/>
            </w:tcBorders>
            <w:shd w:val="clear" w:color="auto" w:fill="auto"/>
            <w:noWrap/>
            <w:vAlign w:val="center"/>
          </w:tcPr>
          <w:p w14:paraId="74D690C4"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-0.0778901</w:t>
            </w:r>
          </w:p>
        </w:tc>
        <w:tc>
          <w:tcPr>
            <w:tcW w:w="0" w:type="auto"/>
            <w:tcBorders>
              <w:top w:val="nil"/>
              <w:left w:val="nil"/>
              <w:bottom w:val="nil"/>
              <w:right w:val="nil"/>
            </w:tcBorders>
            <w:shd w:val="clear" w:color="auto" w:fill="auto"/>
            <w:noWrap/>
            <w:vAlign w:val="center"/>
          </w:tcPr>
          <w:p w14:paraId="667C9D0C"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0.0927508</w:t>
            </w:r>
          </w:p>
        </w:tc>
        <w:tc>
          <w:tcPr>
            <w:tcW w:w="0" w:type="auto"/>
            <w:tcBorders>
              <w:top w:val="nil"/>
              <w:left w:val="nil"/>
              <w:bottom w:val="nil"/>
              <w:right w:val="nil"/>
            </w:tcBorders>
            <w:shd w:val="clear" w:color="auto" w:fill="auto"/>
            <w:noWrap/>
            <w:vAlign w:val="center"/>
          </w:tcPr>
          <w:p w14:paraId="55A1BA49"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-0.84</w:t>
            </w:r>
          </w:p>
        </w:tc>
        <w:tc>
          <w:tcPr>
            <w:tcW w:w="0" w:type="auto"/>
            <w:tcBorders>
              <w:top w:val="nil"/>
              <w:left w:val="nil"/>
              <w:bottom w:val="nil"/>
              <w:right w:val="nil"/>
            </w:tcBorders>
            <w:shd w:val="clear" w:color="auto" w:fill="auto"/>
            <w:noWrap/>
            <w:vAlign w:val="center"/>
          </w:tcPr>
          <w:p w14:paraId="3874760F"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0.401</w:t>
            </w:r>
          </w:p>
        </w:tc>
        <w:tc>
          <w:tcPr>
            <w:tcW w:w="0" w:type="auto"/>
            <w:tcBorders>
              <w:top w:val="nil"/>
              <w:left w:val="nil"/>
              <w:bottom w:val="nil"/>
              <w:right w:val="nil"/>
            </w:tcBorders>
            <w:shd w:val="clear" w:color="auto" w:fill="auto"/>
            <w:noWrap/>
            <w:vAlign w:val="center"/>
          </w:tcPr>
          <w:p w14:paraId="66E1FABC"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-0.25967831</w:t>
            </w:r>
          </w:p>
        </w:tc>
        <w:tc>
          <w:tcPr>
            <w:tcW w:w="0" w:type="auto"/>
            <w:tcBorders>
              <w:top w:val="nil"/>
              <w:left w:val="nil"/>
              <w:bottom w:val="nil"/>
              <w:right w:val="nil"/>
            </w:tcBorders>
            <w:shd w:val="clear" w:color="auto" w:fill="auto"/>
            <w:noWrap/>
            <w:vAlign w:val="center"/>
          </w:tcPr>
          <w:p w14:paraId="065CDD9C"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0.1038981</w:t>
            </w:r>
          </w:p>
        </w:tc>
      </w:tr>
      <w:tr w:rsidR="00897705" w14:paraId="5583502D" w14:textId="77777777">
        <w:trPr>
          <w:trHeight w:val="494"/>
          <w:jc w:val="center"/>
        </w:trPr>
        <w:tc>
          <w:tcPr>
            <w:tcW w:w="0" w:type="auto"/>
            <w:tcBorders>
              <w:top w:val="nil"/>
              <w:left w:val="nil"/>
              <w:bottom w:val="nil"/>
              <w:right w:val="nil"/>
            </w:tcBorders>
            <w:shd w:val="clear" w:color="auto" w:fill="auto"/>
            <w:noWrap/>
            <w:vAlign w:val="center"/>
          </w:tcPr>
          <w:p w14:paraId="437D495F"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x3</w:t>
            </w:r>
          </w:p>
        </w:tc>
        <w:tc>
          <w:tcPr>
            <w:tcW w:w="0" w:type="auto"/>
            <w:tcBorders>
              <w:top w:val="nil"/>
              <w:left w:val="nil"/>
              <w:bottom w:val="nil"/>
              <w:right w:val="nil"/>
            </w:tcBorders>
            <w:shd w:val="clear" w:color="auto" w:fill="auto"/>
            <w:noWrap/>
            <w:vAlign w:val="center"/>
          </w:tcPr>
          <w:p w14:paraId="3874AB16"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-1.555524</w:t>
            </w:r>
          </w:p>
        </w:tc>
        <w:tc>
          <w:tcPr>
            <w:tcW w:w="0" w:type="auto"/>
            <w:tcBorders>
              <w:top w:val="nil"/>
              <w:left w:val="nil"/>
              <w:bottom w:val="nil"/>
              <w:right w:val="nil"/>
            </w:tcBorders>
            <w:shd w:val="clear" w:color="auto" w:fill="auto"/>
            <w:noWrap/>
            <w:vAlign w:val="center"/>
          </w:tcPr>
          <w:p w14:paraId="6ED44235"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2.199619</w:t>
            </w:r>
          </w:p>
        </w:tc>
        <w:tc>
          <w:tcPr>
            <w:tcW w:w="0" w:type="auto"/>
            <w:tcBorders>
              <w:top w:val="nil"/>
              <w:left w:val="nil"/>
              <w:bottom w:val="nil"/>
              <w:right w:val="nil"/>
            </w:tcBorders>
            <w:shd w:val="clear" w:color="auto" w:fill="auto"/>
            <w:noWrap/>
            <w:vAlign w:val="center"/>
          </w:tcPr>
          <w:p w14:paraId="5FFCD593"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-0.71</w:t>
            </w:r>
          </w:p>
        </w:tc>
        <w:tc>
          <w:tcPr>
            <w:tcW w:w="0" w:type="auto"/>
            <w:tcBorders>
              <w:top w:val="nil"/>
              <w:left w:val="nil"/>
              <w:bottom w:val="nil"/>
              <w:right w:val="nil"/>
            </w:tcBorders>
            <w:shd w:val="clear" w:color="auto" w:fill="auto"/>
            <w:noWrap/>
            <w:vAlign w:val="center"/>
          </w:tcPr>
          <w:p w14:paraId="019A5F05"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0.479</w:t>
            </w:r>
          </w:p>
        </w:tc>
        <w:tc>
          <w:tcPr>
            <w:tcW w:w="0" w:type="auto"/>
            <w:tcBorders>
              <w:top w:val="nil"/>
              <w:left w:val="nil"/>
              <w:bottom w:val="nil"/>
              <w:right w:val="nil"/>
            </w:tcBorders>
            <w:shd w:val="clear" w:color="auto" w:fill="auto"/>
            <w:noWrap/>
            <w:vAlign w:val="center"/>
          </w:tcPr>
          <w:p w14:paraId="1A3BE489"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-6</w:t>
            </w:r>
          </w:p>
        </w:tc>
        <w:tc>
          <w:tcPr>
            <w:tcW w:w="0" w:type="auto"/>
            <w:tcBorders>
              <w:top w:val="nil"/>
              <w:left w:val="nil"/>
              <w:bottom w:val="nil"/>
              <w:right w:val="nil"/>
            </w:tcBorders>
            <w:shd w:val="clear" w:color="auto" w:fill="auto"/>
            <w:noWrap/>
            <w:vAlign w:val="center"/>
          </w:tcPr>
          <w:p w14:paraId="06BB2B93"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2.755649</w:t>
            </w:r>
          </w:p>
        </w:tc>
      </w:tr>
      <w:tr w:rsidR="00897705" w14:paraId="6087AE13" w14:textId="77777777">
        <w:trPr>
          <w:trHeight w:val="494"/>
          <w:jc w:val="center"/>
        </w:trPr>
        <w:tc>
          <w:tcPr>
            <w:tcW w:w="0" w:type="auto"/>
            <w:tcBorders>
              <w:top w:val="nil"/>
              <w:left w:val="nil"/>
              <w:bottom w:val="nil"/>
              <w:right w:val="nil"/>
            </w:tcBorders>
            <w:shd w:val="clear" w:color="auto" w:fill="auto"/>
            <w:noWrap/>
            <w:vAlign w:val="center"/>
          </w:tcPr>
          <w:p w14:paraId="29A79F29"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y2b1</w:t>
            </w:r>
          </w:p>
        </w:tc>
        <w:tc>
          <w:tcPr>
            <w:tcW w:w="0" w:type="auto"/>
            <w:tcBorders>
              <w:top w:val="nil"/>
              <w:left w:val="nil"/>
              <w:bottom w:val="nil"/>
              <w:right w:val="nil"/>
            </w:tcBorders>
            <w:shd w:val="clear" w:color="auto" w:fill="auto"/>
            <w:noWrap/>
            <w:vAlign w:val="center"/>
          </w:tcPr>
          <w:p w14:paraId="1E91AABC"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0.0925191</w:t>
            </w:r>
          </w:p>
        </w:tc>
        <w:tc>
          <w:tcPr>
            <w:tcW w:w="0" w:type="auto"/>
            <w:tcBorders>
              <w:top w:val="nil"/>
              <w:left w:val="nil"/>
              <w:bottom w:val="nil"/>
              <w:right w:val="nil"/>
            </w:tcBorders>
            <w:shd w:val="clear" w:color="auto" w:fill="auto"/>
            <w:noWrap/>
            <w:vAlign w:val="center"/>
          </w:tcPr>
          <w:p w14:paraId="554FA2AC"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0.4467494</w:t>
            </w:r>
          </w:p>
        </w:tc>
        <w:tc>
          <w:tcPr>
            <w:tcW w:w="0" w:type="auto"/>
            <w:tcBorders>
              <w:top w:val="nil"/>
              <w:left w:val="nil"/>
              <w:bottom w:val="nil"/>
              <w:right w:val="nil"/>
            </w:tcBorders>
            <w:shd w:val="clear" w:color="auto" w:fill="auto"/>
            <w:noWrap/>
            <w:vAlign w:val="center"/>
          </w:tcPr>
          <w:p w14:paraId="6B20790C"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-0.21</w:t>
            </w:r>
          </w:p>
        </w:tc>
        <w:tc>
          <w:tcPr>
            <w:tcW w:w="0" w:type="auto"/>
            <w:tcBorders>
              <w:top w:val="nil"/>
              <w:left w:val="nil"/>
              <w:bottom w:val="nil"/>
              <w:right w:val="nil"/>
            </w:tcBorders>
            <w:shd w:val="clear" w:color="auto" w:fill="auto"/>
            <w:noWrap/>
            <w:vAlign w:val="center"/>
          </w:tcPr>
          <w:p w14:paraId="57D0B606"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0.836</w:t>
            </w:r>
          </w:p>
        </w:tc>
        <w:tc>
          <w:tcPr>
            <w:tcW w:w="0" w:type="auto"/>
            <w:tcBorders>
              <w:top w:val="nil"/>
              <w:left w:val="nil"/>
              <w:bottom w:val="nil"/>
              <w:right w:val="nil"/>
            </w:tcBorders>
            <w:shd w:val="clear" w:color="auto" w:fill="auto"/>
            <w:noWrap/>
            <w:vAlign w:val="center"/>
          </w:tcPr>
          <w:p w14:paraId="7CE3D6F9"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0.9681319</w:t>
            </w:r>
          </w:p>
        </w:tc>
        <w:tc>
          <w:tcPr>
            <w:tcW w:w="0" w:type="auto"/>
            <w:tcBorders>
              <w:top w:val="nil"/>
              <w:left w:val="nil"/>
              <w:bottom w:val="nil"/>
              <w:right w:val="nil"/>
            </w:tcBorders>
            <w:shd w:val="clear" w:color="auto" w:fill="auto"/>
            <w:noWrap/>
            <w:vAlign w:val="center"/>
          </w:tcPr>
          <w:p w14:paraId="4BBB03A5"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0.7838937</w:t>
            </w:r>
          </w:p>
        </w:tc>
      </w:tr>
      <w:tr w:rsidR="00897705" w14:paraId="62F56B4F" w14:textId="77777777">
        <w:trPr>
          <w:trHeight w:val="494"/>
          <w:jc w:val="center"/>
        </w:trPr>
        <w:tc>
          <w:tcPr>
            <w:tcW w:w="0" w:type="auto"/>
            <w:tcBorders>
              <w:top w:val="nil"/>
              <w:left w:val="nil"/>
              <w:bottom w:val="nil"/>
              <w:right w:val="nil"/>
            </w:tcBorders>
            <w:shd w:val="clear" w:color="auto" w:fill="auto"/>
            <w:noWrap/>
            <w:vAlign w:val="center"/>
          </w:tcPr>
          <w:p w14:paraId="502E06A3"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x1x1</w:t>
            </w:r>
          </w:p>
        </w:tc>
        <w:tc>
          <w:tcPr>
            <w:tcW w:w="0" w:type="auto"/>
            <w:tcBorders>
              <w:top w:val="nil"/>
              <w:left w:val="nil"/>
              <w:bottom w:val="nil"/>
              <w:right w:val="nil"/>
            </w:tcBorders>
            <w:shd w:val="clear" w:color="auto" w:fill="auto"/>
            <w:noWrap/>
            <w:vAlign w:val="center"/>
          </w:tcPr>
          <w:p w14:paraId="10C17F19"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-0.0051127</w:t>
            </w:r>
          </w:p>
        </w:tc>
        <w:tc>
          <w:tcPr>
            <w:tcW w:w="0" w:type="auto"/>
            <w:tcBorders>
              <w:top w:val="nil"/>
              <w:left w:val="nil"/>
              <w:bottom w:val="nil"/>
              <w:right w:val="nil"/>
            </w:tcBorders>
            <w:shd w:val="clear" w:color="auto" w:fill="auto"/>
            <w:noWrap/>
            <w:vAlign w:val="center"/>
          </w:tcPr>
          <w:p w14:paraId="6A359A6D"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0.001054</w:t>
            </w:r>
          </w:p>
        </w:tc>
        <w:tc>
          <w:tcPr>
            <w:tcW w:w="0" w:type="auto"/>
            <w:tcBorders>
              <w:top w:val="nil"/>
              <w:left w:val="nil"/>
              <w:bottom w:val="nil"/>
              <w:right w:val="nil"/>
            </w:tcBorders>
            <w:shd w:val="clear" w:color="auto" w:fill="auto"/>
            <w:noWrap/>
            <w:vAlign w:val="center"/>
          </w:tcPr>
          <w:p w14:paraId="25723838"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-4.85</w:t>
            </w:r>
          </w:p>
        </w:tc>
        <w:tc>
          <w:tcPr>
            <w:tcW w:w="0" w:type="auto"/>
            <w:tcBorders>
              <w:top w:val="nil"/>
              <w:left w:val="nil"/>
              <w:bottom w:val="nil"/>
              <w:right w:val="nil"/>
            </w:tcBorders>
            <w:shd w:val="clear" w:color="auto" w:fill="auto"/>
            <w:noWrap/>
            <w:vAlign w:val="center"/>
          </w:tcPr>
          <w:p w14:paraId="29E3700C"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0.6</w:t>
            </w:r>
          </w:p>
        </w:tc>
        <w:tc>
          <w:tcPr>
            <w:tcW w:w="0" w:type="auto"/>
            <w:tcBorders>
              <w:top w:val="nil"/>
              <w:left w:val="nil"/>
              <w:bottom w:val="nil"/>
              <w:right w:val="nil"/>
            </w:tcBorders>
            <w:shd w:val="clear" w:color="auto" w:fill="auto"/>
            <w:noWrap/>
            <w:vAlign w:val="center"/>
          </w:tcPr>
          <w:p w14:paraId="154E3C93"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-0.0071785</w:t>
            </w:r>
          </w:p>
        </w:tc>
        <w:tc>
          <w:tcPr>
            <w:tcW w:w="0" w:type="auto"/>
            <w:tcBorders>
              <w:top w:val="nil"/>
              <w:left w:val="nil"/>
              <w:bottom w:val="nil"/>
              <w:right w:val="nil"/>
            </w:tcBorders>
            <w:shd w:val="clear" w:color="auto" w:fill="auto"/>
            <w:noWrap/>
            <w:vAlign w:val="center"/>
          </w:tcPr>
          <w:p w14:paraId="7576A06D"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-0.0038469</w:t>
            </w:r>
          </w:p>
        </w:tc>
      </w:tr>
      <w:tr w:rsidR="00897705" w14:paraId="16225965" w14:textId="77777777">
        <w:trPr>
          <w:trHeight w:val="494"/>
          <w:jc w:val="center"/>
        </w:trPr>
        <w:tc>
          <w:tcPr>
            <w:tcW w:w="0" w:type="auto"/>
            <w:tcBorders>
              <w:top w:val="nil"/>
              <w:left w:val="nil"/>
              <w:bottom w:val="nil"/>
              <w:right w:val="nil"/>
            </w:tcBorders>
            <w:shd w:val="clear" w:color="auto" w:fill="auto"/>
            <w:noWrap/>
            <w:vAlign w:val="center"/>
          </w:tcPr>
          <w:p w14:paraId="7C229D52"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x2x2</w:t>
            </w:r>
          </w:p>
        </w:tc>
        <w:tc>
          <w:tcPr>
            <w:tcW w:w="0" w:type="auto"/>
            <w:tcBorders>
              <w:top w:val="nil"/>
              <w:left w:val="nil"/>
              <w:bottom w:val="nil"/>
              <w:right w:val="nil"/>
            </w:tcBorders>
            <w:shd w:val="clear" w:color="auto" w:fill="auto"/>
            <w:noWrap/>
            <w:vAlign w:val="center"/>
          </w:tcPr>
          <w:p w14:paraId="56FA5B02"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-7.39E-07</w:t>
            </w:r>
          </w:p>
        </w:tc>
        <w:tc>
          <w:tcPr>
            <w:tcW w:w="0" w:type="auto"/>
            <w:tcBorders>
              <w:top w:val="nil"/>
              <w:left w:val="nil"/>
              <w:bottom w:val="nil"/>
              <w:right w:val="nil"/>
            </w:tcBorders>
            <w:shd w:val="clear" w:color="auto" w:fill="auto"/>
            <w:noWrap/>
            <w:vAlign w:val="center"/>
          </w:tcPr>
          <w:p w14:paraId="5D823E41"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w:t>
            </w:r>
          </w:p>
        </w:tc>
        <w:tc>
          <w:tcPr>
            <w:tcW w:w="0" w:type="auto"/>
            <w:tcBorders>
              <w:top w:val="nil"/>
              <w:left w:val="nil"/>
              <w:bottom w:val="nil"/>
              <w:right w:val="nil"/>
            </w:tcBorders>
            <w:shd w:val="clear" w:color="auto" w:fill="auto"/>
            <w:noWrap/>
            <w:vAlign w:val="center"/>
          </w:tcPr>
          <w:p w14:paraId="689B3E58"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w:t>
            </w:r>
          </w:p>
        </w:tc>
        <w:tc>
          <w:tcPr>
            <w:tcW w:w="0" w:type="auto"/>
            <w:tcBorders>
              <w:top w:val="nil"/>
              <w:left w:val="nil"/>
              <w:bottom w:val="nil"/>
              <w:right w:val="nil"/>
            </w:tcBorders>
            <w:shd w:val="clear" w:color="auto" w:fill="auto"/>
            <w:noWrap/>
            <w:vAlign w:val="center"/>
          </w:tcPr>
          <w:p w14:paraId="26B3A40A"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w:t>
            </w:r>
          </w:p>
        </w:tc>
        <w:tc>
          <w:tcPr>
            <w:tcW w:w="0" w:type="auto"/>
            <w:tcBorders>
              <w:top w:val="nil"/>
              <w:left w:val="nil"/>
              <w:bottom w:val="nil"/>
              <w:right w:val="nil"/>
            </w:tcBorders>
            <w:shd w:val="clear" w:color="auto" w:fill="auto"/>
            <w:noWrap/>
            <w:vAlign w:val="center"/>
          </w:tcPr>
          <w:p w14:paraId="54A8E6F4"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w:t>
            </w:r>
          </w:p>
        </w:tc>
        <w:tc>
          <w:tcPr>
            <w:tcW w:w="0" w:type="auto"/>
            <w:tcBorders>
              <w:top w:val="nil"/>
              <w:left w:val="nil"/>
              <w:bottom w:val="nil"/>
              <w:right w:val="nil"/>
            </w:tcBorders>
            <w:shd w:val="clear" w:color="auto" w:fill="auto"/>
            <w:noWrap/>
            <w:vAlign w:val="center"/>
          </w:tcPr>
          <w:p w14:paraId="6EB0F7E1"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w:t>
            </w:r>
          </w:p>
        </w:tc>
      </w:tr>
      <w:tr w:rsidR="00897705" w14:paraId="31DAA6C7" w14:textId="77777777">
        <w:trPr>
          <w:trHeight w:val="494"/>
          <w:jc w:val="center"/>
        </w:trPr>
        <w:tc>
          <w:tcPr>
            <w:tcW w:w="0" w:type="auto"/>
            <w:tcBorders>
              <w:top w:val="nil"/>
              <w:left w:val="nil"/>
              <w:bottom w:val="nil"/>
              <w:right w:val="nil"/>
            </w:tcBorders>
            <w:shd w:val="clear" w:color="auto" w:fill="auto"/>
            <w:noWrap/>
            <w:vAlign w:val="center"/>
          </w:tcPr>
          <w:p w14:paraId="3ECC2579"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x3x3</w:t>
            </w:r>
          </w:p>
        </w:tc>
        <w:tc>
          <w:tcPr>
            <w:tcW w:w="0" w:type="auto"/>
            <w:tcBorders>
              <w:top w:val="nil"/>
              <w:left w:val="nil"/>
              <w:bottom w:val="nil"/>
              <w:right w:val="nil"/>
            </w:tcBorders>
            <w:shd w:val="clear" w:color="auto" w:fill="auto"/>
            <w:noWrap/>
            <w:vAlign w:val="center"/>
          </w:tcPr>
          <w:p w14:paraId="38C66C1F"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-0.0003756</w:t>
            </w:r>
          </w:p>
        </w:tc>
        <w:tc>
          <w:tcPr>
            <w:tcW w:w="0" w:type="auto"/>
            <w:tcBorders>
              <w:top w:val="nil"/>
              <w:left w:val="nil"/>
              <w:bottom w:val="nil"/>
              <w:right w:val="nil"/>
            </w:tcBorders>
            <w:shd w:val="clear" w:color="auto" w:fill="auto"/>
            <w:noWrap/>
            <w:vAlign w:val="center"/>
          </w:tcPr>
          <w:p w14:paraId="2F2EC0F2"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0.0001917</w:t>
            </w:r>
          </w:p>
        </w:tc>
        <w:tc>
          <w:tcPr>
            <w:tcW w:w="0" w:type="auto"/>
            <w:tcBorders>
              <w:top w:val="nil"/>
              <w:left w:val="nil"/>
              <w:bottom w:val="nil"/>
              <w:right w:val="nil"/>
            </w:tcBorders>
            <w:shd w:val="clear" w:color="auto" w:fill="auto"/>
            <w:noWrap/>
            <w:vAlign w:val="center"/>
          </w:tcPr>
          <w:p w14:paraId="2FACDC08"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-1.96</w:t>
            </w:r>
          </w:p>
        </w:tc>
        <w:tc>
          <w:tcPr>
            <w:tcW w:w="0" w:type="auto"/>
            <w:tcBorders>
              <w:top w:val="nil"/>
              <w:left w:val="nil"/>
              <w:bottom w:val="nil"/>
              <w:right w:val="nil"/>
            </w:tcBorders>
            <w:shd w:val="clear" w:color="auto" w:fill="auto"/>
            <w:noWrap/>
            <w:vAlign w:val="center"/>
          </w:tcPr>
          <w:p w14:paraId="1581E9C3"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0.05</w:t>
            </w:r>
          </w:p>
        </w:tc>
        <w:tc>
          <w:tcPr>
            <w:tcW w:w="0" w:type="auto"/>
            <w:tcBorders>
              <w:top w:val="nil"/>
              <w:left w:val="nil"/>
              <w:bottom w:val="nil"/>
              <w:right w:val="nil"/>
            </w:tcBorders>
            <w:shd w:val="clear" w:color="auto" w:fill="auto"/>
            <w:noWrap/>
            <w:vAlign w:val="center"/>
          </w:tcPr>
          <w:p w14:paraId="33F1A2ED"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-0.007513</w:t>
            </w:r>
          </w:p>
        </w:tc>
        <w:tc>
          <w:tcPr>
            <w:tcW w:w="0" w:type="auto"/>
            <w:tcBorders>
              <w:top w:val="nil"/>
              <w:left w:val="nil"/>
              <w:bottom w:val="nil"/>
              <w:right w:val="nil"/>
            </w:tcBorders>
            <w:shd w:val="clear" w:color="auto" w:fill="auto"/>
            <w:noWrap/>
            <w:vAlign w:val="center"/>
          </w:tcPr>
          <w:p w14:paraId="580423B4"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-1.17E-09</w:t>
            </w:r>
          </w:p>
        </w:tc>
      </w:tr>
      <w:tr w:rsidR="00897705" w14:paraId="22E27C81" w14:textId="77777777">
        <w:trPr>
          <w:trHeight w:val="494"/>
          <w:jc w:val="center"/>
        </w:trPr>
        <w:tc>
          <w:tcPr>
            <w:tcW w:w="0" w:type="auto"/>
            <w:tcBorders>
              <w:top w:val="nil"/>
              <w:left w:val="nil"/>
              <w:bottom w:val="nil"/>
              <w:right w:val="nil"/>
            </w:tcBorders>
            <w:shd w:val="clear" w:color="auto" w:fill="auto"/>
            <w:noWrap/>
            <w:vAlign w:val="center"/>
          </w:tcPr>
          <w:p w14:paraId="2C3CF9D5"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x1x2</w:t>
            </w:r>
          </w:p>
        </w:tc>
        <w:tc>
          <w:tcPr>
            <w:tcW w:w="0" w:type="auto"/>
            <w:tcBorders>
              <w:top w:val="nil"/>
              <w:left w:val="nil"/>
              <w:bottom w:val="nil"/>
              <w:right w:val="nil"/>
            </w:tcBorders>
            <w:shd w:val="clear" w:color="auto" w:fill="auto"/>
            <w:noWrap/>
            <w:vAlign w:val="center"/>
          </w:tcPr>
          <w:p w14:paraId="3A493C8B"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-0.0000268</w:t>
            </w:r>
          </w:p>
        </w:tc>
        <w:tc>
          <w:tcPr>
            <w:tcW w:w="0" w:type="auto"/>
            <w:tcBorders>
              <w:top w:val="nil"/>
              <w:left w:val="nil"/>
              <w:bottom w:val="nil"/>
              <w:right w:val="nil"/>
            </w:tcBorders>
            <w:shd w:val="clear" w:color="auto" w:fill="auto"/>
            <w:noWrap/>
            <w:vAlign w:val="center"/>
          </w:tcPr>
          <w:p w14:paraId="26A46402"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0.0000353</w:t>
            </w:r>
          </w:p>
        </w:tc>
        <w:tc>
          <w:tcPr>
            <w:tcW w:w="0" w:type="auto"/>
            <w:tcBorders>
              <w:top w:val="nil"/>
              <w:left w:val="nil"/>
              <w:bottom w:val="nil"/>
              <w:right w:val="nil"/>
            </w:tcBorders>
            <w:shd w:val="clear" w:color="auto" w:fill="auto"/>
            <w:noWrap/>
            <w:vAlign w:val="center"/>
          </w:tcPr>
          <w:p w14:paraId="0B9D6D75"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-0.76</w:t>
            </w:r>
          </w:p>
        </w:tc>
        <w:tc>
          <w:tcPr>
            <w:tcW w:w="0" w:type="auto"/>
            <w:tcBorders>
              <w:top w:val="nil"/>
              <w:left w:val="nil"/>
              <w:bottom w:val="nil"/>
              <w:right w:val="nil"/>
            </w:tcBorders>
            <w:shd w:val="clear" w:color="auto" w:fill="auto"/>
            <w:noWrap/>
            <w:vAlign w:val="center"/>
          </w:tcPr>
          <w:p w14:paraId="317CD4FB"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0.448</w:t>
            </w:r>
          </w:p>
        </w:tc>
        <w:tc>
          <w:tcPr>
            <w:tcW w:w="0" w:type="auto"/>
            <w:tcBorders>
              <w:top w:val="nil"/>
              <w:left w:val="nil"/>
              <w:bottom w:val="nil"/>
              <w:right w:val="nil"/>
            </w:tcBorders>
            <w:shd w:val="clear" w:color="auto" w:fill="auto"/>
            <w:noWrap/>
            <w:vAlign w:val="center"/>
          </w:tcPr>
          <w:p w14:paraId="1D0372DC"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-0.000096</w:t>
            </w:r>
          </w:p>
        </w:tc>
        <w:tc>
          <w:tcPr>
            <w:tcW w:w="0" w:type="auto"/>
            <w:tcBorders>
              <w:top w:val="nil"/>
              <w:left w:val="nil"/>
              <w:bottom w:val="nil"/>
              <w:right w:val="nil"/>
            </w:tcBorders>
            <w:shd w:val="clear" w:color="auto" w:fill="auto"/>
            <w:noWrap/>
            <w:vAlign w:val="center"/>
          </w:tcPr>
          <w:p w14:paraId="285A14F3"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0.0000424</w:t>
            </w:r>
          </w:p>
        </w:tc>
      </w:tr>
      <w:tr w:rsidR="00897705" w14:paraId="358A8CA1" w14:textId="77777777">
        <w:trPr>
          <w:trHeight w:val="494"/>
          <w:jc w:val="center"/>
        </w:trPr>
        <w:tc>
          <w:tcPr>
            <w:tcW w:w="0" w:type="auto"/>
            <w:tcBorders>
              <w:top w:val="nil"/>
              <w:left w:val="nil"/>
              <w:bottom w:val="nil"/>
              <w:right w:val="nil"/>
            </w:tcBorders>
            <w:shd w:val="clear" w:color="auto" w:fill="auto"/>
            <w:noWrap/>
            <w:vAlign w:val="center"/>
          </w:tcPr>
          <w:p w14:paraId="65CF2C9D"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x1x3</w:t>
            </w:r>
          </w:p>
        </w:tc>
        <w:tc>
          <w:tcPr>
            <w:tcW w:w="0" w:type="auto"/>
            <w:tcBorders>
              <w:top w:val="nil"/>
              <w:left w:val="nil"/>
              <w:bottom w:val="nil"/>
              <w:right w:val="nil"/>
            </w:tcBorders>
            <w:shd w:val="clear" w:color="auto" w:fill="auto"/>
            <w:noWrap/>
            <w:vAlign w:val="center"/>
          </w:tcPr>
          <w:p w14:paraId="57EF7560"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0.0000342</w:t>
            </w:r>
          </w:p>
        </w:tc>
        <w:tc>
          <w:tcPr>
            <w:tcW w:w="0" w:type="auto"/>
            <w:tcBorders>
              <w:top w:val="nil"/>
              <w:left w:val="nil"/>
              <w:bottom w:val="nil"/>
              <w:right w:val="nil"/>
            </w:tcBorders>
            <w:shd w:val="clear" w:color="auto" w:fill="auto"/>
            <w:noWrap/>
            <w:vAlign w:val="center"/>
          </w:tcPr>
          <w:p w14:paraId="1876C4C3"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87684</w:t>
            </w:r>
          </w:p>
        </w:tc>
        <w:tc>
          <w:tcPr>
            <w:tcW w:w="0" w:type="auto"/>
            <w:tcBorders>
              <w:top w:val="nil"/>
              <w:left w:val="nil"/>
              <w:bottom w:val="nil"/>
              <w:right w:val="nil"/>
            </w:tcBorders>
            <w:shd w:val="clear" w:color="auto" w:fill="auto"/>
            <w:noWrap/>
            <w:vAlign w:val="center"/>
          </w:tcPr>
          <w:p w14:paraId="1F671AFF"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-0.05</w:t>
            </w:r>
          </w:p>
        </w:tc>
        <w:tc>
          <w:tcPr>
            <w:tcW w:w="0" w:type="auto"/>
            <w:tcBorders>
              <w:top w:val="nil"/>
              <w:left w:val="nil"/>
              <w:bottom w:val="nil"/>
              <w:right w:val="nil"/>
            </w:tcBorders>
            <w:shd w:val="clear" w:color="auto" w:fill="auto"/>
            <w:noWrap/>
            <w:vAlign w:val="center"/>
          </w:tcPr>
          <w:p w14:paraId="51837E47"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0.964</w:t>
            </w:r>
          </w:p>
        </w:tc>
        <w:tc>
          <w:tcPr>
            <w:tcW w:w="0" w:type="auto"/>
            <w:tcBorders>
              <w:top w:val="nil"/>
              <w:left w:val="nil"/>
              <w:bottom w:val="nil"/>
              <w:right w:val="nil"/>
            </w:tcBorders>
            <w:shd w:val="clear" w:color="auto" w:fill="auto"/>
            <w:noWrap/>
            <w:vAlign w:val="center"/>
          </w:tcPr>
          <w:p w14:paraId="3C905B3C"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0.0015246</w:t>
            </w:r>
          </w:p>
        </w:tc>
        <w:tc>
          <w:tcPr>
            <w:tcW w:w="0" w:type="auto"/>
            <w:tcBorders>
              <w:top w:val="nil"/>
              <w:left w:val="nil"/>
              <w:bottom w:val="nil"/>
              <w:right w:val="nil"/>
            </w:tcBorders>
            <w:shd w:val="clear" w:color="auto" w:fill="auto"/>
            <w:noWrap/>
            <w:vAlign w:val="center"/>
          </w:tcPr>
          <w:p w14:paraId="0908E6CA"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0.0014561</w:t>
            </w:r>
          </w:p>
        </w:tc>
      </w:tr>
      <w:tr w:rsidR="00897705" w14:paraId="44A99CFA" w14:textId="77777777">
        <w:trPr>
          <w:trHeight w:val="494"/>
          <w:jc w:val="center"/>
        </w:trPr>
        <w:tc>
          <w:tcPr>
            <w:tcW w:w="0" w:type="auto"/>
            <w:tcBorders>
              <w:top w:val="nil"/>
              <w:left w:val="nil"/>
              <w:bottom w:val="nil"/>
              <w:right w:val="nil"/>
            </w:tcBorders>
            <w:shd w:val="clear" w:color="auto" w:fill="auto"/>
            <w:noWrap/>
            <w:vAlign w:val="center"/>
          </w:tcPr>
          <w:p w14:paraId="1F41CDA3"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x2x3</w:t>
            </w:r>
          </w:p>
        </w:tc>
        <w:tc>
          <w:tcPr>
            <w:tcW w:w="0" w:type="auto"/>
            <w:tcBorders>
              <w:top w:val="nil"/>
              <w:left w:val="nil"/>
              <w:bottom w:val="nil"/>
              <w:right w:val="nil"/>
            </w:tcBorders>
            <w:shd w:val="clear" w:color="auto" w:fill="auto"/>
            <w:noWrap/>
            <w:vAlign w:val="center"/>
          </w:tcPr>
          <w:p w14:paraId="3A7AB531"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0.0000143</w:t>
            </w:r>
          </w:p>
        </w:tc>
        <w:tc>
          <w:tcPr>
            <w:tcW w:w="0" w:type="auto"/>
            <w:tcBorders>
              <w:top w:val="nil"/>
              <w:left w:val="nil"/>
              <w:bottom w:val="nil"/>
              <w:right w:val="nil"/>
            </w:tcBorders>
            <w:shd w:val="clear" w:color="auto" w:fill="auto"/>
            <w:noWrap/>
            <w:vAlign w:val="center"/>
          </w:tcPr>
          <w:p w14:paraId="1085DD83"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0.0000125</w:t>
            </w:r>
          </w:p>
        </w:tc>
        <w:tc>
          <w:tcPr>
            <w:tcW w:w="0" w:type="auto"/>
            <w:tcBorders>
              <w:top w:val="nil"/>
              <w:left w:val="nil"/>
              <w:bottom w:val="nil"/>
              <w:right w:val="nil"/>
            </w:tcBorders>
            <w:shd w:val="clear" w:color="auto" w:fill="auto"/>
            <w:noWrap/>
            <w:vAlign w:val="center"/>
          </w:tcPr>
          <w:p w14:paraId="7A8FB3B7"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-1.15</w:t>
            </w:r>
          </w:p>
        </w:tc>
        <w:tc>
          <w:tcPr>
            <w:tcW w:w="0" w:type="auto"/>
            <w:tcBorders>
              <w:top w:val="nil"/>
              <w:left w:val="nil"/>
              <w:bottom w:val="nil"/>
              <w:right w:val="nil"/>
            </w:tcBorders>
            <w:shd w:val="clear" w:color="auto" w:fill="auto"/>
            <w:noWrap/>
            <w:vAlign w:val="center"/>
          </w:tcPr>
          <w:p w14:paraId="75EE7E78"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0.25</w:t>
            </w:r>
          </w:p>
        </w:tc>
        <w:tc>
          <w:tcPr>
            <w:tcW w:w="0" w:type="auto"/>
            <w:tcBorders>
              <w:top w:val="nil"/>
              <w:left w:val="nil"/>
              <w:bottom w:val="nil"/>
              <w:right w:val="nil"/>
            </w:tcBorders>
            <w:shd w:val="clear" w:color="auto" w:fill="auto"/>
            <w:noWrap/>
            <w:vAlign w:val="center"/>
          </w:tcPr>
          <w:p w14:paraId="5976BFB2"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-0.0000388</w:t>
            </w:r>
          </w:p>
        </w:tc>
        <w:tc>
          <w:tcPr>
            <w:tcW w:w="0" w:type="auto"/>
            <w:tcBorders>
              <w:top w:val="nil"/>
              <w:left w:val="nil"/>
              <w:bottom w:val="nil"/>
              <w:right w:val="nil"/>
            </w:tcBorders>
            <w:shd w:val="clear" w:color="auto" w:fill="auto"/>
            <w:noWrap/>
            <w:vAlign w:val="center"/>
          </w:tcPr>
          <w:p w14:paraId="3BA5047A"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0.0000101</w:t>
            </w:r>
          </w:p>
        </w:tc>
      </w:tr>
      <w:tr w:rsidR="00897705" w14:paraId="6AD926F6" w14:textId="77777777">
        <w:trPr>
          <w:trHeight w:val="494"/>
          <w:jc w:val="center"/>
        </w:trPr>
        <w:tc>
          <w:tcPr>
            <w:tcW w:w="0" w:type="auto"/>
            <w:tcBorders>
              <w:top w:val="nil"/>
              <w:left w:val="nil"/>
              <w:bottom w:val="nil"/>
              <w:right w:val="nil"/>
            </w:tcBorders>
            <w:shd w:val="clear" w:color="auto" w:fill="auto"/>
            <w:noWrap/>
            <w:vAlign w:val="center"/>
          </w:tcPr>
          <w:p w14:paraId="39F808CC"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y1b12</w:t>
            </w:r>
          </w:p>
        </w:tc>
        <w:tc>
          <w:tcPr>
            <w:tcW w:w="0" w:type="auto"/>
            <w:tcBorders>
              <w:top w:val="nil"/>
              <w:left w:val="nil"/>
              <w:bottom w:val="nil"/>
              <w:right w:val="nil"/>
            </w:tcBorders>
            <w:shd w:val="clear" w:color="auto" w:fill="auto"/>
            <w:noWrap/>
            <w:vAlign w:val="center"/>
          </w:tcPr>
          <w:p w14:paraId="7B765C1D"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-0.000032</w:t>
            </w:r>
          </w:p>
        </w:tc>
        <w:tc>
          <w:tcPr>
            <w:tcW w:w="0" w:type="auto"/>
            <w:tcBorders>
              <w:top w:val="nil"/>
              <w:left w:val="nil"/>
              <w:bottom w:val="nil"/>
              <w:right w:val="nil"/>
            </w:tcBorders>
            <w:shd w:val="clear" w:color="auto" w:fill="auto"/>
            <w:noWrap/>
            <w:vAlign w:val="center"/>
          </w:tcPr>
          <w:p w14:paraId="06B8B4DB"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w:t>
            </w:r>
          </w:p>
        </w:tc>
        <w:tc>
          <w:tcPr>
            <w:tcW w:w="0" w:type="auto"/>
            <w:tcBorders>
              <w:top w:val="nil"/>
              <w:left w:val="nil"/>
              <w:bottom w:val="nil"/>
              <w:right w:val="nil"/>
            </w:tcBorders>
            <w:shd w:val="clear" w:color="auto" w:fill="auto"/>
            <w:noWrap/>
            <w:vAlign w:val="center"/>
          </w:tcPr>
          <w:p w14:paraId="76FEF3D2"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w:t>
            </w:r>
          </w:p>
        </w:tc>
        <w:tc>
          <w:tcPr>
            <w:tcW w:w="0" w:type="auto"/>
            <w:tcBorders>
              <w:top w:val="nil"/>
              <w:left w:val="nil"/>
              <w:bottom w:val="nil"/>
              <w:right w:val="nil"/>
            </w:tcBorders>
            <w:shd w:val="clear" w:color="auto" w:fill="auto"/>
            <w:noWrap/>
            <w:vAlign w:val="center"/>
          </w:tcPr>
          <w:p w14:paraId="2DDCBD52"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w:t>
            </w:r>
          </w:p>
        </w:tc>
        <w:tc>
          <w:tcPr>
            <w:tcW w:w="0" w:type="auto"/>
            <w:tcBorders>
              <w:top w:val="nil"/>
              <w:left w:val="nil"/>
              <w:bottom w:val="nil"/>
              <w:right w:val="nil"/>
            </w:tcBorders>
            <w:shd w:val="clear" w:color="auto" w:fill="auto"/>
            <w:noWrap/>
            <w:vAlign w:val="center"/>
          </w:tcPr>
          <w:p w14:paraId="0857BA59"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w:t>
            </w:r>
          </w:p>
        </w:tc>
        <w:tc>
          <w:tcPr>
            <w:tcW w:w="0" w:type="auto"/>
            <w:tcBorders>
              <w:top w:val="nil"/>
              <w:left w:val="nil"/>
              <w:bottom w:val="nil"/>
              <w:right w:val="nil"/>
            </w:tcBorders>
            <w:shd w:val="clear" w:color="auto" w:fill="auto"/>
            <w:noWrap/>
            <w:vAlign w:val="center"/>
          </w:tcPr>
          <w:p w14:paraId="2894ADB8"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hint="eastAsia"/>
                <w:color w:val="000000"/>
                <w:kern w:val="0"/>
                <w:sz w:val="22"/>
                <w:szCs w:val="22"/>
              </w:rPr>
              <w:t>-</w:t>
            </w:r>
          </w:p>
        </w:tc>
      </w:tr>
      <w:tr w:rsidR="00897705" w14:paraId="66CBE51C" w14:textId="77777777">
        <w:trPr>
          <w:trHeight w:val="494"/>
          <w:jc w:val="center"/>
        </w:trPr>
        <w:tc>
          <w:tcPr>
            <w:tcW w:w="0" w:type="auto"/>
            <w:tcBorders>
              <w:top w:val="nil"/>
              <w:left w:val="nil"/>
              <w:bottom w:val="nil"/>
              <w:right w:val="nil"/>
            </w:tcBorders>
            <w:shd w:val="clear" w:color="auto" w:fill="auto"/>
            <w:noWrap/>
            <w:vAlign w:val="center"/>
          </w:tcPr>
          <w:p w14:paraId="27B89145"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x1y1b1</w:t>
            </w:r>
          </w:p>
        </w:tc>
        <w:tc>
          <w:tcPr>
            <w:tcW w:w="0" w:type="auto"/>
            <w:tcBorders>
              <w:top w:val="nil"/>
              <w:left w:val="nil"/>
              <w:bottom w:val="nil"/>
              <w:right w:val="nil"/>
            </w:tcBorders>
            <w:shd w:val="clear" w:color="auto" w:fill="auto"/>
            <w:noWrap/>
            <w:vAlign w:val="center"/>
          </w:tcPr>
          <w:p w14:paraId="6EA9DF1A"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0.0002995</w:t>
            </w:r>
          </w:p>
        </w:tc>
        <w:tc>
          <w:tcPr>
            <w:tcW w:w="0" w:type="auto"/>
            <w:tcBorders>
              <w:top w:val="nil"/>
              <w:left w:val="nil"/>
              <w:bottom w:val="nil"/>
              <w:right w:val="nil"/>
            </w:tcBorders>
            <w:shd w:val="clear" w:color="auto" w:fill="auto"/>
            <w:noWrap/>
            <w:vAlign w:val="center"/>
          </w:tcPr>
          <w:p w14:paraId="05E0DCE3"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0.0002204</w:t>
            </w:r>
          </w:p>
        </w:tc>
        <w:tc>
          <w:tcPr>
            <w:tcW w:w="0" w:type="auto"/>
            <w:tcBorders>
              <w:top w:val="nil"/>
              <w:left w:val="nil"/>
              <w:bottom w:val="nil"/>
              <w:right w:val="nil"/>
            </w:tcBorders>
            <w:shd w:val="clear" w:color="auto" w:fill="auto"/>
            <w:noWrap/>
            <w:vAlign w:val="center"/>
          </w:tcPr>
          <w:p w14:paraId="1E86AE6F"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1.36</w:t>
            </w:r>
          </w:p>
        </w:tc>
        <w:tc>
          <w:tcPr>
            <w:tcW w:w="0" w:type="auto"/>
            <w:tcBorders>
              <w:top w:val="nil"/>
              <w:left w:val="nil"/>
              <w:bottom w:val="nil"/>
              <w:right w:val="nil"/>
            </w:tcBorders>
            <w:shd w:val="clear" w:color="auto" w:fill="auto"/>
            <w:noWrap/>
            <w:vAlign w:val="center"/>
          </w:tcPr>
          <w:p w14:paraId="2FDE941E"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0.174</w:t>
            </w:r>
          </w:p>
        </w:tc>
        <w:tc>
          <w:tcPr>
            <w:tcW w:w="0" w:type="auto"/>
            <w:tcBorders>
              <w:top w:val="nil"/>
              <w:left w:val="nil"/>
              <w:bottom w:val="nil"/>
              <w:right w:val="nil"/>
            </w:tcBorders>
            <w:shd w:val="clear" w:color="auto" w:fill="auto"/>
            <w:noWrap/>
            <w:vAlign w:val="center"/>
          </w:tcPr>
          <w:p w14:paraId="08E51ACB"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-0.0001324</w:t>
            </w:r>
          </w:p>
        </w:tc>
        <w:tc>
          <w:tcPr>
            <w:tcW w:w="0" w:type="auto"/>
            <w:tcBorders>
              <w:top w:val="nil"/>
              <w:left w:val="nil"/>
              <w:bottom w:val="nil"/>
              <w:right w:val="nil"/>
            </w:tcBorders>
            <w:shd w:val="clear" w:color="auto" w:fill="auto"/>
            <w:noWrap/>
            <w:vAlign w:val="center"/>
          </w:tcPr>
          <w:p w14:paraId="584193B1"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0.0007324</w:t>
            </w:r>
          </w:p>
        </w:tc>
      </w:tr>
      <w:tr w:rsidR="00897705" w14:paraId="2CE47133" w14:textId="77777777">
        <w:trPr>
          <w:trHeight w:val="494"/>
          <w:jc w:val="center"/>
        </w:trPr>
        <w:tc>
          <w:tcPr>
            <w:tcW w:w="0" w:type="auto"/>
            <w:tcBorders>
              <w:top w:val="nil"/>
              <w:left w:val="nil"/>
              <w:bottom w:val="nil"/>
              <w:right w:val="nil"/>
            </w:tcBorders>
            <w:shd w:val="clear" w:color="auto" w:fill="auto"/>
            <w:noWrap/>
            <w:vAlign w:val="center"/>
          </w:tcPr>
          <w:p w14:paraId="37214E05"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x2y1b1</w:t>
            </w:r>
          </w:p>
        </w:tc>
        <w:tc>
          <w:tcPr>
            <w:tcW w:w="0" w:type="auto"/>
            <w:tcBorders>
              <w:top w:val="nil"/>
              <w:left w:val="nil"/>
              <w:bottom w:val="nil"/>
              <w:right w:val="nil"/>
            </w:tcBorders>
            <w:shd w:val="clear" w:color="auto" w:fill="auto"/>
            <w:noWrap/>
            <w:vAlign w:val="center"/>
          </w:tcPr>
          <w:p w14:paraId="13BAF068"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7.50E-06</w:t>
            </w:r>
          </w:p>
        </w:tc>
        <w:tc>
          <w:tcPr>
            <w:tcW w:w="0" w:type="auto"/>
            <w:tcBorders>
              <w:top w:val="nil"/>
              <w:left w:val="nil"/>
              <w:bottom w:val="nil"/>
              <w:right w:val="nil"/>
            </w:tcBorders>
            <w:shd w:val="clear" w:color="auto" w:fill="auto"/>
            <w:noWrap/>
            <w:vAlign w:val="center"/>
          </w:tcPr>
          <w:p w14:paraId="05A5906A"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hint="eastAsia"/>
                <w:color w:val="000000"/>
                <w:kern w:val="0"/>
                <w:sz w:val="22"/>
                <w:szCs w:val="22"/>
              </w:rPr>
              <w:t>-</w:t>
            </w:r>
          </w:p>
        </w:tc>
        <w:tc>
          <w:tcPr>
            <w:tcW w:w="0" w:type="auto"/>
            <w:tcBorders>
              <w:top w:val="nil"/>
              <w:left w:val="nil"/>
              <w:bottom w:val="nil"/>
              <w:right w:val="nil"/>
            </w:tcBorders>
            <w:shd w:val="clear" w:color="auto" w:fill="auto"/>
            <w:noWrap/>
            <w:vAlign w:val="center"/>
          </w:tcPr>
          <w:p w14:paraId="3BA1E2B0" w14:textId="77777777" w:rsidR="00897705" w:rsidRDefault="00000000">
            <w:pPr>
              <w:widowControl/>
              <w:spacing w:line="240" w:lineRule="auto"/>
              <w:jc w:val="center"/>
              <w:rPr>
                <w:rFonts w:eastAsiaTheme="minorEastAsia" w:cs="Times New Roman"/>
                <w:kern w:val="0"/>
                <w:sz w:val="20"/>
                <w:szCs w:val="20"/>
              </w:rPr>
            </w:pPr>
            <w:r>
              <w:rPr>
                <w:rFonts w:eastAsiaTheme="minorEastAsia" w:cs="Times New Roman" w:hint="eastAsia"/>
                <w:kern w:val="0"/>
                <w:sz w:val="20"/>
                <w:szCs w:val="20"/>
              </w:rPr>
              <w:t>-</w:t>
            </w:r>
          </w:p>
        </w:tc>
        <w:tc>
          <w:tcPr>
            <w:tcW w:w="0" w:type="auto"/>
            <w:tcBorders>
              <w:top w:val="nil"/>
              <w:left w:val="nil"/>
              <w:bottom w:val="nil"/>
              <w:right w:val="nil"/>
            </w:tcBorders>
            <w:shd w:val="clear" w:color="auto" w:fill="auto"/>
            <w:noWrap/>
            <w:vAlign w:val="center"/>
          </w:tcPr>
          <w:p w14:paraId="4C824BE9" w14:textId="77777777" w:rsidR="00897705" w:rsidRDefault="00000000">
            <w:pPr>
              <w:widowControl/>
              <w:spacing w:line="240" w:lineRule="auto"/>
              <w:jc w:val="center"/>
              <w:rPr>
                <w:rFonts w:eastAsiaTheme="minorEastAsia" w:cs="Times New Roman"/>
                <w:kern w:val="0"/>
                <w:sz w:val="20"/>
                <w:szCs w:val="20"/>
              </w:rPr>
            </w:pPr>
            <w:r>
              <w:rPr>
                <w:rFonts w:eastAsiaTheme="minorEastAsia" w:cs="Times New Roman" w:hint="eastAsia"/>
                <w:kern w:val="0"/>
                <w:sz w:val="20"/>
                <w:szCs w:val="20"/>
              </w:rPr>
              <w:t>-</w:t>
            </w:r>
          </w:p>
        </w:tc>
        <w:tc>
          <w:tcPr>
            <w:tcW w:w="0" w:type="auto"/>
            <w:tcBorders>
              <w:top w:val="nil"/>
              <w:left w:val="nil"/>
              <w:bottom w:val="nil"/>
              <w:right w:val="nil"/>
            </w:tcBorders>
            <w:shd w:val="clear" w:color="auto" w:fill="auto"/>
            <w:noWrap/>
            <w:vAlign w:val="center"/>
          </w:tcPr>
          <w:p w14:paraId="3DA6F88B"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w:t>
            </w:r>
          </w:p>
        </w:tc>
        <w:tc>
          <w:tcPr>
            <w:tcW w:w="0" w:type="auto"/>
            <w:tcBorders>
              <w:top w:val="nil"/>
              <w:left w:val="nil"/>
              <w:bottom w:val="nil"/>
              <w:right w:val="nil"/>
            </w:tcBorders>
            <w:shd w:val="clear" w:color="auto" w:fill="auto"/>
            <w:noWrap/>
            <w:vAlign w:val="center"/>
          </w:tcPr>
          <w:p w14:paraId="4999D09A"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w:t>
            </w:r>
          </w:p>
        </w:tc>
      </w:tr>
      <w:tr w:rsidR="00897705" w14:paraId="08C9A9CE" w14:textId="77777777">
        <w:trPr>
          <w:trHeight w:val="494"/>
          <w:jc w:val="center"/>
        </w:trPr>
        <w:tc>
          <w:tcPr>
            <w:tcW w:w="0" w:type="auto"/>
            <w:tcBorders>
              <w:top w:val="nil"/>
              <w:left w:val="nil"/>
              <w:bottom w:val="nil"/>
              <w:right w:val="nil"/>
            </w:tcBorders>
            <w:shd w:val="clear" w:color="auto" w:fill="auto"/>
            <w:noWrap/>
            <w:vAlign w:val="center"/>
          </w:tcPr>
          <w:p w14:paraId="52D76F6B"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x3y1b1</w:t>
            </w:r>
          </w:p>
        </w:tc>
        <w:tc>
          <w:tcPr>
            <w:tcW w:w="0" w:type="auto"/>
            <w:tcBorders>
              <w:top w:val="nil"/>
              <w:left w:val="nil"/>
              <w:bottom w:val="nil"/>
              <w:right w:val="nil"/>
            </w:tcBorders>
            <w:shd w:val="clear" w:color="auto" w:fill="auto"/>
            <w:noWrap/>
            <w:vAlign w:val="center"/>
          </w:tcPr>
          <w:p w14:paraId="2DDA370F"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0.0001875</w:t>
            </w:r>
          </w:p>
        </w:tc>
        <w:tc>
          <w:tcPr>
            <w:tcW w:w="0" w:type="auto"/>
            <w:tcBorders>
              <w:top w:val="nil"/>
              <w:left w:val="nil"/>
              <w:bottom w:val="nil"/>
              <w:right w:val="nil"/>
            </w:tcBorders>
            <w:shd w:val="clear" w:color="auto" w:fill="auto"/>
            <w:noWrap/>
            <w:vAlign w:val="center"/>
          </w:tcPr>
          <w:p w14:paraId="277F1677"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0.0000705</w:t>
            </w:r>
          </w:p>
        </w:tc>
        <w:tc>
          <w:tcPr>
            <w:tcW w:w="0" w:type="auto"/>
            <w:tcBorders>
              <w:top w:val="nil"/>
              <w:left w:val="nil"/>
              <w:bottom w:val="nil"/>
              <w:right w:val="nil"/>
            </w:tcBorders>
            <w:shd w:val="clear" w:color="auto" w:fill="auto"/>
            <w:noWrap/>
            <w:vAlign w:val="center"/>
          </w:tcPr>
          <w:p w14:paraId="518D88CE"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2.66</w:t>
            </w:r>
          </w:p>
        </w:tc>
        <w:tc>
          <w:tcPr>
            <w:tcW w:w="0" w:type="auto"/>
            <w:tcBorders>
              <w:top w:val="nil"/>
              <w:left w:val="nil"/>
              <w:bottom w:val="nil"/>
              <w:right w:val="nil"/>
            </w:tcBorders>
            <w:shd w:val="clear" w:color="auto" w:fill="auto"/>
            <w:noWrap/>
            <w:vAlign w:val="center"/>
          </w:tcPr>
          <w:p w14:paraId="3DC61BCE"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0.008</w:t>
            </w:r>
          </w:p>
        </w:tc>
        <w:tc>
          <w:tcPr>
            <w:tcW w:w="0" w:type="auto"/>
            <w:tcBorders>
              <w:top w:val="nil"/>
              <w:left w:val="nil"/>
              <w:bottom w:val="nil"/>
              <w:right w:val="nil"/>
            </w:tcBorders>
            <w:shd w:val="clear" w:color="auto" w:fill="auto"/>
            <w:noWrap/>
            <w:vAlign w:val="center"/>
          </w:tcPr>
          <w:p w14:paraId="742586EC"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0.0000493</w:t>
            </w:r>
          </w:p>
        </w:tc>
        <w:tc>
          <w:tcPr>
            <w:tcW w:w="0" w:type="auto"/>
            <w:tcBorders>
              <w:top w:val="nil"/>
              <w:left w:val="nil"/>
              <w:bottom w:val="nil"/>
              <w:right w:val="nil"/>
            </w:tcBorders>
            <w:shd w:val="clear" w:color="auto" w:fill="auto"/>
            <w:noWrap/>
            <w:vAlign w:val="center"/>
          </w:tcPr>
          <w:p w14:paraId="5EB60AD0"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0.0003257</w:t>
            </w:r>
          </w:p>
        </w:tc>
      </w:tr>
      <w:tr w:rsidR="00897705" w14:paraId="5187ADBB" w14:textId="77777777">
        <w:trPr>
          <w:trHeight w:val="494"/>
          <w:jc w:val="center"/>
        </w:trPr>
        <w:tc>
          <w:tcPr>
            <w:tcW w:w="0" w:type="auto"/>
            <w:tcBorders>
              <w:top w:val="nil"/>
              <w:left w:val="nil"/>
              <w:bottom w:val="single" w:sz="4" w:space="0" w:color="auto"/>
              <w:right w:val="nil"/>
            </w:tcBorders>
            <w:shd w:val="clear" w:color="auto" w:fill="auto"/>
            <w:noWrap/>
            <w:vAlign w:val="center"/>
          </w:tcPr>
          <w:p w14:paraId="3B83E7F4"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cons</w:t>
            </w:r>
          </w:p>
        </w:tc>
        <w:tc>
          <w:tcPr>
            <w:tcW w:w="0" w:type="auto"/>
            <w:tcBorders>
              <w:top w:val="nil"/>
              <w:left w:val="nil"/>
              <w:bottom w:val="single" w:sz="4" w:space="0" w:color="auto"/>
              <w:right w:val="nil"/>
            </w:tcBorders>
            <w:shd w:val="clear" w:color="auto" w:fill="auto"/>
            <w:noWrap/>
            <w:vAlign w:val="center"/>
          </w:tcPr>
          <w:p w14:paraId="4E66443F"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-10045.81</w:t>
            </w:r>
          </w:p>
        </w:tc>
        <w:tc>
          <w:tcPr>
            <w:tcW w:w="0" w:type="auto"/>
            <w:tcBorders>
              <w:top w:val="nil"/>
              <w:left w:val="nil"/>
              <w:bottom w:val="single" w:sz="4" w:space="0" w:color="auto"/>
              <w:right w:val="nil"/>
            </w:tcBorders>
            <w:shd w:val="clear" w:color="auto" w:fill="auto"/>
            <w:noWrap/>
            <w:vAlign w:val="center"/>
          </w:tcPr>
          <w:p w14:paraId="4454FF1A"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25211.44</w:t>
            </w:r>
          </w:p>
        </w:tc>
        <w:tc>
          <w:tcPr>
            <w:tcW w:w="0" w:type="auto"/>
            <w:tcBorders>
              <w:top w:val="nil"/>
              <w:left w:val="nil"/>
              <w:bottom w:val="single" w:sz="4" w:space="0" w:color="auto"/>
              <w:right w:val="nil"/>
            </w:tcBorders>
            <w:shd w:val="clear" w:color="auto" w:fill="auto"/>
            <w:noWrap/>
            <w:vAlign w:val="center"/>
          </w:tcPr>
          <w:p w14:paraId="0BCB5699"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-0.4</w:t>
            </w:r>
          </w:p>
        </w:tc>
        <w:tc>
          <w:tcPr>
            <w:tcW w:w="0" w:type="auto"/>
            <w:tcBorders>
              <w:top w:val="nil"/>
              <w:left w:val="nil"/>
              <w:bottom w:val="single" w:sz="4" w:space="0" w:color="auto"/>
              <w:right w:val="nil"/>
            </w:tcBorders>
            <w:shd w:val="clear" w:color="auto" w:fill="auto"/>
            <w:noWrap/>
            <w:vAlign w:val="center"/>
          </w:tcPr>
          <w:p w14:paraId="12C5F05F"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0.69</w:t>
            </w:r>
          </w:p>
        </w:tc>
        <w:tc>
          <w:tcPr>
            <w:tcW w:w="0" w:type="auto"/>
            <w:tcBorders>
              <w:top w:val="nil"/>
              <w:left w:val="nil"/>
              <w:bottom w:val="single" w:sz="4" w:space="0" w:color="auto"/>
              <w:right w:val="nil"/>
            </w:tcBorders>
            <w:shd w:val="clear" w:color="auto" w:fill="auto"/>
            <w:noWrap/>
            <w:vAlign w:val="center"/>
          </w:tcPr>
          <w:p w14:paraId="4EA3163F"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-59458.53</w:t>
            </w:r>
          </w:p>
        </w:tc>
        <w:tc>
          <w:tcPr>
            <w:tcW w:w="0" w:type="auto"/>
            <w:tcBorders>
              <w:top w:val="nil"/>
              <w:left w:val="nil"/>
              <w:bottom w:val="single" w:sz="4" w:space="0" w:color="auto"/>
              <w:right w:val="nil"/>
            </w:tcBorders>
            <w:shd w:val="clear" w:color="auto" w:fill="auto"/>
            <w:noWrap/>
            <w:vAlign w:val="center"/>
          </w:tcPr>
          <w:p w14:paraId="61994F65" w14:textId="77777777" w:rsidR="00897705" w:rsidRDefault="00000000">
            <w:pPr>
              <w:widowControl/>
              <w:spacing w:line="240" w:lineRule="auto"/>
              <w:jc w:val="center"/>
              <w:rPr>
                <w:rFonts w:eastAsia="等线" w:cs="Times New Roman"/>
                <w:color w:val="000000"/>
                <w:kern w:val="0"/>
                <w:sz w:val="22"/>
                <w:szCs w:val="22"/>
              </w:rPr>
            </w:pPr>
            <w:r>
              <w:rPr>
                <w:rFonts w:eastAsia="等线" w:cs="Times New Roman"/>
                <w:color w:val="000000"/>
                <w:kern w:val="0"/>
                <w:sz w:val="22"/>
                <w:szCs w:val="22"/>
              </w:rPr>
              <w:t>39368.5</w:t>
            </w:r>
          </w:p>
        </w:tc>
      </w:tr>
    </w:tbl>
    <w:p w14:paraId="5D20C92E" w14:textId="77777777" w:rsidR="00897705" w:rsidRDefault="00897705" w:rsidP="00A406CB">
      <w:pPr>
        <w:rPr>
          <w:rFonts w:hint="eastAsia"/>
        </w:rPr>
      </w:pPr>
    </w:p>
    <w:p w14:paraId="4DD2D947" w14:textId="1436983E" w:rsidR="00897705" w:rsidRDefault="008F6F5D">
      <w:pPr>
        <w:numPr>
          <w:ilvl w:val="0"/>
          <w:numId w:val="9"/>
        </w:numPr>
        <w:ind w:firstLine="420"/>
        <w:rPr>
          <w:b/>
          <w:bCs/>
        </w:rPr>
      </w:pPr>
      <w:r>
        <w:rPr>
          <w:rFonts w:hint="eastAsia"/>
          <w:b/>
          <w:bCs/>
        </w:rPr>
        <w:t>二氧化碳影子价格</w:t>
      </w:r>
      <w:r w:rsidR="00000000">
        <w:rPr>
          <w:rFonts w:hint="eastAsia"/>
          <w:b/>
          <w:bCs/>
        </w:rPr>
        <w:t>测算与分析</w:t>
      </w:r>
    </w:p>
    <w:p w14:paraId="2CE66464" w14:textId="4E8AE4DD" w:rsidR="00897705" w:rsidRDefault="00000000">
      <w:pPr>
        <w:ind w:firstLine="420"/>
      </w:pPr>
      <w:r>
        <w:rPr>
          <w:rFonts w:hint="eastAsia"/>
        </w:rPr>
        <w:t>通过上述估计的系数进行求解得到式（</w:t>
      </w:r>
      <w:r>
        <w:rPr>
          <w:rFonts w:hint="eastAsia"/>
        </w:rPr>
        <w:t>1</w:t>
      </w:r>
      <w:r>
        <w:t>0</w:t>
      </w:r>
      <w:r>
        <w:rPr>
          <w:rFonts w:hint="eastAsia"/>
        </w:rPr>
        <w:t>），此时式（</w:t>
      </w:r>
      <w:r>
        <w:rPr>
          <w:rFonts w:hint="eastAsia"/>
        </w:rPr>
        <w:t>1</w:t>
      </w:r>
      <w:r>
        <w:t>0</w:t>
      </w:r>
      <w:r>
        <w:rPr>
          <w:rFonts w:hint="eastAsia"/>
        </w:rPr>
        <w:t>）乘以对应的产出均值／污染物均值来恢复单位，计算出八个省份的</w:t>
      </w:r>
      <w:r w:rsidR="008F6F5D">
        <w:rPr>
          <w:rFonts w:hint="eastAsia"/>
        </w:rPr>
        <w:t>二氧化碳影子价格</w:t>
      </w:r>
      <w:r>
        <w:rPr>
          <w:rFonts w:hint="eastAsia"/>
        </w:rPr>
        <w:t>结果如下：</w:t>
      </w:r>
    </w:p>
    <w:p w14:paraId="1DA623E0" w14:textId="204AB65E" w:rsidR="00897705" w:rsidRDefault="00000000">
      <w:pPr>
        <w:ind w:right="660" w:firstLine="420"/>
        <w:jc w:val="center"/>
        <w:rPr>
          <w:b/>
          <w:bCs/>
        </w:rPr>
      </w:pPr>
      <w:r>
        <w:rPr>
          <w:b/>
          <w:bCs/>
        </w:rPr>
        <w:t>表</w:t>
      </w:r>
      <w:r>
        <w:rPr>
          <w:b/>
          <w:bCs/>
        </w:rPr>
        <w:t xml:space="preserve"> </w:t>
      </w:r>
      <w:r>
        <w:rPr>
          <w:b/>
          <w:bCs/>
        </w:rPr>
        <w:fldChar w:fldCharType="begin"/>
      </w:r>
      <w:r>
        <w:rPr>
          <w:b/>
          <w:bCs/>
        </w:rPr>
        <w:instrText xml:space="preserve"> SEQ </w:instrText>
      </w:r>
      <w:r>
        <w:rPr>
          <w:b/>
          <w:bCs/>
        </w:rPr>
        <w:instrText>表</w:instrText>
      </w:r>
      <w:r>
        <w:rPr>
          <w:b/>
          <w:bCs/>
        </w:rPr>
        <w:instrText xml:space="preserve"> \* ARABIC </w:instrText>
      </w:r>
      <w:r>
        <w:rPr>
          <w:b/>
          <w:bCs/>
        </w:rPr>
        <w:fldChar w:fldCharType="separate"/>
      </w:r>
      <w:r w:rsidR="0069698C">
        <w:rPr>
          <w:b/>
          <w:bCs/>
          <w:noProof/>
        </w:rPr>
        <w:t>3</w:t>
      </w:r>
      <w:r>
        <w:rPr>
          <w:b/>
          <w:bCs/>
        </w:rPr>
        <w:fldChar w:fldCharType="end"/>
      </w:r>
      <w:bookmarkStart w:id="18" w:name="_Toc17458"/>
      <w:r>
        <w:rPr>
          <w:rFonts w:hint="eastAsia"/>
          <w:b/>
          <w:bCs/>
        </w:rPr>
        <w:t xml:space="preserve"> </w:t>
      </w:r>
      <w:r>
        <w:rPr>
          <w:rFonts w:hint="eastAsia"/>
        </w:rPr>
        <w:t xml:space="preserve"> </w:t>
      </w:r>
      <w:r>
        <w:rPr>
          <w:rFonts w:hint="eastAsia"/>
          <w:b/>
          <w:bCs/>
        </w:rPr>
        <w:t>各地区</w:t>
      </w:r>
      <w:r w:rsidR="008F6F5D">
        <w:rPr>
          <w:rFonts w:hint="eastAsia"/>
          <w:b/>
          <w:bCs/>
        </w:rPr>
        <w:t>二氧化碳影子价格</w:t>
      </w:r>
      <w:bookmarkEnd w:id="18"/>
    </w:p>
    <w:p w14:paraId="09BB1029" w14:textId="77777777" w:rsidR="00897705" w:rsidRDefault="00000000">
      <w:pPr>
        <w:ind w:right="660" w:firstLine="420"/>
        <w:jc w:val="right"/>
        <w:rPr>
          <w:rFonts w:eastAsia="黑体"/>
          <w:b/>
          <w:bCs/>
        </w:rPr>
      </w:pPr>
      <w:r>
        <w:rPr>
          <w:rFonts w:hint="eastAsia"/>
          <w:b/>
          <w:bCs/>
        </w:rPr>
        <w:t>单位：元</w:t>
      </w:r>
      <w:r>
        <w:rPr>
          <w:rFonts w:hint="eastAsia"/>
          <w:b/>
          <w:bCs/>
        </w:rPr>
        <w:t>/</w:t>
      </w:r>
      <w:r>
        <w:rPr>
          <w:rFonts w:hint="eastAsia"/>
          <w:b/>
          <w:bCs/>
        </w:rPr>
        <w:t>吨</w:t>
      </w:r>
    </w:p>
    <w:tbl>
      <w:tblPr>
        <w:tblW w:w="10392" w:type="dxa"/>
        <w:tblInd w:w="-640" w:type="dxa"/>
        <w:tblLayout w:type="fixed"/>
        <w:tblLook w:val="04A0" w:firstRow="1" w:lastRow="0" w:firstColumn="1" w:lastColumn="0" w:noHBand="0" w:noVBand="1"/>
      </w:tblPr>
      <w:tblGrid>
        <w:gridCol w:w="658"/>
        <w:gridCol w:w="876"/>
        <w:gridCol w:w="876"/>
        <w:gridCol w:w="876"/>
        <w:gridCol w:w="766"/>
        <w:gridCol w:w="879"/>
        <w:gridCol w:w="766"/>
        <w:gridCol w:w="766"/>
        <w:gridCol w:w="766"/>
        <w:gridCol w:w="1542"/>
        <w:gridCol w:w="1621"/>
      </w:tblGrid>
      <w:tr w:rsidR="00897705" w14:paraId="7F0E73A6" w14:textId="77777777">
        <w:trPr>
          <w:trHeight w:val="282"/>
        </w:trPr>
        <w:tc>
          <w:tcPr>
            <w:tcW w:w="658" w:type="dxa"/>
            <w:tcBorders>
              <w:top w:val="single" w:sz="4" w:space="0" w:color="auto"/>
              <w:left w:val="nil"/>
              <w:bottom w:val="single" w:sz="4" w:space="0" w:color="auto"/>
              <w:right w:val="nil"/>
            </w:tcBorders>
            <w:shd w:val="clear" w:color="auto" w:fill="auto"/>
            <w:noWrap/>
            <w:vAlign w:val="bottom"/>
          </w:tcPr>
          <w:p w14:paraId="6867A8D1" w14:textId="77777777" w:rsidR="00897705" w:rsidRDefault="00000000">
            <w:pPr>
              <w:widowControl/>
              <w:spacing w:line="240" w:lineRule="auto"/>
              <w:jc w:val="center"/>
              <w:rPr>
                <w:rFonts w:ascii="宋体" w:hAnsi="宋体" w:cs="宋体"/>
                <w:b/>
                <w:bCs/>
                <w:color w:val="000000"/>
                <w:kern w:val="0"/>
                <w:sz w:val="22"/>
                <w:szCs w:val="22"/>
              </w:rPr>
            </w:pPr>
            <w:r>
              <w:rPr>
                <w:rFonts w:ascii="宋体" w:hAnsi="宋体" w:cs="宋体" w:hint="eastAsia"/>
                <w:b/>
                <w:bCs/>
                <w:color w:val="000000"/>
                <w:kern w:val="0"/>
                <w:sz w:val="22"/>
                <w:szCs w:val="22"/>
              </w:rPr>
              <w:t>年份</w:t>
            </w:r>
          </w:p>
        </w:tc>
        <w:tc>
          <w:tcPr>
            <w:tcW w:w="876" w:type="dxa"/>
            <w:tcBorders>
              <w:top w:val="single" w:sz="4" w:space="0" w:color="auto"/>
              <w:left w:val="nil"/>
              <w:bottom w:val="single" w:sz="4" w:space="0" w:color="auto"/>
              <w:right w:val="nil"/>
            </w:tcBorders>
            <w:shd w:val="clear" w:color="auto" w:fill="auto"/>
            <w:noWrap/>
            <w:vAlign w:val="bottom"/>
          </w:tcPr>
          <w:p w14:paraId="6BC45568" w14:textId="77777777" w:rsidR="00897705" w:rsidRDefault="00000000">
            <w:pPr>
              <w:widowControl/>
              <w:spacing w:line="240" w:lineRule="auto"/>
              <w:jc w:val="center"/>
              <w:rPr>
                <w:rFonts w:ascii="宋体" w:hAnsi="宋体" w:cs="宋体"/>
                <w:b/>
                <w:bCs/>
                <w:color w:val="000000"/>
                <w:kern w:val="0"/>
                <w:sz w:val="22"/>
                <w:szCs w:val="22"/>
              </w:rPr>
            </w:pPr>
            <w:r>
              <w:rPr>
                <w:rFonts w:ascii="宋体" w:hAnsi="宋体" w:cs="宋体" w:hint="eastAsia"/>
                <w:b/>
                <w:bCs/>
                <w:color w:val="000000"/>
                <w:kern w:val="0"/>
                <w:sz w:val="22"/>
                <w:szCs w:val="22"/>
              </w:rPr>
              <w:t>上海</w:t>
            </w:r>
          </w:p>
        </w:tc>
        <w:tc>
          <w:tcPr>
            <w:tcW w:w="876" w:type="dxa"/>
            <w:tcBorders>
              <w:top w:val="single" w:sz="4" w:space="0" w:color="auto"/>
              <w:left w:val="nil"/>
              <w:bottom w:val="single" w:sz="4" w:space="0" w:color="auto"/>
              <w:right w:val="nil"/>
            </w:tcBorders>
            <w:shd w:val="clear" w:color="auto" w:fill="auto"/>
            <w:noWrap/>
            <w:vAlign w:val="bottom"/>
          </w:tcPr>
          <w:p w14:paraId="660D5DCE" w14:textId="77777777" w:rsidR="00897705" w:rsidRDefault="00000000">
            <w:pPr>
              <w:widowControl/>
              <w:spacing w:line="240" w:lineRule="auto"/>
              <w:jc w:val="center"/>
              <w:rPr>
                <w:rFonts w:ascii="宋体" w:hAnsi="宋体" w:cs="宋体"/>
                <w:b/>
                <w:bCs/>
                <w:color w:val="000000"/>
                <w:kern w:val="0"/>
                <w:sz w:val="22"/>
                <w:szCs w:val="22"/>
              </w:rPr>
            </w:pPr>
            <w:r>
              <w:rPr>
                <w:rFonts w:ascii="宋体" w:hAnsi="宋体" w:cs="宋体" w:hint="eastAsia"/>
                <w:b/>
                <w:bCs/>
                <w:color w:val="000000"/>
                <w:kern w:val="0"/>
                <w:sz w:val="22"/>
                <w:szCs w:val="22"/>
              </w:rPr>
              <w:t>江苏</w:t>
            </w:r>
          </w:p>
        </w:tc>
        <w:tc>
          <w:tcPr>
            <w:tcW w:w="876" w:type="dxa"/>
            <w:tcBorders>
              <w:top w:val="single" w:sz="4" w:space="0" w:color="auto"/>
              <w:left w:val="nil"/>
              <w:bottom w:val="single" w:sz="4" w:space="0" w:color="auto"/>
              <w:right w:val="nil"/>
            </w:tcBorders>
            <w:shd w:val="clear" w:color="auto" w:fill="auto"/>
            <w:noWrap/>
            <w:vAlign w:val="bottom"/>
          </w:tcPr>
          <w:p w14:paraId="29D49EC0" w14:textId="77777777" w:rsidR="00897705" w:rsidRDefault="00000000">
            <w:pPr>
              <w:widowControl/>
              <w:spacing w:line="240" w:lineRule="auto"/>
              <w:jc w:val="center"/>
              <w:rPr>
                <w:rFonts w:ascii="宋体" w:hAnsi="宋体" w:cs="宋体"/>
                <w:b/>
                <w:bCs/>
                <w:color w:val="000000"/>
                <w:kern w:val="0"/>
                <w:sz w:val="22"/>
                <w:szCs w:val="22"/>
              </w:rPr>
            </w:pPr>
            <w:r>
              <w:rPr>
                <w:rFonts w:ascii="宋体" w:hAnsi="宋体" w:cs="宋体" w:hint="eastAsia"/>
                <w:b/>
                <w:bCs/>
                <w:color w:val="000000"/>
                <w:kern w:val="0"/>
                <w:sz w:val="22"/>
                <w:szCs w:val="22"/>
              </w:rPr>
              <w:t>浙江</w:t>
            </w:r>
          </w:p>
        </w:tc>
        <w:tc>
          <w:tcPr>
            <w:tcW w:w="766" w:type="dxa"/>
            <w:tcBorders>
              <w:top w:val="single" w:sz="4" w:space="0" w:color="auto"/>
              <w:left w:val="nil"/>
              <w:bottom w:val="single" w:sz="4" w:space="0" w:color="auto"/>
              <w:right w:val="nil"/>
            </w:tcBorders>
            <w:shd w:val="clear" w:color="auto" w:fill="auto"/>
            <w:noWrap/>
            <w:vAlign w:val="bottom"/>
          </w:tcPr>
          <w:p w14:paraId="5CDAE957" w14:textId="77777777" w:rsidR="00897705" w:rsidRDefault="00000000">
            <w:pPr>
              <w:widowControl/>
              <w:spacing w:line="240" w:lineRule="auto"/>
              <w:jc w:val="center"/>
              <w:rPr>
                <w:rFonts w:ascii="宋体" w:hAnsi="宋体" w:cs="宋体"/>
                <w:b/>
                <w:bCs/>
                <w:color w:val="000000"/>
                <w:kern w:val="0"/>
                <w:sz w:val="22"/>
                <w:szCs w:val="22"/>
              </w:rPr>
            </w:pPr>
            <w:r>
              <w:rPr>
                <w:rFonts w:ascii="宋体" w:hAnsi="宋体" w:cs="宋体" w:hint="eastAsia"/>
                <w:b/>
                <w:bCs/>
                <w:color w:val="000000"/>
                <w:kern w:val="0"/>
                <w:sz w:val="22"/>
                <w:szCs w:val="22"/>
              </w:rPr>
              <w:t>安徽</w:t>
            </w:r>
          </w:p>
        </w:tc>
        <w:tc>
          <w:tcPr>
            <w:tcW w:w="879" w:type="dxa"/>
            <w:tcBorders>
              <w:top w:val="single" w:sz="4" w:space="0" w:color="auto"/>
              <w:left w:val="nil"/>
              <w:bottom w:val="single" w:sz="4" w:space="0" w:color="auto"/>
              <w:right w:val="nil"/>
            </w:tcBorders>
            <w:shd w:val="clear" w:color="auto" w:fill="auto"/>
            <w:noWrap/>
            <w:vAlign w:val="bottom"/>
          </w:tcPr>
          <w:p w14:paraId="55369448" w14:textId="77777777" w:rsidR="00897705" w:rsidRDefault="00000000">
            <w:pPr>
              <w:widowControl/>
              <w:spacing w:line="240" w:lineRule="auto"/>
              <w:jc w:val="center"/>
              <w:rPr>
                <w:rFonts w:ascii="宋体" w:hAnsi="宋体" w:cs="宋体"/>
                <w:b/>
                <w:bCs/>
                <w:color w:val="000000"/>
                <w:kern w:val="0"/>
                <w:sz w:val="22"/>
                <w:szCs w:val="22"/>
              </w:rPr>
            </w:pPr>
            <w:r>
              <w:rPr>
                <w:rFonts w:ascii="宋体" w:hAnsi="宋体" w:cs="宋体" w:hint="eastAsia"/>
                <w:b/>
                <w:bCs/>
                <w:color w:val="000000"/>
                <w:kern w:val="0"/>
                <w:sz w:val="22"/>
                <w:szCs w:val="22"/>
              </w:rPr>
              <w:t>内蒙古</w:t>
            </w:r>
          </w:p>
        </w:tc>
        <w:tc>
          <w:tcPr>
            <w:tcW w:w="766" w:type="dxa"/>
            <w:tcBorders>
              <w:top w:val="single" w:sz="4" w:space="0" w:color="auto"/>
              <w:left w:val="nil"/>
              <w:bottom w:val="single" w:sz="4" w:space="0" w:color="auto"/>
              <w:right w:val="nil"/>
            </w:tcBorders>
            <w:shd w:val="clear" w:color="auto" w:fill="auto"/>
            <w:noWrap/>
            <w:vAlign w:val="bottom"/>
          </w:tcPr>
          <w:p w14:paraId="29E37AA7" w14:textId="77777777" w:rsidR="00897705" w:rsidRDefault="00000000">
            <w:pPr>
              <w:widowControl/>
              <w:spacing w:line="240" w:lineRule="auto"/>
              <w:jc w:val="center"/>
              <w:rPr>
                <w:rFonts w:ascii="宋体" w:hAnsi="宋体" w:cs="宋体"/>
                <w:b/>
                <w:bCs/>
                <w:color w:val="000000"/>
                <w:kern w:val="0"/>
                <w:sz w:val="22"/>
                <w:szCs w:val="22"/>
              </w:rPr>
            </w:pPr>
            <w:r>
              <w:rPr>
                <w:rFonts w:ascii="宋体" w:hAnsi="宋体" w:cs="宋体" w:hint="eastAsia"/>
                <w:b/>
                <w:bCs/>
                <w:color w:val="000000"/>
                <w:kern w:val="0"/>
                <w:sz w:val="22"/>
                <w:szCs w:val="22"/>
              </w:rPr>
              <w:t>甘肃</w:t>
            </w:r>
          </w:p>
        </w:tc>
        <w:tc>
          <w:tcPr>
            <w:tcW w:w="766" w:type="dxa"/>
            <w:tcBorders>
              <w:top w:val="single" w:sz="4" w:space="0" w:color="auto"/>
              <w:left w:val="nil"/>
              <w:bottom w:val="single" w:sz="4" w:space="0" w:color="auto"/>
              <w:right w:val="nil"/>
            </w:tcBorders>
            <w:shd w:val="clear" w:color="auto" w:fill="auto"/>
            <w:noWrap/>
            <w:vAlign w:val="bottom"/>
          </w:tcPr>
          <w:p w14:paraId="16E5331C" w14:textId="77777777" w:rsidR="00897705" w:rsidRDefault="00000000">
            <w:pPr>
              <w:widowControl/>
              <w:spacing w:line="240" w:lineRule="auto"/>
              <w:jc w:val="center"/>
              <w:rPr>
                <w:rFonts w:ascii="宋体" w:hAnsi="宋体" w:cs="宋体"/>
                <w:b/>
                <w:bCs/>
                <w:color w:val="000000"/>
                <w:kern w:val="0"/>
                <w:sz w:val="22"/>
                <w:szCs w:val="22"/>
              </w:rPr>
            </w:pPr>
            <w:r>
              <w:rPr>
                <w:rFonts w:ascii="宋体" w:hAnsi="宋体" w:cs="宋体" w:hint="eastAsia"/>
                <w:b/>
                <w:bCs/>
                <w:color w:val="000000"/>
                <w:kern w:val="0"/>
                <w:sz w:val="22"/>
                <w:szCs w:val="22"/>
              </w:rPr>
              <w:t>宁夏</w:t>
            </w:r>
          </w:p>
        </w:tc>
        <w:tc>
          <w:tcPr>
            <w:tcW w:w="766" w:type="dxa"/>
            <w:tcBorders>
              <w:top w:val="single" w:sz="4" w:space="0" w:color="auto"/>
              <w:left w:val="nil"/>
              <w:bottom w:val="single" w:sz="4" w:space="0" w:color="auto"/>
              <w:right w:val="nil"/>
            </w:tcBorders>
            <w:shd w:val="clear" w:color="auto" w:fill="auto"/>
            <w:noWrap/>
            <w:vAlign w:val="bottom"/>
          </w:tcPr>
          <w:p w14:paraId="71E675DC" w14:textId="77777777" w:rsidR="00897705" w:rsidRDefault="00000000">
            <w:pPr>
              <w:widowControl/>
              <w:spacing w:line="240" w:lineRule="auto"/>
              <w:jc w:val="center"/>
              <w:rPr>
                <w:rFonts w:ascii="宋体" w:hAnsi="宋体" w:cs="宋体"/>
                <w:b/>
                <w:bCs/>
                <w:color w:val="000000"/>
                <w:kern w:val="0"/>
                <w:sz w:val="22"/>
                <w:szCs w:val="22"/>
              </w:rPr>
            </w:pPr>
            <w:r>
              <w:rPr>
                <w:rFonts w:ascii="宋体" w:hAnsi="宋体" w:cs="宋体" w:hint="eastAsia"/>
                <w:b/>
                <w:bCs/>
                <w:color w:val="000000"/>
                <w:kern w:val="0"/>
                <w:sz w:val="22"/>
                <w:szCs w:val="22"/>
              </w:rPr>
              <w:t>新疆</w:t>
            </w:r>
          </w:p>
        </w:tc>
        <w:tc>
          <w:tcPr>
            <w:tcW w:w="1542" w:type="dxa"/>
            <w:tcBorders>
              <w:top w:val="single" w:sz="4" w:space="0" w:color="auto"/>
              <w:left w:val="nil"/>
              <w:bottom w:val="single" w:sz="4" w:space="0" w:color="auto"/>
              <w:right w:val="nil"/>
            </w:tcBorders>
            <w:shd w:val="clear" w:color="auto" w:fill="auto"/>
            <w:noWrap/>
            <w:vAlign w:val="bottom"/>
          </w:tcPr>
          <w:p w14:paraId="31447E12" w14:textId="77777777" w:rsidR="00897705" w:rsidRDefault="00000000">
            <w:pPr>
              <w:widowControl/>
              <w:spacing w:line="240" w:lineRule="auto"/>
              <w:jc w:val="center"/>
              <w:rPr>
                <w:rFonts w:ascii="宋体" w:hAnsi="宋体" w:cs="宋体"/>
                <w:b/>
                <w:bCs/>
                <w:color w:val="000000"/>
                <w:kern w:val="0"/>
                <w:sz w:val="22"/>
                <w:szCs w:val="22"/>
              </w:rPr>
            </w:pPr>
            <w:r>
              <w:rPr>
                <w:rFonts w:ascii="宋体" w:hAnsi="宋体" w:cs="宋体" w:hint="eastAsia"/>
                <w:b/>
                <w:bCs/>
                <w:color w:val="000000"/>
                <w:kern w:val="0"/>
                <w:sz w:val="22"/>
                <w:szCs w:val="22"/>
              </w:rPr>
              <w:t>东南沿海平均</w:t>
            </w:r>
          </w:p>
        </w:tc>
        <w:tc>
          <w:tcPr>
            <w:tcW w:w="1621" w:type="dxa"/>
            <w:tcBorders>
              <w:top w:val="single" w:sz="4" w:space="0" w:color="auto"/>
              <w:left w:val="nil"/>
              <w:bottom w:val="single" w:sz="4" w:space="0" w:color="auto"/>
              <w:right w:val="nil"/>
            </w:tcBorders>
            <w:shd w:val="clear" w:color="auto" w:fill="auto"/>
            <w:noWrap/>
            <w:vAlign w:val="bottom"/>
          </w:tcPr>
          <w:p w14:paraId="2BA549D6" w14:textId="77777777" w:rsidR="00897705" w:rsidRDefault="00000000">
            <w:pPr>
              <w:widowControl/>
              <w:spacing w:line="240" w:lineRule="auto"/>
              <w:jc w:val="center"/>
              <w:rPr>
                <w:rFonts w:ascii="宋体" w:hAnsi="宋体" w:cs="宋体"/>
                <w:b/>
                <w:bCs/>
                <w:color w:val="000000"/>
                <w:kern w:val="0"/>
                <w:sz w:val="22"/>
                <w:szCs w:val="22"/>
              </w:rPr>
            </w:pPr>
            <w:r>
              <w:rPr>
                <w:rFonts w:ascii="宋体" w:hAnsi="宋体" w:cs="宋体" w:hint="eastAsia"/>
                <w:b/>
                <w:bCs/>
                <w:color w:val="000000"/>
                <w:kern w:val="0"/>
                <w:sz w:val="22"/>
                <w:szCs w:val="22"/>
              </w:rPr>
              <w:t>西北内陆平均</w:t>
            </w:r>
          </w:p>
        </w:tc>
      </w:tr>
      <w:tr w:rsidR="00897705" w14:paraId="73300637" w14:textId="77777777">
        <w:trPr>
          <w:trHeight w:val="282"/>
        </w:trPr>
        <w:tc>
          <w:tcPr>
            <w:tcW w:w="658" w:type="dxa"/>
            <w:tcBorders>
              <w:top w:val="nil"/>
              <w:left w:val="nil"/>
              <w:bottom w:val="nil"/>
              <w:right w:val="nil"/>
            </w:tcBorders>
            <w:shd w:val="clear" w:color="auto" w:fill="auto"/>
            <w:noWrap/>
            <w:vAlign w:val="bottom"/>
          </w:tcPr>
          <w:p w14:paraId="6877B07F"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2011</w:t>
            </w:r>
          </w:p>
        </w:tc>
        <w:tc>
          <w:tcPr>
            <w:tcW w:w="876" w:type="dxa"/>
            <w:tcBorders>
              <w:top w:val="nil"/>
              <w:left w:val="nil"/>
              <w:bottom w:val="nil"/>
              <w:right w:val="nil"/>
            </w:tcBorders>
            <w:shd w:val="clear" w:color="auto" w:fill="auto"/>
            <w:noWrap/>
            <w:vAlign w:val="bottom"/>
          </w:tcPr>
          <w:p w14:paraId="52BAE874"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270.70 </w:t>
            </w:r>
          </w:p>
        </w:tc>
        <w:tc>
          <w:tcPr>
            <w:tcW w:w="876" w:type="dxa"/>
            <w:tcBorders>
              <w:top w:val="nil"/>
              <w:left w:val="nil"/>
              <w:bottom w:val="nil"/>
              <w:right w:val="nil"/>
            </w:tcBorders>
            <w:shd w:val="clear" w:color="auto" w:fill="auto"/>
            <w:noWrap/>
            <w:vAlign w:val="bottom"/>
          </w:tcPr>
          <w:p w14:paraId="67748EB1"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140.99 </w:t>
            </w:r>
          </w:p>
        </w:tc>
        <w:tc>
          <w:tcPr>
            <w:tcW w:w="876" w:type="dxa"/>
            <w:tcBorders>
              <w:top w:val="nil"/>
              <w:left w:val="nil"/>
              <w:bottom w:val="nil"/>
              <w:right w:val="nil"/>
            </w:tcBorders>
            <w:shd w:val="clear" w:color="auto" w:fill="auto"/>
            <w:noWrap/>
            <w:vAlign w:val="bottom"/>
          </w:tcPr>
          <w:p w14:paraId="7D93135C"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151.37 </w:t>
            </w:r>
          </w:p>
        </w:tc>
        <w:tc>
          <w:tcPr>
            <w:tcW w:w="766" w:type="dxa"/>
            <w:tcBorders>
              <w:top w:val="nil"/>
              <w:left w:val="nil"/>
              <w:bottom w:val="nil"/>
              <w:right w:val="nil"/>
            </w:tcBorders>
            <w:shd w:val="clear" w:color="auto" w:fill="auto"/>
            <w:noWrap/>
            <w:vAlign w:val="bottom"/>
          </w:tcPr>
          <w:p w14:paraId="0E5AA251"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89.93 </w:t>
            </w:r>
          </w:p>
        </w:tc>
        <w:tc>
          <w:tcPr>
            <w:tcW w:w="879" w:type="dxa"/>
            <w:tcBorders>
              <w:top w:val="nil"/>
              <w:left w:val="nil"/>
              <w:bottom w:val="nil"/>
              <w:right w:val="nil"/>
            </w:tcBorders>
            <w:shd w:val="clear" w:color="auto" w:fill="auto"/>
            <w:noWrap/>
            <w:vAlign w:val="bottom"/>
          </w:tcPr>
          <w:p w14:paraId="4611B47F"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26.78 </w:t>
            </w:r>
          </w:p>
        </w:tc>
        <w:tc>
          <w:tcPr>
            <w:tcW w:w="766" w:type="dxa"/>
            <w:tcBorders>
              <w:top w:val="nil"/>
              <w:left w:val="nil"/>
              <w:bottom w:val="nil"/>
              <w:right w:val="nil"/>
            </w:tcBorders>
            <w:shd w:val="clear" w:color="auto" w:fill="auto"/>
            <w:noWrap/>
            <w:vAlign w:val="bottom"/>
          </w:tcPr>
          <w:p w14:paraId="30465962"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67.28 </w:t>
            </w:r>
          </w:p>
        </w:tc>
        <w:tc>
          <w:tcPr>
            <w:tcW w:w="766" w:type="dxa"/>
            <w:tcBorders>
              <w:top w:val="nil"/>
              <w:left w:val="nil"/>
              <w:bottom w:val="nil"/>
              <w:right w:val="nil"/>
            </w:tcBorders>
            <w:shd w:val="clear" w:color="auto" w:fill="auto"/>
            <w:noWrap/>
            <w:vAlign w:val="bottom"/>
          </w:tcPr>
          <w:p w14:paraId="15DFD800"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30.34 </w:t>
            </w:r>
          </w:p>
        </w:tc>
        <w:tc>
          <w:tcPr>
            <w:tcW w:w="766" w:type="dxa"/>
            <w:tcBorders>
              <w:top w:val="nil"/>
              <w:left w:val="nil"/>
              <w:bottom w:val="nil"/>
              <w:right w:val="nil"/>
            </w:tcBorders>
            <w:shd w:val="clear" w:color="auto" w:fill="auto"/>
            <w:noWrap/>
            <w:vAlign w:val="bottom"/>
          </w:tcPr>
          <w:p w14:paraId="476E31D8"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37.46 </w:t>
            </w:r>
          </w:p>
        </w:tc>
        <w:tc>
          <w:tcPr>
            <w:tcW w:w="1542" w:type="dxa"/>
            <w:tcBorders>
              <w:top w:val="nil"/>
              <w:left w:val="nil"/>
              <w:bottom w:val="nil"/>
              <w:right w:val="nil"/>
            </w:tcBorders>
            <w:shd w:val="clear" w:color="auto" w:fill="auto"/>
            <w:noWrap/>
            <w:vAlign w:val="bottom"/>
          </w:tcPr>
          <w:p w14:paraId="697B0DFF"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163.24 </w:t>
            </w:r>
          </w:p>
        </w:tc>
        <w:tc>
          <w:tcPr>
            <w:tcW w:w="1621" w:type="dxa"/>
            <w:tcBorders>
              <w:top w:val="nil"/>
              <w:left w:val="nil"/>
              <w:bottom w:val="nil"/>
              <w:right w:val="nil"/>
            </w:tcBorders>
            <w:shd w:val="clear" w:color="auto" w:fill="auto"/>
            <w:noWrap/>
            <w:vAlign w:val="bottom"/>
          </w:tcPr>
          <w:p w14:paraId="30D4EA5F"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40.46 </w:t>
            </w:r>
          </w:p>
        </w:tc>
      </w:tr>
      <w:tr w:rsidR="00897705" w14:paraId="49644C15" w14:textId="77777777">
        <w:trPr>
          <w:trHeight w:val="282"/>
        </w:trPr>
        <w:tc>
          <w:tcPr>
            <w:tcW w:w="658" w:type="dxa"/>
            <w:tcBorders>
              <w:top w:val="nil"/>
              <w:left w:val="nil"/>
              <w:bottom w:val="nil"/>
              <w:right w:val="nil"/>
            </w:tcBorders>
            <w:shd w:val="clear" w:color="auto" w:fill="auto"/>
            <w:noWrap/>
            <w:vAlign w:val="bottom"/>
          </w:tcPr>
          <w:p w14:paraId="146B65AB"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2012</w:t>
            </w:r>
          </w:p>
        </w:tc>
        <w:tc>
          <w:tcPr>
            <w:tcW w:w="876" w:type="dxa"/>
            <w:tcBorders>
              <w:top w:val="nil"/>
              <w:left w:val="nil"/>
              <w:bottom w:val="nil"/>
              <w:right w:val="nil"/>
            </w:tcBorders>
            <w:shd w:val="clear" w:color="auto" w:fill="auto"/>
            <w:noWrap/>
            <w:vAlign w:val="bottom"/>
          </w:tcPr>
          <w:p w14:paraId="772803FF"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270.33 </w:t>
            </w:r>
          </w:p>
        </w:tc>
        <w:tc>
          <w:tcPr>
            <w:tcW w:w="876" w:type="dxa"/>
            <w:tcBorders>
              <w:top w:val="nil"/>
              <w:left w:val="nil"/>
              <w:bottom w:val="nil"/>
              <w:right w:val="nil"/>
            </w:tcBorders>
            <w:shd w:val="clear" w:color="auto" w:fill="auto"/>
            <w:noWrap/>
            <w:vAlign w:val="bottom"/>
          </w:tcPr>
          <w:p w14:paraId="552E344A"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140.05 </w:t>
            </w:r>
          </w:p>
        </w:tc>
        <w:tc>
          <w:tcPr>
            <w:tcW w:w="876" w:type="dxa"/>
            <w:tcBorders>
              <w:top w:val="nil"/>
              <w:left w:val="nil"/>
              <w:bottom w:val="nil"/>
              <w:right w:val="nil"/>
            </w:tcBorders>
            <w:shd w:val="clear" w:color="auto" w:fill="auto"/>
            <w:noWrap/>
            <w:vAlign w:val="bottom"/>
          </w:tcPr>
          <w:p w14:paraId="6898CF06"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150.71 </w:t>
            </w:r>
          </w:p>
        </w:tc>
        <w:tc>
          <w:tcPr>
            <w:tcW w:w="766" w:type="dxa"/>
            <w:tcBorders>
              <w:top w:val="nil"/>
              <w:left w:val="nil"/>
              <w:bottom w:val="nil"/>
              <w:right w:val="nil"/>
            </w:tcBorders>
            <w:shd w:val="clear" w:color="auto" w:fill="auto"/>
            <w:noWrap/>
            <w:vAlign w:val="bottom"/>
          </w:tcPr>
          <w:p w14:paraId="494B18B5"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88.49 </w:t>
            </w:r>
          </w:p>
        </w:tc>
        <w:tc>
          <w:tcPr>
            <w:tcW w:w="879" w:type="dxa"/>
            <w:tcBorders>
              <w:top w:val="nil"/>
              <w:left w:val="nil"/>
              <w:bottom w:val="nil"/>
              <w:right w:val="nil"/>
            </w:tcBorders>
            <w:shd w:val="clear" w:color="auto" w:fill="auto"/>
            <w:noWrap/>
            <w:vAlign w:val="bottom"/>
          </w:tcPr>
          <w:p w14:paraId="60FFB770"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26.47 </w:t>
            </w:r>
          </w:p>
        </w:tc>
        <w:tc>
          <w:tcPr>
            <w:tcW w:w="766" w:type="dxa"/>
            <w:tcBorders>
              <w:top w:val="nil"/>
              <w:left w:val="nil"/>
              <w:bottom w:val="nil"/>
              <w:right w:val="nil"/>
            </w:tcBorders>
            <w:shd w:val="clear" w:color="auto" w:fill="auto"/>
            <w:noWrap/>
            <w:vAlign w:val="bottom"/>
          </w:tcPr>
          <w:p w14:paraId="4D2D1BCD"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65.66 </w:t>
            </w:r>
          </w:p>
        </w:tc>
        <w:tc>
          <w:tcPr>
            <w:tcW w:w="766" w:type="dxa"/>
            <w:tcBorders>
              <w:top w:val="nil"/>
              <w:left w:val="nil"/>
              <w:bottom w:val="nil"/>
              <w:right w:val="nil"/>
            </w:tcBorders>
            <w:shd w:val="clear" w:color="auto" w:fill="auto"/>
            <w:noWrap/>
            <w:vAlign w:val="bottom"/>
          </w:tcPr>
          <w:p w14:paraId="569078B0"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29.66 </w:t>
            </w:r>
          </w:p>
        </w:tc>
        <w:tc>
          <w:tcPr>
            <w:tcW w:w="766" w:type="dxa"/>
            <w:tcBorders>
              <w:top w:val="nil"/>
              <w:left w:val="nil"/>
              <w:bottom w:val="nil"/>
              <w:right w:val="nil"/>
            </w:tcBorders>
            <w:shd w:val="clear" w:color="auto" w:fill="auto"/>
            <w:noWrap/>
            <w:vAlign w:val="bottom"/>
          </w:tcPr>
          <w:p w14:paraId="7F72E362"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35.51 </w:t>
            </w:r>
          </w:p>
        </w:tc>
        <w:tc>
          <w:tcPr>
            <w:tcW w:w="1542" w:type="dxa"/>
            <w:tcBorders>
              <w:top w:val="nil"/>
              <w:left w:val="nil"/>
              <w:bottom w:val="nil"/>
              <w:right w:val="nil"/>
            </w:tcBorders>
            <w:shd w:val="clear" w:color="auto" w:fill="auto"/>
            <w:noWrap/>
            <w:vAlign w:val="bottom"/>
          </w:tcPr>
          <w:p w14:paraId="758A1292"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162.39 </w:t>
            </w:r>
          </w:p>
        </w:tc>
        <w:tc>
          <w:tcPr>
            <w:tcW w:w="1621" w:type="dxa"/>
            <w:tcBorders>
              <w:top w:val="nil"/>
              <w:left w:val="nil"/>
              <w:bottom w:val="nil"/>
              <w:right w:val="nil"/>
            </w:tcBorders>
            <w:shd w:val="clear" w:color="auto" w:fill="auto"/>
            <w:noWrap/>
            <w:vAlign w:val="bottom"/>
          </w:tcPr>
          <w:p w14:paraId="4CF76180"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39.32 </w:t>
            </w:r>
          </w:p>
        </w:tc>
      </w:tr>
      <w:tr w:rsidR="00897705" w14:paraId="58FF62E0" w14:textId="77777777">
        <w:trPr>
          <w:trHeight w:val="282"/>
        </w:trPr>
        <w:tc>
          <w:tcPr>
            <w:tcW w:w="658" w:type="dxa"/>
            <w:tcBorders>
              <w:top w:val="nil"/>
              <w:left w:val="nil"/>
              <w:bottom w:val="nil"/>
              <w:right w:val="nil"/>
            </w:tcBorders>
            <w:shd w:val="clear" w:color="auto" w:fill="auto"/>
            <w:noWrap/>
            <w:vAlign w:val="bottom"/>
          </w:tcPr>
          <w:p w14:paraId="27C7A0A4"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2013</w:t>
            </w:r>
          </w:p>
        </w:tc>
        <w:tc>
          <w:tcPr>
            <w:tcW w:w="876" w:type="dxa"/>
            <w:tcBorders>
              <w:top w:val="nil"/>
              <w:left w:val="nil"/>
              <w:bottom w:val="nil"/>
              <w:right w:val="nil"/>
            </w:tcBorders>
            <w:shd w:val="clear" w:color="auto" w:fill="auto"/>
            <w:noWrap/>
            <w:vAlign w:val="bottom"/>
          </w:tcPr>
          <w:p w14:paraId="306A7358"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268.56 </w:t>
            </w:r>
          </w:p>
        </w:tc>
        <w:tc>
          <w:tcPr>
            <w:tcW w:w="876" w:type="dxa"/>
            <w:tcBorders>
              <w:top w:val="nil"/>
              <w:left w:val="nil"/>
              <w:bottom w:val="nil"/>
              <w:right w:val="nil"/>
            </w:tcBorders>
            <w:shd w:val="clear" w:color="auto" w:fill="auto"/>
            <w:noWrap/>
            <w:vAlign w:val="bottom"/>
          </w:tcPr>
          <w:p w14:paraId="7ED7C08B"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139.79 </w:t>
            </w:r>
          </w:p>
        </w:tc>
        <w:tc>
          <w:tcPr>
            <w:tcW w:w="876" w:type="dxa"/>
            <w:tcBorders>
              <w:top w:val="nil"/>
              <w:left w:val="nil"/>
              <w:bottom w:val="nil"/>
              <w:right w:val="nil"/>
            </w:tcBorders>
            <w:shd w:val="clear" w:color="auto" w:fill="auto"/>
            <w:noWrap/>
            <w:vAlign w:val="bottom"/>
          </w:tcPr>
          <w:p w14:paraId="3602A2F0"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149.65 </w:t>
            </w:r>
          </w:p>
        </w:tc>
        <w:tc>
          <w:tcPr>
            <w:tcW w:w="766" w:type="dxa"/>
            <w:tcBorders>
              <w:top w:val="nil"/>
              <w:left w:val="nil"/>
              <w:bottom w:val="nil"/>
              <w:right w:val="nil"/>
            </w:tcBorders>
            <w:shd w:val="clear" w:color="auto" w:fill="auto"/>
            <w:noWrap/>
            <w:vAlign w:val="bottom"/>
          </w:tcPr>
          <w:p w14:paraId="1E319034"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87.27 </w:t>
            </w:r>
          </w:p>
        </w:tc>
        <w:tc>
          <w:tcPr>
            <w:tcW w:w="879" w:type="dxa"/>
            <w:tcBorders>
              <w:top w:val="nil"/>
              <w:left w:val="nil"/>
              <w:bottom w:val="nil"/>
              <w:right w:val="nil"/>
            </w:tcBorders>
            <w:shd w:val="clear" w:color="auto" w:fill="auto"/>
            <w:noWrap/>
            <w:vAlign w:val="bottom"/>
          </w:tcPr>
          <w:p w14:paraId="6E75EB83"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26.18 </w:t>
            </w:r>
          </w:p>
        </w:tc>
        <w:tc>
          <w:tcPr>
            <w:tcW w:w="766" w:type="dxa"/>
            <w:tcBorders>
              <w:top w:val="nil"/>
              <w:left w:val="nil"/>
              <w:bottom w:val="nil"/>
              <w:right w:val="nil"/>
            </w:tcBorders>
            <w:shd w:val="clear" w:color="auto" w:fill="auto"/>
            <w:noWrap/>
            <w:vAlign w:val="bottom"/>
          </w:tcPr>
          <w:p w14:paraId="3CD8EB83"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64.43 </w:t>
            </w:r>
          </w:p>
        </w:tc>
        <w:tc>
          <w:tcPr>
            <w:tcW w:w="766" w:type="dxa"/>
            <w:tcBorders>
              <w:top w:val="nil"/>
              <w:left w:val="nil"/>
              <w:bottom w:val="nil"/>
              <w:right w:val="nil"/>
            </w:tcBorders>
            <w:shd w:val="clear" w:color="auto" w:fill="auto"/>
            <w:noWrap/>
            <w:vAlign w:val="bottom"/>
          </w:tcPr>
          <w:p w14:paraId="68CFE238"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28.68 </w:t>
            </w:r>
          </w:p>
        </w:tc>
        <w:tc>
          <w:tcPr>
            <w:tcW w:w="766" w:type="dxa"/>
            <w:tcBorders>
              <w:top w:val="nil"/>
              <w:left w:val="nil"/>
              <w:bottom w:val="nil"/>
              <w:right w:val="nil"/>
            </w:tcBorders>
            <w:shd w:val="clear" w:color="auto" w:fill="auto"/>
            <w:noWrap/>
            <w:vAlign w:val="bottom"/>
          </w:tcPr>
          <w:p w14:paraId="0A267230"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33.72 </w:t>
            </w:r>
          </w:p>
        </w:tc>
        <w:tc>
          <w:tcPr>
            <w:tcW w:w="1542" w:type="dxa"/>
            <w:tcBorders>
              <w:top w:val="nil"/>
              <w:left w:val="nil"/>
              <w:bottom w:val="nil"/>
              <w:right w:val="nil"/>
            </w:tcBorders>
            <w:shd w:val="clear" w:color="auto" w:fill="auto"/>
            <w:noWrap/>
            <w:vAlign w:val="bottom"/>
          </w:tcPr>
          <w:p w14:paraId="7FF747DE"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161.32 </w:t>
            </w:r>
          </w:p>
        </w:tc>
        <w:tc>
          <w:tcPr>
            <w:tcW w:w="1621" w:type="dxa"/>
            <w:tcBorders>
              <w:top w:val="nil"/>
              <w:left w:val="nil"/>
              <w:bottom w:val="nil"/>
              <w:right w:val="nil"/>
            </w:tcBorders>
            <w:shd w:val="clear" w:color="auto" w:fill="auto"/>
            <w:noWrap/>
            <w:vAlign w:val="bottom"/>
          </w:tcPr>
          <w:p w14:paraId="4C8D04D6"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38.25 </w:t>
            </w:r>
          </w:p>
        </w:tc>
      </w:tr>
      <w:tr w:rsidR="00897705" w14:paraId="14C3B6E5" w14:textId="77777777">
        <w:trPr>
          <w:trHeight w:val="282"/>
        </w:trPr>
        <w:tc>
          <w:tcPr>
            <w:tcW w:w="658" w:type="dxa"/>
            <w:tcBorders>
              <w:top w:val="nil"/>
              <w:left w:val="nil"/>
              <w:bottom w:val="nil"/>
              <w:right w:val="nil"/>
            </w:tcBorders>
            <w:shd w:val="clear" w:color="auto" w:fill="auto"/>
            <w:noWrap/>
            <w:vAlign w:val="bottom"/>
          </w:tcPr>
          <w:p w14:paraId="5881231C"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2014</w:t>
            </w:r>
          </w:p>
        </w:tc>
        <w:tc>
          <w:tcPr>
            <w:tcW w:w="876" w:type="dxa"/>
            <w:tcBorders>
              <w:top w:val="nil"/>
              <w:left w:val="nil"/>
              <w:bottom w:val="nil"/>
              <w:right w:val="nil"/>
            </w:tcBorders>
            <w:shd w:val="clear" w:color="auto" w:fill="auto"/>
            <w:noWrap/>
            <w:vAlign w:val="bottom"/>
          </w:tcPr>
          <w:p w14:paraId="6D2CCD0D"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269.22 </w:t>
            </w:r>
          </w:p>
        </w:tc>
        <w:tc>
          <w:tcPr>
            <w:tcW w:w="876" w:type="dxa"/>
            <w:tcBorders>
              <w:top w:val="nil"/>
              <w:left w:val="nil"/>
              <w:bottom w:val="nil"/>
              <w:right w:val="nil"/>
            </w:tcBorders>
            <w:shd w:val="clear" w:color="auto" w:fill="auto"/>
            <w:noWrap/>
            <w:vAlign w:val="bottom"/>
          </w:tcPr>
          <w:p w14:paraId="6AC34A6E"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139.22 </w:t>
            </w:r>
          </w:p>
        </w:tc>
        <w:tc>
          <w:tcPr>
            <w:tcW w:w="876" w:type="dxa"/>
            <w:tcBorders>
              <w:top w:val="nil"/>
              <w:left w:val="nil"/>
              <w:bottom w:val="nil"/>
              <w:right w:val="nil"/>
            </w:tcBorders>
            <w:shd w:val="clear" w:color="auto" w:fill="auto"/>
            <w:noWrap/>
            <w:vAlign w:val="bottom"/>
          </w:tcPr>
          <w:p w14:paraId="610B4E94"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148.95 </w:t>
            </w:r>
          </w:p>
        </w:tc>
        <w:tc>
          <w:tcPr>
            <w:tcW w:w="766" w:type="dxa"/>
            <w:tcBorders>
              <w:top w:val="nil"/>
              <w:left w:val="nil"/>
              <w:bottom w:val="nil"/>
              <w:right w:val="nil"/>
            </w:tcBorders>
            <w:shd w:val="clear" w:color="auto" w:fill="auto"/>
            <w:noWrap/>
            <w:vAlign w:val="bottom"/>
          </w:tcPr>
          <w:p w14:paraId="09D25DD5"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86.90 </w:t>
            </w:r>
          </w:p>
        </w:tc>
        <w:tc>
          <w:tcPr>
            <w:tcW w:w="879" w:type="dxa"/>
            <w:tcBorders>
              <w:top w:val="nil"/>
              <w:left w:val="nil"/>
              <w:bottom w:val="nil"/>
              <w:right w:val="nil"/>
            </w:tcBorders>
            <w:shd w:val="clear" w:color="auto" w:fill="auto"/>
            <w:noWrap/>
            <w:vAlign w:val="bottom"/>
          </w:tcPr>
          <w:p w14:paraId="66667497"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25.89 </w:t>
            </w:r>
          </w:p>
        </w:tc>
        <w:tc>
          <w:tcPr>
            <w:tcW w:w="766" w:type="dxa"/>
            <w:tcBorders>
              <w:top w:val="nil"/>
              <w:left w:val="nil"/>
              <w:bottom w:val="nil"/>
              <w:right w:val="nil"/>
            </w:tcBorders>
            <w:shd w:val="clear" w:color="auto" w:fill="auto"/>
            <w:noWrap/>
            <w:vAlign w:val="bottom"/>
          </w:tcPr>
          <w:p w14:paraId="0393B840"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63.52 </w:t>
            </w:r>
          </w:p>
        </w:tc>
        <w:tc>
          <w:tcPr>
            <w:tcW w:w="766" w:type="dxa"/>
            <w:tcBorders>
              <w:top w:val="nil"/>
              <w:left w:val="nil"/>
              <w:bottom w:val="nil"/>
              <w:right w:val="nil"/>
            </w:tcBorders>
            <w:shd w:val="clear" w:color="auto" w:fill="auto"/>
            <w:noWrap/>
            <w:vAlign w:val="bottom"/>
          </w:tcPr>
          <w:p w14:paraId="5510183C"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28.12 </w:t>
            </w:r>
          </w:p>
        </w:tc>
        <w:tc>
          <w:tcPr>
            <w:tcW w:w="766" w:type="dxa"/>
            <w:tcBorders>
              <w:top w:val="nil"/>
              <w:left w:val="nil"/>
              <w:bottom w:val="nil"/>
              <w:right w:val="nil"/>
            </w:tcBorders>
            <w:shd w:val="clear" w:color="auto" w:fill="auto"/>
            <w:noWrap/>
            <w:vAlign w:val="bottom"/>
          </w:tcPr>
          <w:p w14:paraId="657E9D59"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32.92 </w:t>
            </w:r>
          </w:p>
        </w:tc>
        <w:tc>
          <w:tcPr>
            <w:tcW w:w="1542" w:type="dxa"/>
            <w:tcBorders>
              <w:top w:val="nil"/>
              <w:left w:val="nil"/>
              <w:bottom w:val="nil"/>
              <w:right w:val="nil"/>
            </w:tcBorders>
            <w:shd w:val="clear" w:color="auto" w:fill="auto"/>
            <w:noWrap/>
            <w:vAlign w:val="bottom"/>
          </w:tcPr>
          <w:p w14:paraId="45673A38"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161.07 </w:t>
            </w:r>
          </w:p>
        </w:tc>
        <w:tc>
          <w:tcPr>
            <w:tcW w:w="1621" w:type="dxa"/>
            <w:tcBorders>
              <w:top w:val="nil"/>
              <w:left w:val="nil"/>
              <w:bottom w:val="nil"/>
              <w:right w:val="nil"/>
            </w:tcBorders>
            <w:shd w:val="clear" w:color="auto" w:fill="auto"/>
            <w:noWrap/>
            <w:vAlign w:val="bottom"/>
          </w:tcPr>
          <w:p w14:paraId="24315CD9"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37.61 </w:t>
            </w:r>
          </w:p>
        </w:tc>
      </w:tr>
      <w:tr w:rsidR="00897705" w14:paraId="3884E74D" w14:textId="77777777">
        <w:trPr>
          <w:trHeight w:val="282"/>
        </w:trPr>
        <w:tc>
          <w:tcPr>
            <w:tcW w:w="658" w:type="dxa"/>
            <w:tcBorders>
              <w:top w:val="nil"/>
              <w:left w:val="nil"/>
              <w:bottom w:val="nil"/>
              <w:right w:val="nil"/>
            </w:tcBorders>
            <w:shd w:val="clear" w:color="auto" w:fill="auto"/>
            <w:noWrap/>
            <w:vAlign w:val="bottom"/>
          </w:tcPr>
          <w:p w14:paraId="334C1C4D"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2015</w:t>
            </w:r>
          </w:p>
        </w:tc>
        <w:tc>
          <w:tcPr>
            <w:tcW w:w="876" w:type="dxa"/>
            <w:tcBorders>
              <w:top w:val="nil"/>
              <w:left w:val="nil"/>
              <w:bottom w:val="nil"/>
              <w:right w:val="nil"/>
            </w:tcBorders>
            <w:shd w:val="clear" w:color="auto" w:fill="auto"/>
            <w:noWrap/>
            <w:vAlign w:val="bottom"/>
          </w:tcPr>
          <w:p w14:paraId="09E676CA"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267.93 </w:t>
            </w:r>
          </w:p>
        </w:tc>
        <w:tc>
          <w:tcPr>
            <w:tcW w:w="876" w:type="dxa"/>
            <w:tcBorders>
              <w:top w:val="nil"/>
              <w:left w:val="nil"/>
              <w:bottom w:val="nil"/>
              <w:right w:val="nil"/>
            </w:tcBorders>
            <w:shd w:val="clear" w:color="auto" w:fill="auto"/>
            <w:noWrap/>
            <w:vAlign w:val="bottom"/>
          </w:tcPr>
          <w:p w14:paraId="6967DB6D"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138.72 </w:t>
            </w:r>
          </w:p>
        </w:tc>
        <w:tc>
          <w:tcPr>
            <w:tcW w:w="876" w:type="dxa"/>
            <w:tcBorders>
              <w:top w:val="nil"/>
              <w:left w:val="nil"/>
              <w:bottom w:val="nil"/>
              <w:right w:val="nil"/>
            </w:tcBorders>
            <w:shd w:val="clear" w:color="auto" w:fill="auto"/>
            <w:noWrap/>
            <w:vAlign w:val="bottom"/>
          </w:tcPr>
          <w:p w14:paraId="5059DFB4"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147.38 </w:t>
            </w:r>
          </w:p>
        </w:tc>
        <w:tc>
          <w:tcPr>
            <w:tcW w:w="766" w:type="dxa"/>
            <w:tcBorders>
              <w:top w:val="nil"/>
              <w:left w:val="nil"/>
              <w:bottom w:val="nil"/>
              <w:right w:val="nil"/>
            </w:tcBorders>
            <w:shd w:val="clear" w:color="auto" w:fill="auto"/>
            <w:noWrap/>
            <w:vAlign w:val="bottom"/>
          </w:tcPr>
          <w:p w14:paraId="22E7E6F1"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86.05 </w:t>
            </w:r>
          </w:p>
        </w:tc>
        <w:tc>
          <w:tcPr>
            <w:tcW w:w="879" w:type="dxa"/>
            <w:tcBorders>
              <w:top w:val="nil"/>
              <w:left w:val="nil"/>
              <w:bottom w:val="nil"/>
              <w:right w:val="nil"/>
            </w:tcBorders>
            <w:shd w:val="clear" w:color="auto" w:fill="auto"/>
            <w:noWrap/>
            <w:vAlign w:val="bottom"/>
          </w:tcPr>
          <w:p w14:paraId="35936A44"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25.64 </w:t>
            </w:r>
          </w:p>
        </w:tc>
        <w:tc>
          <w:tcPr>
            <w:tcW w:w="766" w:type="dxa"/>
            <w:tcBorders>
              <w:top w:val="nil"/>
              <w:left w:val="nil"/>
              <w:bottom w:val="nil"/>
              <w:right w:val="nil"/>
            </w:tcBorders>
            <w:shd w:val="clear" w:color="auto" w:fill="auto"/>
            <w:noWrap/>
            <w:vAlign w:val="bottom"/>
          </w:tcPr>
          <w:p w14:paraId="73608DD0"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63.02 </w:t>
            </w:r>
          </w:p>
        </w:tc>
        <w:tc>
          <w:tcPr>
            <w:tcW w:w="766" w:type="dxa"/>
            <w:tcBorders>
              <w:top w:val="nil"/>
              <w:left w:val="nil"/>
              <w:bottom w:val="nil"/>
              <w:right w:val="nil"/>
            </w:tcBorders>
            <w:shd w:val="clear" w:color="auto" w:fill="auto"/>
            <w:noWrap/>
            <w:vAlign w:val="bottom"/>
          </w:tcPr>
          <w:p w14:paraId="5A2D5FF8"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27.08 </w:t>
            </w:r>
          </w:p>
        </w:tc>
        <w:tc>
          <w:tcPr>
            <w:tcW w:w="766" w:type="dxa"/>
            <w:tcBorders>
              <w:top w:val="nil"/>
              <w:left w:val="nil"/>
              <w:bottom w:val="nil"/>
              <w:right w:val="nil"/>
            </w:tcBorders>
            <w:shd w:val="clear" w:color="auto" w:fill="auto"/>
            <w:noWrap/>
            <w:vAlign w:val="bottom"/>
          </w:tcPr>
          <w:p w14:paraId="19C78D3B"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32.40 </w:t>
            </w:r>
          </w:p>
        </w:tc>
        <w:tc>
          <w:tcPr>
            <w:tcW w:w="1542" w:type="dxa"/>
            <w:tcBorders>
              <w:top w:val="nil"/>
              <w:left w:val="nil"/>
              <w:bottom w:val="nil"/>
              <w:right w:val="nil"/>
            </w:tcBorders>
            <w:shd w:val="clear" w:color="auto" w:fill="auto"/>
            <w:noWrap/>
            <w:vAlign w:val="bottom"/>
          </w:tcPr>
          <w:p w14:paraId="1781C5A3"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160.02 </w:t>
            </w:r>
          </w:p>
        </w:tc>
        <w:tc>
          <w:tcPr>
            <w:tcW w:w="1621" w:type="dxa"/>
            <w:tcBorders>
              <w:top w:val="nil"/>
              <w:left w:val="nil"/>
              <w:bottom w:val="nil"/>
              <w:right w:val="nil"/>
            </w:tcBorders>
            <w:shd w:val="clear" w:color="auto" w:fill="auto"/>
            <w:noWrap/>
            <w:vAlign w:val="bottom"/>
          </w:tcPr>
          <w:p w14:paraId="6887B057"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37.04 </w:t>
            </w:r>
          </w:p>
        </w:tc>
      </w:tr>
      <w:tr w:rsidR="00897705" w14:paraId="3205F2B9" w14:textId="77777777">
        <w:trPr>
          <w:trHeight w:val="282"/>
        </w:trPr>
        <w:tc>
          <w:tcPr>
            <w:tcW w:w="658" w:type="dxa"/>
            <w:tcBorders>
              <w:top w:val="nil"/>
              <w:left w:val="nil"/>
              <w:bottom w:val="nil"/>
              <w:right w:val="nil"/>
            </w:tcBorders>
            <w:shd w:val="clear" w:color="auto" w:fill="auto"/>
            <w:noWrap/>
            <w:vAlign w:val="bottom"/>
          </w:tcPr>
          <w:p w14:paraId="5DAA4BD0"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lastRenderedPageBreak/>
              <w:t>2016</w:t>
            </w:r>
          </w:p>
        </w:tc>
        <w:tc>
          <w:tcPr>
            <w:tcW w:w="876" w:type="dxa"/>
            <w:tcBorders>
              <w:top w:val="nil"/>
              <w:left w:val="nil"/>
              <w:bottom w:val="nil"/>
              <w:right w:val="nil"/>
            </w:tcBorders>
            <w:shd w:val="clear" w:color="auto" w:fill="auto"/>
            <w:noWrap/>
            <w:vAlign w:val="bottom"/>
          </w:tcPr>
          <w:p w14:paraId="692B5868"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268.73 </w:t>
            </w:r>
          </w:p>
        </w:tc>
        <w:tc>
          <w:tcPr>
            <w:tcW w:w="876" w:type="dxa"/>
            <w:tcBorders>
              <w:top w:val="nil"/>
              <w:left w:val="nil"/>
              <w:bottom w:val="nil"/>
              <w:right w:val="nil"/>
            </w:tcBorders>
            <w:shd w:val="clear" w:color="auto" w:fill="auto"/>
            <w:noWrap/>
            <w:vAlign w:val="bottom"/>
          </w:tcPr>
          <w:p w14:paraId="3EEB728F"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138.25 </w:t>
            </w:r>
          </w:p>
        </w:tc>
        <w:tc>
          <w:tcPr>
            <w:tcW w:w="876" w:type="dxa"/>
            <w:tcBorders>
              <w:top w:val="nil"/>
              <w:left w:val="nil"/>
              <w:bottom w:val="nil"/>
              <w:right w:val="nil"/>
            </w:tcBorders>
            <w:shd w:val="clear" w:color="auto" w:fill="auto"/>
            <w:noWrap/>
            <w:vAlign w:val="bottom"/>
          </w:tcPr>
          <w:p w14:paraId="6996BD8D"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146.39 </w:t>
            </w:r>
          </w:p>
        </w:tc>
        <w:tc>
          <w:tcPr>
            <w:tcW w:w="766" w:type="dxa"/>
            <w:tcBorders>
              <w:top w:val="nil"/>
              <w:left w:val="nil"/>
              <w:bottom w:val="nil"/>
              <w:right w:val="nil"/>
            </w:tcBorders>
            <w:shd w:val="clear" w:color="auto" w:fill="auto"/>
            <w:noWrap/>
            <w:vAlign w:val="bottom"/>
          </w:tcPr>
          <w:p w14:paraId="56F2AFC0"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85.37 </w:t>
            </w:r>
          </w:p>
        </w:tc>
        <w:tc>
          <w:tcPr>
            <w:tcW w:w="879" w:type="dxa"/>
            <w:tcBorders>
              <w:top w:val="nil"/>
              <w:left w:val="nil"/>
              <w:bottom w:val="nil"/>
              <w:right w:val="nil"/>
            </w:tcBorders>
            <w:shd w:val="clear" w:color="auto" w:fill="auto"/>
            <w:noWrap/>
            <w:vAlign w:val="bottom"/>
          </w:tcPr>
          <w:p w14:paraId="374D374F"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25.44 </w:t>
            </w:r>
          </w:p>
        </w:tc>
        <w:tc>
          <w:tcPr>
            <w:tcW w:w="766" w:type="dxa"/>
            <w:tcBorders>
              <w:top w:val="nil"/>
              <w:left w:val="nil"/>
              <w:bottom w:val="nil"/>
              <w:right w:val="nil"/>
            </w:tcBorders>
            <w:shd w:val="clear" w:color="auto" w:fill="auto"/>
            <w:noWrap/>
            <w:vAlign w:val="bottom"/>
          </w:tcPr>
          <w:p w14:paraId="284FB462"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63.10 </w:t>
            </w:r>
          </w:p>
        </w:tc>
        <w:tc>
          <w:tcPr>
            <w:tcW w:w="766" w:type="dxa"/>
            <w:tcBorders>
              <w:top w:val="nil"/>
              <w:left w:val="nil"/>
              <w:bottom w:val="nil"/>
              <w:right w:val="nil"/>
            </w:tcBorders>
            <w:shd w:val="clear" w:color="auto" w:fill="auto"/>
            <w:noWrap/>
            <w:vAlign w:val="bottom"/>
          </w:tcPr>
          <w:p w14:paraId="14C7CF8C"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26.79 </w:t>
            </w:r>
          </w:p>
        </w:tc>
        <w:tc>
          <w:tcPr>
            <w:tcW w:w="766" w:type="dxa"/>
            <w:tcBorders>
              <w:top w:val="nil"/>
              <w:left w:val="nil"/>
              <w:bottom w:val="nil"/>
              <w:right w:val="nil"/>
            </w:tcBorders>
            <w:shd w:val="clear" w:color="auto" w:fill="auto"/>
            <w:noWrap/>
            <w:vAlign w:val="bottom"/>
          </w:tcPr>
          <w:p w14:paraId="5071ED53"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32.03 </w:t>
            </w:r>
          </w:p>
        </w:tc>
        <w:tc>
          <w:tcPr>
            <w:tcW w:w="1542" w:type="dxa"/>
            <w:tcBorders>
              <w:top w:val="nil"/>
              <w:left w:val="nil"/>
              <w:bottom w:val="nil"/>
              <w:right w:val="nil"/>
            </w:tcBorders>
            <w:shd w:val="clear" w:color="auto" w:fill="auto"/>
            <w:noWrap/>
            <w:vAlign w:val="bottom"/>
          </w:tcPr>
          <w:p w14:paraId="3DAA5D39"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159.69 </w:t>
            </w:r>
          </w:p>
        </w:tc>
        <w:tc>
          <w:tcPr>
            <w:tcW w:w="1621" w:type="dxa"/>
            <w:tcBorders>
              <w:top w:val="nil"/>
              <w:left w:val="nil"/>
              <w:bottom w:val="nil"/>
              <w:right w:val="nil"/>
            </w:tcBorders>
            <w:shd w:val="clear" w:color="auto" w:fill="auto"/>
            <w:noWrap/>
            <w:vAlign w:val="bottom"/>
          </w:tcPr>
          <w:p w14:paraId="4BC725E7"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36.84 </w:t>
            </w:r>
          </w:p>
        </w:tc>
      </w:tr>
      <w:tr w:rsidR="00897705" w14:paraId="3B05E55B" w14:textId="77777777">
        <w:trPr>
          <w:trHeight w:val="282"/>
        </w:trPr>
        <w:tc>
          <w:tcPr>
            <w:tcW w:w="658" w:type="dxa"/>
            <w:tcBorders>
              <w:top w:val="nil"/>
              <w:left w:val="nil"/>
              <w:bottom w:val="nil"/>
              <w:right w:val="nil"/>
            </w:tcBorders>
            <w:shd w:val="clear" w:color="auto" w:fill="auto"/>
            <w:noWrap/>
            <w:vAlign w:val="bottom"/>
          </w:tcPr>
          <w:p w14:paraId="293D7AF3"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2017</w:t>
            </w:r>
          </w:p>
        </w:tc>
        <w:tc>
          <w:tcPr>
            <w:tcW w:w="876" w:type="dxa"/>
            <w:tcBorders>
              <w:top w:val="nil"/>
              <w:left w:val="nil"/>
              <w:bottom w:val="nil"/>
              <w:right w:val="nil"/>
            </w:tcBorders>
            <w:shd w:val="clear" w:color="auto" w:fill="auto"/>
            <w:noWrap/>
            <w:vAlign w:val="bottom"/>
          </w:tcPr>
          <w:p w14:paraId="36A28AA7"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270.09 </w:t>
            </w:r>
          </w:p>
        </w:tc>
        <w:tc>
          <w:tcPr>
            <w:tcW w:w="876" w:type="dxa"/>
            <w:tcBorders>
              <w:top w:val="nil"/>
              <w:left w:val="nil"/>
              <w:bottom w:val="nil"/>
              <w:right w:val="nil"/>
            </w:tcBorders>
            <w:shd w:val="clear" w:color="auto" w:fill="auto"/>
            <w:noWrap/>
            <w:vAlign w:val="bottom"/>
          </w:tcPr>
          <w:p w14:paraId="14AE025C"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138.14 </w:t>
            </w:r>
          </w:p>
        </w:tc>
        <w:tc>
          <w:tcPr>
            <w:tcW w:w="876" w:type="dxa"/>
            <w:tcBorders>
              <w:top w:val="nil"/>
              <w:left w:val="nil"/>
              <w:bottom w:val="nil"/>
              <w:right w:val="nil"/>
            </w:tcBorders>
            <w:shd w:val="clear" w:color="auto" w:fill="auto"/>
            <w:noWrap/>
            <w:vAlign w:val="bottom"/>
          </w:tcPr>
          <w:p w14:paraId="729D4727"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145.39 </w:t>
            </w:r>
          </w:p>
        </w:tc>
        <w:tc>
          <w:tcPr>
            <w:tcW w:w="766" w:type="dxa"/>
            <w:tcBorders>
              <w:top w:val="nil"/>
              <w:left w:val="nil"/>
              <w:bottom w:val="nil"/>
              <w:right w:val="nil"/>
            </w:tcBorders>
            <w:shd w:val="clear" w:color="auto" w:fill="auto"/>
            <w:noWrap/>
            <w:vAlign w:val="bottom"/>
          </w:tcPr>
          <w:p w14:paraId="16BFAB2A"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84.76 </w:t>
            </w:r>
          </w:p>
        </w:tc>
        <w:tc>
          <w:tcPr>
            <w:tcW w:w="879" w:type="dxa"/>
            <w:tcBorders>
              <w:top w:val="nil"/>
              <w:left w:val="nil"/>
              <w:bottom w:val="nil"/>
              <w:right w:val="nil"/>
            </w:tcBorders>
            <w:shd w:val="clear" w:color="auto" w:fill="auto"/>
            <w:noWrap/>
            <w:vAlign w:val="bottom"/>
          </w:tcPr>
          <w:p w14:paraId="521637CF"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25.20 </w:t>
            </w:r>
          </w:p>
        </w:tc>
        <w:tc>
          <w:tcPr>
            <w:tcW w:w="766" w:type="dxa"/>
            <w:tcBorders>
              <w:top w:val="nil"/>
              <w:left w:val="nil"/>
              <w:bottom w:val="nil"/>
              <w:right w:val="nil"/>
            </w:tcBorders>
            <w:shd w:val="clear" w:color="auto" w:fill="auto"/>
            <w:noWrap/>
            <w:vAlign w:val="bottom"/>
          </w:tcPr>
          <w:p w14:paraId="3967D9F7"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62.11 </w:t>
            </w:r>
          </w:p>
        </w:tc>
        <w:tc>
          <w:tcPr>
            <w:tcW w:w="766" w:type="dxa"/>
            <w:tcBorders>
              <w:top w:val="nil"/>
              <w:left w:val="nil"/>
              <w:bottom w:val="nil"/>
              <w:right w:val="nil"/>
            </w:tcBorders>
            <w:shd w:val="clear" w:color="auto" w:fill="auto"/>
            <w:noWrap/>
            <w:vAlign w:val="bottom"/>
          </w:tcPr>
          <w:p w14:paraId="6021A36F"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24.98 </w:t>
            </w:r>
          </w:p>
        </w:tc>
        <w:tc>
          <w:tcPr>
            <w:tcW w:w="766" w:type="dxa"/>
            <w:tcBorders>
              <w:top w:val="nil"/>
              <w:left w:val="nil"/>
              <w:bottom w:val="nil"/>
              <w:right w:val="nil"/>
            </w:tcBorders>
            <w:shd w:val="clear" w:color="auto" w:fill="auto"/>
            <w:noWrap/>
            <w:vAlign w:val="bottom"/>
          </w:tcPr>
          <w:p w14:paraId="0587B6D7"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31.58 </w:t>
            </w:r>
          </w:p>
        </w:tc>
        <w:tc>
          <w:tcPr>
            <w:tcW w:w="1542" w:type="dxa"/>
            <w:tcBorders>
              <w:top w:val="nil"/>
              <w:left w:val="nil"/>
              <w:bottom w:val="nil"/>
              <w:right w:val="nil"/>
            </w:tcBorders>
            <w:shd w:val="clear" w:color="auto" w:fill="auto"/>
            <w:noWrap/>
            <w:vAlign w:val="bottom"/>
          </w:tcPr>
          <w:p w14:paraId="427DFD98"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159.60 </w:t>
            </w:r>
          </w:p>
        </w:tc>
        <w:tc>
          <w:tcPr>
            <w:tcW w:w="1621" w:type="dxa"/>
            <w:tcBorders>
              <w:top w:val="nil"/>
              <w:left w:val="nil"/>
              <w:bottom w:val="nil"/>
              <w:right w:val="nil"/>
            </w:tcBorders>
            <w:shd w:val="clear" w:color="auto" w:fill="auto"/>
            <w:noWrap/>
            <w:vAlign w:val="bottom"/>
          </w:tcPr>
          <w:p w14:paraId="76767F7D"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35.97 </w:t>
            </w:r>
          </w:p>
        </w:tc>
      </w:tr>
      <w:tr w:rsidR="00897705" w14:paraId="05AB9064" w14:textId="77777777">
        <w:trPr>
          <w:trHeight w:val="282"/>
        </w:trPr>
        <w:tc>
          <w:tcPr>
            <w:tcW w:w="658" w:type="dxa"/>
            <w:tcBorders>
              <w:top w:val="nil"/>
              <w:left w:val="nil"/>
              <w:bottom w:val="nil"/>
              <w:right w:val="nil"/>
            </w:tcBorders>
            <w:shd w:val="clear" w:color="auto" w:fill="auto"/>
            <w:noWrap/>
            <w:vAlign w:val="bottom"/>
          </w:tcPr>
          <w:p w14:paraId="6C3CB324"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2018</w:t>
            </w:r>
          </w:p>
        </w:tc>
        <w:tc>
          <w:tcPr>
            <w:tcW w:w="876" w:type="dxa"/>
            <w:tcBorders>
              <w:top w:val="nil"/>
              <w:left w:val="nil"/>
              <w:bottom w:val="nil"/>
              <w:right w:val="nil"/>
            </w:tcBorders>
            <w:shd w:val="clear" w:color="auto" w:fill="auto"/>
            <w:noWrap/>
            <w:vAlign w:val="bottom"/>
          </w:tcPr>
          <w:p w14:paraId="6FB1592C"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277.74 </w:t>
            </w:r>
          </w:p>
        </w:tc>
        <w:tc>
          <w:tcPr>
            <w:tcW w:w="876" w:type="dxa"/>
            <w:tcBorders>
              <w:top w:val="nil"/>
              <w:left w:val="nil"/>
              <w:bottom w:val="nil"/>
              <w:right w:val="nil"/>
            </w:tcBorders>
            <w:shd w:val="clear" w:color="auto" w:fill="auto"/>
            <w:noWrap/>
            <w:vAlign w:val="bottom"/>
          </w:tcPr>
          <w:p w14:paraId="01B6D8CF"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138.13 </w:t>
            </w:r>
          </w:p>
        </w:tc>
        <w:tc>
          <w:tcPr>
            <w:tcW w:w="876" w:type="dxa"/>
            <w:tcBorders>
              <w:top w:val="nil"/>
              <w:left w:val="nil"/>
              <w:bottom w:val="nil"/>
              <w:right w:val="nil"/>
            </w:tcBorders>
            <w:shd w:val="clear" w:color="auto" w:fill="auto"/>
            <w:noWrap/>
            <w:vAlign w:val="bottom"/>
          </w:tcPr>
          <w:p w14:paraId="5EA83F5C"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144.85 </w:t>
            </w:r>
          </w:p>
        </w:tc>
        <w:tc>
          <w:tcPr>
            <w:tcW w:w="766" w:type="dxa"/>
            <w:tcBorders>
              <w:top w:val="nil"/>
              <w:left w:val="nil"/>
              <w:bottom w:val="nil"/>
              <w:right w:val="nil"/>
            </w:tcBorders>
            <w:shd w:val="clear" w:color="auto" w:fill="auto"/>
            <w:noWrap/>
            <w:vAlign w:val="bottom"/>
          </w:tcPr>
          <w:p w14:paraId="7793952C"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84.86 </w:t>
            </w:r>
          </w:p>
        </w:tc>
        <w:tc>
          <w:tcPr>
            <w:tcW w:w="879" w:type="dxa"/>
            <w:tcBorders>
              <w:top w:val="nil"/>
              <w:left w:val="nil"/>
              <w:bottom w:val="nil"/>
              <w:right w:val="nil"/>
            </w:tcBorders>
            <w:shd w:val="clear" w:color="auto" w:fill="auto"/>
            <w:noWrap/>
            <w:vAlign w:val="bottom"/>
          </w:tcPr>
          <w:p w14:paraId="73CEA747"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24.55 </w:t>
            </w:r>
          </w:p>
        </w:tc>
        <w:tc>
          <w:tcPr>
            <w:tcW w:w="766" w:type="dxa"/>
            <w:tcBorders>
              <w:top w:val="nil"/>
              <w:left w:val="nil"/>
              <w:bottom w:val="nil"/>
              <w:right w:val="nil"/>
            </w:tcBorders>
            <w:shd w:val="clear" w:color="auto" w:fill="auto"/>
            <w:noWrap/>
            <w:vAlign w:val="bottom"/>
          </w:tcPr>
          <w:p w14:paraId="59F43704"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61.17 </w:t>
            </w:r>
          </w:p>
        </w:tc>
        <w:tc>
          <w:tcPr>
            <w:tcW w:w="766" w:type="dxa"/>
            <w:tcBorders>
              <w:top w:val="nil"/>
              <w:left w:val="nil"/>
              <w:bottom w:val="nil"/>
              <w:right w:val="nil"/>
            </w:tcBorders>
            <w:shd w:val="clear" w:color="auto" w:fill="auto"/>
            <w:noWrap/>
            <w:vAlign w:val="bottom"/>
          </w:tcPr>
          <w:p w14:paraId="08EF87C5"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23.95 </w:t>
            </w:r>
          </w:p>
        </w:tc>
        <w:tc>
          <w:tcPr>
            <w:tcW w:w="766" w:type="dxa"/>
            <w:tcBorders>
              <w:top w:val="nil"/>
              <w:left w:val="nil"/>
              <w:bottom w:val="nil"/>
              <w:right w:val="nil"/>
            </w:tcBorders>
            <w:shd w:val="clear" w:color="auto" w:fill="auto"/>
            <w:noWrap/>
            <w:vAlign w:val="bottom"/>
          </w:tcPr>
          <w:p w14:paraId="683858F2"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31.53 </w:t>
            </w:r>
          </w:p>
        </w:tc>
        <w:tc>
          <w:tcPr>
            <w:tcW w:w="1542" w:type="dxa"/>
            <w:tcBorders>
              <w:top w:val="nil"/>
              <w:left w:val="nil"/>
              <w:bottom w:val="nil"/>
              <w:right w:val="nil"/>
            </w:tcBorders>
            <w:shd w:val="clear" w:color="auto" w:fill="auto"/>
            <w:noWrap/>
            <w:vAlign w:val="bottom"/>
          </w:tcPr>
          <w:p w14:paraId="54B92796"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161.39 </w:t>
            </w:r>
          </w:p>
        </w:tc>
        <w:tc>
          <w:tcPr>
            <w:tcW w:w="1621" w:type="dxa"/>
            <w:tcBorders>
              <w:top w:val="nil"/>
              <w:left w:val="nil"/>
              <w:bottom w:val="nil"/>
              <w:right w:val="nil"/>
            </w:tcBorders>
            <w:shd w:val="clear" w:color="auto" w:fill="auto"/>
            <w:noWrap/>
            <w:vAlign w:val="bottom"/>
          </w:tcPr>
          <w:p w14:paraId="5E308001"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35.30 </w:t>
            </w:r>
          </w:p>
        </w:tc>
      </w:tr>
      <w:tr w:rsidR="00897705" w14:paraId="2C660D12" w14:textId="77777777">
        <w:trPr>
          <w:trHeight w:val="282"/>
        </w:trPr>
        <w:tc>
          <w:tcPr>
            <w:tcW w:w="658" w:type="dxa"/>
            <w:tcBorders>
              <w:top w:val="nil"/>
              <w:left w:val="nil"/>
              <w:bottom w:val="nil"/>
              <w:right w:val="nil"/>
            </w:tcBorders>
            <w:shd w:val="clear" w:color="auto" w:fill="auto"/>
            <w:noWrap/>
            <w:vAlign w:val="bottom"/>
          </w:tcPr>
          <w:p w14:paraId="21CF00A1"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2019</w:t>
            </w:r>
          </w:p>
        </w:tc>
        <w:tc>
          <w:tcPr>
            <w:tcW w:w="876" w:type="dxa"/>
            <w:tcBorders>
              <w:top w:val="nil"/>
              <w:left w:val="nil"/>
              <w:bottom w:val="nil"/>
              <w:right w:val="nil"/>
            </w:tcBorders>
            <w:shd w:val="clear" w:color="auto" w:fill="auto"/>
            <w:noWrap/>
            <w:vAlign w:val="bottom"/>
          </w:tcPr>
          <w:p w14:paraId="1D57F216"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277.62 </w:t>
            </w:r>
          </w:p>
        </w:tc>
        <w:tc>
          <w:tcPr>
            <w:tcW w:w="876" w:type="dxa"/>
            <w:tcBorders>
              <w:top w:val="nil"/>
              <w:left w:val="nil"/>
              <w:bottom w:val="nil"/>
              <w:right w:val="nil"/>
            </w:tcBorders>
            <w:shd w:val="clear" w:color="auto" w:fill="auto"/>
            <w:noWrap/>
            <w:vAlign w:val="bottom"/>
          </w:tcPr>
          <w:p w14:paraId="51EF086A"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137.58 </w:t>
            </w:r>
          </w:p>
        </w:tc>
        <w:tc>
          <w:tcPr>
            <w:tcW w:w="876" w:type="dxa"/>
            <w:tcBorders>
              <w:top w:val="nil"/>
              <w:left w:val="nil"/>
              <w:bottom w:val="nil"/>
              <w:right w:val="nil"/>
            </w:tcBorders>
            <w:shd w:val="clear" w:color="auto" w:fill="auto"/>
            <w:noWrap/>
            <w:vAlign w:val="bottom"/>
          </w:tcPr>
          <w:p w14:paraId="5A229CDA"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143.85 </w:t>
            </w:r>
          </w:p>
        </w:tc>
        <w:tc>
          <w:tcPr>
            <w:tcW w:w="766" w:type="dxa"/>
            <w:tcBorders>
              <w:top w:val="nil"/>
              <w:left w:val="nil"/>
              <w:bottom w:val="nil"/>
              <w:right w:val="nil"/>
            </w:tcBorders>
            <w:shd w:val="clear" w:color="auto" w:fill="auto"/>
            <w:noWrap/>
            <w:vAlign w:val="bottom"/>
          </w:tcPr>
          <w:p w14:paraId="7CE848EF"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84.10 </w:t>
            </w:r>
          </w:p>
        </w:tc>
        <w:tc>
          <w:tcPr>
            <w:tcW w:w="879" w:type="dxa"/>
            <w:tcBorders>
              <w:top w:val="nil"/>
              <w:left w:val="nil"/>
              <w:bottom w:val="nil"/>
              <w:right w:val="nil"/>
            </w:tcBorders>
            <w:shd w:val="clear" w:color="auto" w:fill="auto"/>
            <w:noWrap/>
            <w:vAlign w:val="bottom"/>
          </w:tcPr>
          <w:p w14:paraId="7642EEAF"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24.22 </w:t>
            </w:r>
          </w:p>
        </w:tc>
        <w:tc>
          <w:tcPr>
            <w:tcW w:w="766" w:type="dxa"/>
            <w:tcBorders>
              <w:top w:val="nil"/>
              <w:left w:val="nil"/>
              <w:bottom w:val="nil"/>
              <w:right w:val="nil"/>
            </w:tcBorders>
            <w:shd w:val="clear" w:color="auto" w:fill="auto"/>
            <w:noWrap/>
            <w:vAlign w:val="bottom"/>
          </w:tcPr>
          <w:p w14:paraId="00CBA524"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60.96 </w:t>
            </w:r>
          </w:p>
        </w:tc>
        <w:tc>
          <w:tcPr>
            <w:tcW w:w="766" w:type="dxa"/>
            <w:tcBorders>
              <w:top w:val="nil"/>
              <w:left w:val="nil"/>
              <w:bottom w:val="nil"/>
              <w:right w:val="nil"/>
            </w:tcBorders>
            <w:shd w:val="clear" w:color="auto" w:fill="auto"/>
            <w:noWrap/>
            <w:vAlign w:val="bottom"/>
          </w:tcPr>
          <w:p w14:paraId="1F8B0968"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23.25 </w:t>
            </w:r>
          </w:p>
        </w:tc>
        <w:tc>
          <w:tcPr>
            <w:tcW w:w="766" w:type="dxa"/>
            <w:tcBorders>
              <w:top w:val="nil"/>
              <w:left w:val="nil"/>
              <w:bottom w:val="nil"/>
              <w:right w:val="nil"/>
            </w:tcBorders>
            <w:shd w:val="clear" w:color="auto" w:fill="auto"/>
            <w:noWrap/>
            <w:vAlign w:val="bottom"/>
          </w:tcPr>
          <w:p w14:paraId="33F49E85"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31.24 </w:t>
            </w:r>
          </w:p>
        </w:tc>
        <w:tc>
          <w:tcPr>
            <w:tcW w:w="1542" w:type="dxa"/>
            <w:tcBorders>
              <w:top w:val="nil"/>
              <w:left w:val="nil"/>
              <w:bottom w:val="nil"/>
              <w:right w:val="nil"/>
            </w:tcBorders>
            <w:shd w:val="clear" w:color="auto" w:fill="auto"/>
            <w:noWrap/>
            <w:vAlign w:val="bottom"/>
          </w:tcPr>
          <w:p w14:paraId="4A721B16"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160.79 </w:t>
            </w:r>
          </w:p>
        </w:tc>
        <w:tc>
          <w:tcPr>
            <w:tcW w:w="1621" w:type="dxa"/>
            <w:tcBorders>
              <w:top w:val="nil"/>
              <w:left w:val="nil"/>
              <w:bottom w:val="nil"/>
              <w:right w:val="nil"/>
            </w:tcBorders>
            <w:shd w:val="clear" w:color="auto" w:fill="auto"/>
            <w:noWrap/>
            <w:vAlign w:val="bottom"/>
          </w:tcPr>
          <w:p w14:paraId="1685F71F"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34.92 </w:t>
            </w:r>
          </w:p>
        </w:tc>
      </w:tr>
      <w:tr w:rsidR="00897705" w14:paraId="764E37AA" w14:textId="77777777">
        <w:trPr>
          <w:trHeight w:val="282"/>
        </w:trPr>
        <w:tc>
          <w:tcPr>
            <w:tcW w:w="658" w:type="dxa"/>
            <w:tcBorders>
              <w:top w:val="nil"/>
              <w:left w:val="nil"/>
              <w:bottom w:val="single" w:sz="4" w:space="0" w:color="auto"/>
              <w:right w:val="nil"/>
            </w:tcBorders>
            <w:shd w:val="clear" w:color="auto" w:fill="auto"/>
            <w:noWrap/>
            <w:vAlign w:val="bottom"/>
          </w:tcPr>
          <w:p w14:paraId="621036D7"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2020</w:t>
            </w:r>
          </w:p>
        </w:tc>
        <w:tc>
          <w:tcPr>
            <w:tcW w:w="876" w:type="dxa"/>
            <w:tcBorders>
              <w:top w:val="nil"/>
              <w:left w:val="nil"/>
              <w:bottom w:val="single" w:sz="4" w:space="0" w:color="auto"/>
              <w:right w:val="nil"/>
            </w:tcBorders>
            <w:shd w:val="clear" w:color="auto" w:fill="auto"/>
            <w:noWrap/>
            <w:vAlign w:val="bottom"/>
          </w:tcPr>
          <w:p w14:paraId="2314C500"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284.27 </w:t>
            </w:r>
          </w:p>
        </w:tc>
        <w:tc>
          <w:tcPr>
            <w:tcW w:w="876" w:type="dxa"/>
            <w:tcBorders>
              <w:top w:val="nil"/>
              <w:left w:val="nil"/>
              <w:bottom w:val="single" w:sz="4" w:space="0" w:color="auto"/>
              <w:right w:val="nil"/>
            </w:tcBorders>
            <w:shd w:val="clear" w:color="auto" w:fill="auto"/>
            <w:noWrap/>
            <w:vAlign w:val="bottom"/>
          </w:tcPr>
          <w:p w14:paraId="6ED6643E"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137.08 </w:t>
            </w:r>
          </w:p>
        </w:tc>
        <w:tc>
          <w:tcPr>
            <w:tcW w:w="876" w:type="dxa"/>
            <w:tcBorders>
              <w:top w:val="nil"/>
              <w:left w:val="nil"/>
              <w:bottom w:val="single" w:sz="4" w:space="0" w:color="auto"/>
              <w:right w:val="nil"/>
            </w:tcBorders>
            <w:shd w:val="clear" w:color="auto" w:fill="auto"/>
            <w:noWrap/>
            <w:vAlign w:val="bottom"/>
          </w:tcPr>
          <w:p w14:paraId="31D09729"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141.22 </w:t>
            </w:r>
          </w:p>
        </w:tc>
        <w:tc>
          <w:tcPr>
            <w:tcW w:w="766" w:type="dxa"/>
            <w:tcBorders>
              <w:top w:val="nil"/>
              <w:left w:val="nil"/>
              <w:bottom w:val="single" w:sz="4" w:space="0" w:color="auto"/>
              <w:right w:val="nil"/>
            </w:tcBorders>
            <w:shd w:val="clear" w:color="auto" w:fill="auto"/>
            <w:noWrap/>
            <w:vAlign w:val="bottom"/>
          </w:tcPr>
          <w:p w14:paraId="2A43C475"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84.46 </w:t>
            </w:r>
          </w:p>
        </w:tc>
        <w:tc>
          <w:tcPr>
            <w:tcW w:w="879" w:type="dxa"/>
            <w:tcBorders>
              <w:top w:val="nil"/>
              <w:left w:val="nil"/>
              <w:bottom w:val="single" w:sz="4" w:space="0" w:color="auto"/>
              <w:right w:val="nil"/>
            </w:tcBorders>
            <w:shd w:val="clear" w:color="auto" w:fill="auto"/>
            <w:noWrap/>
            <w:vAlign w:val="bottom"/>
          </w:tcPr>
          <w:p w14:paraId="04D477B4"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23.98 </w:t>
            </w:r>
          </w:p>
        </w:tc>
        <w:tc>
          <w:tcPr>
            <w:tcW w:w="766" w:type="dxa"/>
            <w:tcBorders>
              <w:top w:val="nil"/>
              <w:left w:val="nil"/>
              <w:bottom w:val="single" w:sz="4" w:space="0" w:color="auto"/>
              <w:right w:val="nil"/>
            </w:tcBorders>
            <w:shd w:val="clear" w:color="auto" w:fill="auto"/>
            <w:noWrap/>
            <w:vAlign w:val="bottom"/>
          </w:tcPr>
          <w:p w14:paraId="6600D488"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60.04 </w:t>
            </w:r>
          </w:p>
        </w:tc>
        <w:tc>
          <w:tcPr>
            <w:tcW w:w="766" w:type="dxa"/>
            <w:tcBorders>
              <w:top w:val="nil"/>
              <w:left w:val="nil"/>
              <w:bottom w:val="single" w:sz="4" w:space="0" w:color="auto"/>
              <w:right w:val="nil"/>
            </w:tcBorders>
            <w:shd w:val="clear" w:color="auto" w:fill="auto"/>
            <w:noWrap/>
            <w:vAlign w:val="bottom"/>
          </w:tcPr>
          <w:p w14:paraId="48E662B0"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22.78 </w:t>
            </w:r>
          </w:p>
        </w:tc>
        <w:tc>
          <w:tcPr>
            <w:tcW w:w="766" w:type="dxa"/>
            <w:tcBorders>
              <w:top w:val="nil"/>
              <w:left w:val="nil"/>
              <w:bottom w:val="single" w:sz="4" w:space="0" w:color="auto"/>
              <w:right w:val="nil"/>
            </w:tcBorders>
            <w:shd w:val="clear" w:color="auto" w:fill="auto"/>
            <w:noWrap/>
            <w:vAlign w:val="bottom"/>
          </w:tcPr>
          <w:p w14:paraId="4964C863"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31.01 </w:t>
            </w:r>
          </w:p>
        </w:tc>
        <w:tc>
          <w:tcPr>
            <w:tcW w:w="1542" w:type="dxa"/>
            <w:tcBorders>
              <w:top w:val="nil"/>
              <w:left w:val="nil"/>
              <w:bottom w:val="single" w:sz="4" w:space="0" w:color="auto"/>
              <w:right w:val="nil"/>
            </w:tcBorders>
            <w:shd w:val="clear" w:color="auto" w:fill="auto"/>
            <w:noWrap/>
            <w:vAlign w:val="bottom"/>
          </w:tcPr>
          <w:p w14:paraId="3A685E9F"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161.76 </w:t>
            </w:r>
          </w:p>
        </w:tc>
        <w:tc>
          <w:tcPr>
            <w:tcW w:w="1621" w:type="dxa"/>
            <w:tcBorders>
              <w:top w:val="nil"/>
              <w:left w:val="nil"/>
              <w:bottom w:val="single" w:sz="4" w:space="0" w:color="auto"/>
              <w:right w:val="nil"/>
            </w:tcBorders>
            <w:shd w:val="clear" w:color="auto" w:fill="auto"/>
            <w:noWrap/>
            <w:vAlign w:val="bottom"/>
          </w:tcPr>
          <w:p w14:paraId="5102DFBD" w14:textId="77777777" w:rsidR="00897705" w:rsidRDefault="00000000">
            <w:pPr>
              <w:widowControl/>
              <w:spacing w:line="240" w:lineRule="auto"/>
              <w:jc w:val="center"/>
              <w:rPr>
                <w:rFonts w:ascii="宋体" w:hAnsi="宋体" w:cs="宋体"/>
                <w:color w:val="000000"/>
                <w:kern w:val="0"/>
                <w:sz w:val="22"/>
                <w:szCs w:val="22"/>
              </w:rPr>
            </w:pPr>
            <w:r>
              <w:rPr>
                <w:rFonts w:ascii="宋体" w:hAnsi="宋体" w:cs="宋体" w:hint="eastAsia"/>
                <w:color w:val="000000"/>
                <w:kern w:val="0"/>
                <w:sz w:val="22"/>
                <w:szCs w:val="22"/>
              </w:rPr>
              <w:t xml:space="preserve">34.45 </w:t>
            </w:r>
          </w:p>
        </w:tc>
      </w:tr>
    </w:tbl>
    <w:p w14:paraId="31BA6514" w14:textId="77777777" w:rsidR="00897705" w:rsidRDefault="00897705">
      <w:pPr>
        <w:jc w:val="center"/>
        <w:rPr>
          <w:b/>
          <w:bCs/>
        </w:rPr>
      </w:pPr>
    </w:p>
    <w:p w14:paraId="56C46E88" w14:textId="740EFBD8" w:rsidR="00897705" w:rsidRDefault="00000000">
      <w:pPr>
        <w:pStyle w:val="a4"/>
        <w:jc w:val="center"/>
        <w:rPr>
          <w:b/>
          <w:bCs/>
        </w:rPr>
      </w:pPr>
      <w:r>
        <w:rPr>
          <w:b/>
          <w:bCs/>
        </w:rPr>
        <w:t>图</w:t>
      </w:r>
      <w:r>
        <w:rPr>
          <w:b/>
          <w:bCs/>
        </w:rPr>
        <w:t xml:space="preserve"> </w:t>
      </w:r>
      <w:r>
        <w:rPr>
          <w:b/>
          <w:bCs/>
        </w:rPr>
        <w:fldChar w:fldCharType="begin"/>
      </w:r>
      <w:r>
        <w:rPr>
          <w:b/>
          <w:bCs/>
        </w:rPr>
        <w:instrText xml:space="preserve"> SEQ </w:instrText>
      </w:r>
      <w:r>
        <w:rPr>
          <w:b/>
          <w:bCs/>
        </w:rPr>
        <w:instrText>图</w:instrText>
      </w:r>
      <w:r>
        <w:rPr>
          <w:b/>
          <w:bCs/>
        </w:rPr>
        <w:instrText xml:space="preserve"> \* ARABIC </w:instrText>
      </w:r>
      <w:r>
        <w:rPr>
          <w:b/>
          <w:bCs/>
        </w:rPr>
        <w:fldChar w:fldCharType="separate"/>
      </w:r>
      <w:r w:rsidR="0069698C">
        <w:rPr>
          <w:b/>
          <w:bCs/>
          <w:noProof/>
        </w:rPr>
        <w:t>1</w:t>
      </w:r>
      <w:r>
        <w:rPr>
          <w:b/>
          <w:bCs/>
        </w:rPr>
        <w:fldChar w:fldCharType="end"/>
      </w:r>
      <w:bookmarkStart w:id="19" w:name="_Toc27879"/>
      <w:r>
        <w:rPr>
          <w:rFonts w:hint="eastAsia"/>
          <w:b/>
          <w:bCs/>
        </w:rPr>
        <w:t xml:space="preserve">  </w:t>
      </w:r>
      <w:r>
        <w:rPr>
          <w:rFonts w:hint="eastAsia"/>
          <w:b/>
          <w:bCs/>
        </w:rPr>
        <w:t>各地区</w:t>
      </w:r>
      <w:r w:rsidR="008F6F5D">
        <w:rPr>
          <w:rFonts w:hint="eastAsia"/>
          <w:b/>
          <w:bCs/>
        </w:rPr>
        <w:t>二氧化碳影子价格</w:t>
      </w:r>
      <w:bookmarkEnd w:id="19"/>
    </w:p>
    <w:p w14:paraId="48D12F12" w14:textId="77777777" w:rsidR="00897705" w:rsidRDefault="00000000">
      <w:pPr>
        <w:ind w:firstLine="420"/>
      </w:pPr>
      <w:r>
        <w:rPr>
          <w:noProof/>
        </w:rPr>
        <w:drawing>
          <wp:inline distT="0" distB="0" distL="0" distR="0" wp14:anchorId="469A264A" wp14:editId="22BBB61B">
            <wp:extent cx="5580380" cy="1805305"/>
            <wp:effectExtent l="0" t="0" r="0" b="0"/>
            <wp:docPr id="121997480"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C07B350" w14:textId="183DA8ED" w:rsidR="00897705" w:rsidRDefault="00000000">
      <w:pPr>
        <w:pStyle w:val="a4"/>
        <w:ind w:firstLine="420"/>
        <w:jc w:val="center"/>
        <w:rPr>
          <w:b/>
          <w:bCs/>
        </w:rPr>
      </w:pPr>
      <w:r>
        <w:rPr>
          <w:b/>
          <w:bCs/>
        </w:rPr>
        <w:t>图</w:t>
      </w:r>
      <w:r>
        <w:rPr>
          <w:b/>
          <w:bCs/>
        </w:rPr>
        <w:t xml:space="preserve"> </w:t>
      </w:r>
      <w:r>
        <w:rPr>
          <w:b/>
          <w:bCs/>
        </w:rPr>
        <w:fldChar w:fldCharType="begin"/>
      </w:r>
      <w:r>
        <w:rPr>
          <w:b/>
          <w:bCs/>
        </w:rPr>
        <w:instrText xml:space="preserve"> SEQ </w:instrText>
      </w:r>
      <w:r>
        <w:rPr>
          <w:b/>
          <w:bCs/>
        </w:rPr>
        <w:instrText>图</w:instrText>
      </w:r>
      <w:r>
        <w:rPr>
          <w:b/>
          <w:bCs/>
        </w:rPr>
        <w:instrText xml:space="preserve"> \* ARABIC </w:instrText>
      </w:r>
      <w:r>
        <w:rPr>
          <w:b/>
          <w:bCs/>
        </w:rPr>
        <w:fldChar w:fldCharType="separate"/>
      </w:r>
      <w:r w:rsidR="0069698C">
        <w:rPr>
          <w:b/>
          <w:bCs/>
          <w:noProof/>
        </w:rPr>
        <w:t>2</w:t>
      </w:r>
      <w:r>
        <w:rPr>
          <w:b/>
          <w:bCs/>
        </w:rPr>
        <w:fldChar w:fldCharType="end"/>
      </w:r>
      <w:bookmarkStart w:id="20" w:name="_Toc4439"/>
      <w:r>
        <w:rPr>
          <w:rFonts w:hint="eastAsia"/>
          <w:b/>
          <w:bCs/>
        </w:rPr>
        <w:t xml:space="preserve">  </w:t>
      </w:r>
      <w:r>
        <w:rPr>
          <w:rFonts w:hint="eastAsia"/>
          <w:b/>
          <w:bCs/>
        </w:rPr>
        <w:t>东南沿海与西北内陆</w:t>
      </w:r>
      <w:r w:rsidR="008F6F5D">
        <w:rPr>
          <w:rFonts w:hint="eastAsia"/>
          <w:b/>
          <w:bCs/>
        </w:rPr>
        <w:t>二氧化碳影子价格</w:t>
      </w:r>
      <w:r>
        <w:rPr>
          <w:rFonts w:hint="eastAsia"/>
          <w:b/>
          <w:bCs/>
        </w:rPr>
        <w:t>差</w:t>
      </w:r>
      <w:bookmarkEnd w:id="20"/>
    </w:p>
    <w:p w14:paraId="6E76BB82" w14:textId="77777777" w:rsidR="00897705" w:rsidRDefault="00000000">
      <w:pPr>
        <w:ind w:firstLine="420"/>
      </w:pPr>
      <w:r>
        <w:rPr>
          <w:noProof/>
        </w:rPr>
        <w:drawing>
          <wp:inline distT="0" distB="0" distL="0" distR="0" wp14:anchorId="1645FFC1" wp14:editId="16714FB4">
            <wp:extent cx="5580380" cy="1818005"/>
            <wp:effectExtent l="0" t="0" r="0" b="0"/>
            <wp:docPr id="202407971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C0453F3" w14:textId="77777777" w:rsidR="00897705" w:rsidRDefault="00000000">
      <w:pPr>
        <w:ind w:firstLine="420"/>
      </w:pPr>
      <w:r>
        <w:rPr>
          <w:rFonts w:hint="eastAsia"/>
        </w:rPr>
        <w:t>上述结果并未出现不合理的负值，且均位于已有文献计算得到的影子价格分布区间内，后续分析我们将以此作为影子价格的数据开展。</w:t>
      </w:r>
    </w:p>
    <w:p w14:paraId="2D157682" w14:textId="62B9467E" w:rsidR="00897705" w:rsidRDefault="00000000">
      <w:pPr>
        <w:ind w:firstLine="420"/>
      </w:pPr>
      <w:r>
        <w:rPr>
          <w:rFonts w:hint="eastAsia"/>
        </w:rPr>
        <w:t>根据图表，从空间的角度来看可以发现，各省</w:t>
      </w:r>
      <w:r w:rsidR="008F6F5D">
        <w:rPr>
          <w:rFonts w:hint="eastAsia"/>
        </w:rPr>
        <w:t>二氧化碳影子价格</w:t>
      </w:r>
      <w:r>
        <w:rPr>
          <w:rFonts w:hint="eastAsia"/>
        </w:rPr>
        <w:t>差异较大：上海的二氧化碳平均影子价格远超其余省份，基本维持在</w:t>
      </w:r>
      <w:r>
        <w:rPr>
          <w:rFonts w:hint="eastAsia"/>
        </w:rPr>
        <w:t>2</w:t>
      </w:r>
      <w:r>
        <w:t>70</w:t>
      </w:r>
      <w:r>
        <w:rPr>
          <w:rFonts w:hint="eastAsia"/>
        </w:rPr>
        <w:t>元</w:t>
      </w:r>
      <w:r>
        <w:rPr>
          <w:rFonts w:hint="eastAsia"/>
        </w:rPr>
        <w:t>/</w:t>
      </w:r>
      <w:r>
        <w:rPr>
          <w:rFonts w:hint="eastAsia"/>
        </w:rPr>
        <w:t>吨的水平；浙江、江苏</w:t>
      </w:r>
      <w:r w:rsidR="008F6F5D">
        <w:rPr>
          <w:rFonts w:hint="eastAsia"/>
        </w:rPr>
        <w:t>二氧化碳影子价格</w:t>
      </w:r>
      <w:r>
        <w:rPr>
          <w:rFonts w:hint="eastAsia"/>
        </w:rPr>
        <w:t>紧随其后，两地相差无几，基本保持在</w:t>
      </w:r>
      <w:r>
        <w:rPr>
          <w:rFonts w:hint="eastAsia"/>
        </w:rPr>
        <w:t>1</w:t>
      </w:r>
      <w:r>
        <w:t>30-150</w:t>
      </w:r>
      <w:r>
        <w:rPr>
          <w:rFonts w:hint="eastAsia"/>
        </w:rPr>
        <w:t>元</w:t>
      </w:r>
      <w:r>
        <w:rPr>
          <w:rFonts w:hint="eastAsia"/>
        </w:rPr>
        <w:t>/</w:t>
      </w:r>
      <w:r>
        <w:rPr>
          <w:rFonts w:hint="eastAsia"/>
        </w:rPr>
        <w:t>吨，内蒙、宁夏、新疆等地的</w:t>
      </w:r>
      <w:r w:rsidR="008F6F5D">
        <w:rPr>
          <w:rFonts w:hint="eastAsia"/>
        </w:rPr>
        <w:t>二氧化碳影子价格</w:t>
      </w:r>
      <w:r>
        <w:rPr>
          <w:rFonts w:hint="eastAsia"/>
        </w:rPr>
        <w:t>水平均较低，基本保持在</w:t>
      </w:r>
      <w:r>
        <w:rPr>
          <w:rFonts w:hint="eastAsia"/>
        </w:rPr>
        <w:t>2</w:t>
      </w:r>
      <w:r>
        <w:t>5-35</w:t>
      </w:r>
      <w:r>
        <w:rPr>
          <w:rFonts w:hint="eastAsia"/>
        </w:rPr>
        <w:t>元</w:t>
      </w:r>
      <w:r>
        <w:rPr>
          <w:rFonts w:hint="eastAsia"/>
        </w:rPr>
        <w:t>/</w:t>
      </w:r>
      <w:r>
        <w:rPr>
          <w:rFonts w:hint="eastAsia"/>
        </w:rPr>
        <w:t>吨的水平。</w:t>
      </w:r>
    </w:p>
    <w:p w14:paraId="2B701BEA" w14:textId="5BB1F539" w:rsidR="00897705" w:rsidRDefault="00000000">
      <w:pPr>
        <w:pStyle w:val="a4"/>
        <w:ind w:firstLine="420"/>
        <w:jc w:val="center"/>
        <w:rPr>
          <w:b/>
          <w:bCs/>
        </w:rPr>
      </w:pPr>
      <w:r>
        <w:rPr>
          <w:b/>
          <w:bCs/>
        </w:rPr>
        <w:t>图</w:t>
      </w:r>
      <w:r>
        <w:rPr>
          <w:b/>
          <w:bCs/>
        </w:rPr>
        <w:t xml:space="preserve"> </w:t>
      </w:r>
      <w:r>
        <w:rPr>
          <w:b/>
          <w:bCs/>
        </w:rPr>
        <w:fldChar w:fldCharType="begin"/>
      </w:r>
      <w:r>
        <w:rPr>
          <w:b/>
          <w:bCs/>
        </w:rPr>
        <w:instrText xml:space="preserve"> SEQ </w:instrText>
      </w:r>
      <w:r>
        <w:rPr>
          <w:b/>
          <w:bCs/>
        </w:rPr>
        <w:instrText>图</w:instrText>
      </w:r>
      <w:r>
        <w:rPr>
          <w:b/>
          <w:bCs/>
        </w:rPr>
        <w:instrText xml:space="preserve"> \* ARABIC </w:instrText>
      </w:r>
      <w:r>
        <w:rPr>
          <w:b/>
          <w:bCs/>
        </w:rPr>
        <w:fldChar w:fldCharType="separate"/>
      </w:r>
      <w:r w:rsidR="0069698C">
        <w:rPr>
          <w:b/>
          <w:bCs/>
          <w:noProof/>
        </w:rPr>
        <w:t>3</w:t>
      </w:r>
      <w:r>
        <w:rPr>
          <w:b/>
          <w:bCs/>
        </w:rPr>
        <w:fldChar w:fldCharType="end"/>
      </w:r>
      <w:bookmarkStart w:id="21" w:name="_Toc27660"/>
      <w:r>
        <w:rPr>
          <w:rFonts w:hint="eastAsia"/>
          <w:b/>
          <w:bCs/>
        </w:rPr>
        <w:t xml:space="preserve"> </w:t>
      </w:r>
      <w:r>
        <w:rPr>
          <w:rFonts w:hint="eastAsia"/>
        </w:rPr>
        <w:t xml:space="preserve"> </w:t>
      </w:r>
      <w:r w:rsidR="008F6F5D">
        <w:rPr>
          <w:rFonts w:hint="eastAsia"/>
          <w:b/>
          <w:bCs/>
        </w:rPr>
        <w:t>二氧化碳影子价格</w:t>
      </w:r>
      <w:r>
        <w:rPr>
          <w:rFonts w:hint="eastAsia"/>
          <w:b/>
          <w:bCs/>
        </w:rPr>
        <w:t>地区对比与总体趋势</w:t>
      </w:r>
      <w:bookmarkEnd w:id="21"/>
    </w:p>
    <w:p w14:paraId="06EBACD0" w14:textId="77777777" w:rsidR="00897705" w:rsidRDefault="00000000">
      <w:pPr>
        <w:jc w:val="center"/>
      </w:pPr>
      <w:r>
        <w:rPr>
          <w:noProof/>
        </w:rPr>
        <w:lastRenderedPageBreak/>
        <w:drawing>
          <wp:inline distT="0" distB="0" distL="0" distR="0" wp14:anchorId="140B75E6" wp14:editId="16B6B34D">
            <wp:extent cx="5580380" cy="1805305"/>
            <wp:effectExtent l="0" t="0" r="0" b="0"/>
            <wp:docPr id="464325220"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A516202" w14:textId="77777777" w:rsidR="00897705" w:rsidRDefault="00897705">
      <w:pPr>
        <w:jc w:val="center"/>
      </w:pPr>
    </w:p>
    <w:p w14:paraId="3F29B447" w14:textId="40890409" w:rsidR="00897705" w:rsidRDefault="00000000">
      <w:pPr>
        <w:pStyle w:val="a4"/>
        <w:ind w:firstLine="420"/>
        <w:jc w:val="center"/>
        <w:rPr>
          <w:b/>
          <w:bCs/>
        </w:rPr>
      </w:pPr>
      <w:r>
        <w:rPr>
          <w:b/>
          <w:bCs/>
        </w:rPr>
        <w:t>图</w:t>
      </w:r>
      <w:r>
        <w:rPr>
          <w:b/>
          <w:bCs/>
        </w:rPr>
        <w:t xml:space="preserve"> </w:t>
      </w:r>
      <w:r>
        <w:rPr>
          <w:b/>
          <w:bCs/>
        </w:rPr>
        <w:fldChar w:fldCharType="begin"/>
      </w:r>
      <w:r>
        <w:rPr>
          <w:b/>
          <w:bCs/>
        </w:rPr>
        <w:instrText xml:space="preserve"> SEQ </w:instrText>
      </w:r>
      <w:r>
        <w:rPr>
          <w:b/>
          <w:bCs/>
        </w:rPr>
        <w:instrText>图</w:instrText>
      </w:r>
      <w:r>
        <w:rPr>
          <w:b/>
          <w:bCs/>
        </w:rPr>
        <w:instrText xml:space="preserve"> \* ARABIC </w:instrText>
      </w:r>
      <w:r>
        <w:rPr>
          <w:b/>
          <w:bCs/>
        </w:rPr>
        <w:fldChar w:fldCharType="separate"/>
      </w:r>
      <w:r w:rsidR="0069698C">
        <w:rPr>
          <w:b/>
          <w:bCs/>
          <w:noProof/>
        </w:rPr>
        <w:t>4</w:t>
      </w:r>
      <w:r>
        <w:rPr>
          <w:b/>
          <w:bCs/>
        </w:rPr>
        <w:fldChar w:fldCharType="end"/>
      </w:r>
      <w:bookmarkStart w:id="22" w:name="_Toc22962"/>
      <w:r>
        <w:rPr>
          <w:rFonts w:hint="eastAsia"/>
          <w:b/>
          <w:bCs/>
        </w:rPr>
        <w:t xml:space="preserve">  </w:t>
      </w:r>
      <w:r>
        <w:rPr>
          <w:rFonts w:hint="eastAsia"/>
          <w:b/>
          <w:bCs/>
        </w:rPr>
        <w:t>各省</w:t>
      </w:r>
      <w:r w:rsidR="008F6F5D">
        <w:rPr>
          <w:rFonts w:hint="eastAsia"/>
          <w:b/>
          <w:bCs/>
        </w:rPr>
        <w:t>二氧化碳影子价格</w:t>
      </w:r>
      <w:r>
        <w:rPr>
          <w:rFonts w:hint="eastAsia"/>
          <w:b/>
          <w:bCs/>
        </w:rPr>
        <w:t>同比变化</w:t>
      </w:r>
      <w:bookmarkEnd w:id="22"/>
    </w:p>
    <w:p w14:paraId="3DF5E18F" w14:textId="77777777" w:rsidR="00897705" w:rsidRDefault="00000000">
      <w:pPr>
        <w:jc w:val="center"/>
      </w:pPr>
      <w:r>
        <w:rPr>
          <w:noProof/>
        </w:rPr>
        <w:drawing>
          <wp:inline distT="0" distB="0" distL="0" distR="0" wp14:anchorId="7A095408" wp14:editId="52E9A68C">
            <wp:extent cx="5580380" cy="1758315"/>
            <wp:effectExtent l="0" t="0" r="0" b="0"/>
            <wp:docPr id="1935320465"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1CDAF5A8" w14:textId="5648D51D" w:rsidR="00897705" w:rsidRDefault="00000000">
      <w:pPr>
        <w:ind w:firstLine="420"/>
        <w:rPr>
          <w:rFonts w:ascii="宋体" w:hAnsi="宋体"/>
        </w:rPr>
      </w:pPr>
      <w:r>
        <w:rPr>
          <w:rFonts w:ascii="宋体" w:hAnsi="宋体" w:hint="eastAsia"/>
        </w:rPr>
        <w:t>以东南沿海和西北内陆两种地理区域来划分，在计算出两个地理区域的平均</w:t>
      </w:r>
      <w:r w:rsidR="008F6F5D">
        <w:rPr>
          <w:rFonts w:ascii="宋体" w:hAnsi="宋体" w:hint="eastAsia"/>
        </w:rPr>
        <w:t>二氧化碳影子价格</w:t>
      </w:r>
      <w:r>
        <w:rPr>
          <w:rFonts w:ascii="宋体" w:hAnsi="宋体" w:hint="eastAsia"/>
        </w:rPr>
        <w:t>，从数据来看，东南沿海</w:t>
      </w:r>
      <w:r w:rsidR="008F6F5D">
        <w:rPr>
          <w:rFonts w:ascii="宋体" w:hAnsi="宋体" w:hint="eastAsia"/>
        </w:rPr>
        <w:t>二氧化碳影子价格</w:t>
      </w:r>
      <w:r>
        <w:rPr>
          <w:rFonts w:ascii="宋体" w:hAnsi="宋体" w:hint="eastAsia"/>
        </w:rPr>
        <w:t>基本维持在1</w:t>
      </w:r>
      <w:r>
        <w:rPr>
          <w:rFonts w:ascii="宋体" w:hAnsi="宋体"/>
        </w:rPr>
        <w:t>60</w:t>
      </w:r>
      <w:r>
        <w:rPr>
          <w:rFonts w:ascii="宋体" w:hAnsi="宋体" w:hint="eastAsia"/>
        </w:rPr>
        <w:t>元/吨的水平，说明实施低碳经济的边际成本相对偏高，反映该区域工业基础雄厚，产业配套完善，技术水平先进，单位产值的污染物排放相对较少，经济发展依赖的能源结构更加成熟；而西北内陆地区则基本维持在3</w:t>
      </w:r>
      <w:r>
        <w:rPr>
          <w:rFonts w:ascii="宋体" w:hAnsi="宋体"/>
        </w:rPr>
        <w:t>5-40</w:t>
      </w:r>
      <w:r>
        <w:rPr>
          <w:rFonts w:ascii="宋体" w:hAnsi="宋体" w:hint="eastAsia"/>
        </w:rPr>
        <w:t>元/吨的水平；说明实施低碳经济的边际成本相对偏低，反映该区域工业化程度相对薄弱，产业配套欠缺技术水平落后，生产效率较低，环境污染较大。</w:t>
      </w:r>
    </w:p>
    <w:p w14:paraId="170EE52E" w14:textId="16C49AEE" w:rsidR="00897705" w:rsidRDefault="00000000">
      <w:pPr>
        <w:ind w:firstLine="420"/>
        <w:rPr>
          <w:rFonts w:ascii="宋体" w:hAnsi="宋体"/>
        </w:rPr>
      </w:pPr>
      <w:r>
        <w:rPr>
          <w:rFonts w:ascii="宋体" w:hAnsi="宋体" w:hint="eastAsia"/>
        </w:rPr>
        <w:t>从时间趋势上来看，不同地区的</w:t>
      </w:r>
      <w:r w:rsidR="008F6F5D">
        <w:rPr>
          <w:rFonts w:ascii="宋体" w:hAnsi="宋体" w:hint="eastAsia"/>
        </w:rPr>
        <w:t>二氧化碳影子价格</w:t>
      </w:r>
      <w:r>
        <w:rPr>
          <w:rFonts w:ascii="宋体" w:hAnsi="宋体" w:hint="eastAsia"/>
        </w:rPr>
        <w:t>整体都呈现下降趋势，其中西北内陆地区的平均</w:t>
      </w:r>
      <w:r w:rsidR="008F6F5D">
        <w:rPr>
          <w:rFonts w:ascii="宋体" w:hAnsi="宋体" w:hint="eastAsia"/>
        </w:rPr>
        <w:t>二氧化碳影子价格</w:t>
      </w:r>
      <w:r>
        <w:rPr>
          <w:rFonts w:ascii="宋体" w:hAnsi="宋体" w:hint="eastAsia"/>
        </w:rPr>
        <w:t>呈现持续下行的走势，而东南沿海则呈现先降后升的走势，但总体水平均有所下降。同同比变化来看，绝大多数省份的同比变化连年处于0以下，其中宁夏和新疆的同比降幅明显高于其他省份。</w:t>
      </w:r>
    </w:p>
    <w:p w14:paraId="317AE390" w14:textId="1037E9D0" w:rsidR="00897705" w:rsidRDefault="00000000">
      <w:pPr>
        <w:ind w:firstLine="420"/>
      </w:pPr>
      <w:r>
        <w:rPr>
          <w:rFonts w:hint="eastAsia"/>
        </w:rPr>
        <w:t>经过分析，可以看到，从总量与结构上来看，各省</w:t>
      </w:r>
      <w:r w:rsidR="008F6F5D">
        <w:rPr>
          <w:rFonts w:hint="eastAsia"/>
        </w:rPr>
        <w:t>二氧化碳影子价格</w:t>
      </w:r>
      <w:r>
        <w:rPr>
          <w:rFonts w:hint="eastAsia"/>
        </w:rPr>
        <w:t>差距巨大，同时地区差距呈现出增加的趋势，东南沿海地区显著高于西北内陆地区，而时间趋势</w:t>
      </w:r>
      <w:r>
        <w:rPr>
          <w:rFonts w:hint="eastAsia"/>
        </w:rPr>
        <w:lastRenderedPageBreak/>
        <w:t>来看，</w:t>
      </w:r>
      <w:r w:rsidR="008F6F5D">
        <w:rPr>
          <w:rFonts w:hint="eastAsia"/>
        </w:rPr>
        <w:t>二氧化碳影子价格</w:t>
      </w:r>
      <w:r>
        <w:rPr>
          <w:rFonts w:hint="eastAsia"/>
        </w:rPr>
        <w:t>整体呈现出下降的趋势，因此接下来的部分来分析关键时点的政策制定与政策目标等标志性事件对于省际</w:t>
      </w:r>
      <w:r w:rsidR="008F6F5D">
        <w:rPr>
          <w:rFonts w:hint="eastAsia"/>
        </w:rPr>
        <w:t>二氧化碳影子价格</w:t>
      </w:r>
      <w:r>
        <w:rPr>
          <w:rFonts w:hint="eastAsia"/>
        </w:rPr>
        <w:t>减缓趋势是否带来结构性的改变。</w:t>
      </w:r>
    </w:p>
    <w:p w14:paraId="5278DA96" w14:textId="77777777" w:rsidR="00897705" w:rsidRDefault="00000000">
      <w:pPr>
        <w:pStyle w:val="2"/>
        <w:numPr>
          <w:ilvl w:val="0"/>
          <w:numId w:val="8"/>
        </w:numPr>
        <w:spacing w:before="156" w:after="156"/>
        <w:ind w:firstLine="420"/>
      </w:pPr>
      <w:bookmarkStart w:id="23" w:name="_Toc154908723"/>
      <w:r>
        <w:rPr>
          <w:rFonts w:hint="eastAsia"/>
        </w:rPr>
        <w:t>事件研究结果</w:t>
      </w:r>
      <w:bookmarkEnd w:id="23"/>
    </w:p>
    <w:p w14:paraId="01668D14" w14:textId="77777777" w:rsidR="00897705" w:rsidRDefault="00000000">
      <w:pPr>
        <w:ind w:firstLine="420"/>
        <w:rPr>
          <w:rFonts w:cs="Times New Roman"/>
        </w:rPr>
      </w:pPr>
      <w:bookmarkStart w:id="24" w:name="OLE_LINK1"/>
      <w:r>
        <w:rPr>
          <w:rFonts w:cs="Times New Roman" w:hint="eastAsia"/>
        </w:rPr>
        <w:t>在</w:t>
      </w:r>
      <w:r>
        <w:rPr>
          <w:rFonts w:cs="Times New Roman" w:hint="eastAsia"/>
        </w:rPr>
        <w:t>2015</w:t>
      </w:r>
      <w:r>
        <w:rPr>
          <w:rFonts w:cs="Times New Roman" w:hint="eastAsia"/>
        </w:rPr>
        <w:t>年</w:t>
      </w:r>
      <w:r>
        <w:rPr>
          <w:rFonts w:cs="Times New Roman" w:hint="eastAsia"/>
        </w:rPr>
        <w:t>12</w:t>
      </w:r>
      <w:r>
        <w:rPr>
          <w:rFonts w:cs="Times New Roman" w:hint="eastAsia"/>
        </w:rPr>
        <w:t>月《巴黎协定》通过后，我们选取的所有样本，也就是中国东西部的</w:t>
      </w:r>
      <w:r>
        <w:rPr>
          <w:rFonts w:cs="Times New Roman" w:hint="eastAsia"/>
        </w:rPr>
        <w:t>8</w:t>
      </w:r>
      <w:r>
        <w:rPr>
          <w:rFonts w:cs="Times New Roman" w:hint="eastAsia"/>
        </w:rPr>
        <w:t>各地区，均受到了随之而来的政策影响，因此我们采用断点回归的分析方法，建立了以下模型以评估《巴黎协定》对</w:t>
      </w:r>
      <w:proofErr w:type="gramStart"/>
      <w:r>
        <w:rPr>
          <w:rFonts w:cs="Times New Roman" w:hint="eastAsia"/>
        </w:rPr>
        <w:t>碳交易</w:t>
      </w:r>
      <w:proofErr w:type="gramEnd"/>
      <w:r>
        <w:rPr>
          <w:rFonts w:cs="Times New Roman" w:hint="eastAsia"/>
        </w:rPr>
        <w:t>价格的影响：</w:t>
      </w:r>
    </w:p>
    <w:p w14:paraId="563EF0E9" w14:textId="77777777" w:rsidR="00897705" w:rsidRDefault="00000000">
      <w:pPr>
        <w:rPr>
          <w:rFonts w:cs="Times New Roman"/>
        </w:rPr>
      </w:pPr>
      <m:oMathPara>
        <m:oMath>
          <m:r>
            <w:rPr>
              <w:rFonts w:ascii="Cambria Math" w:hAnsi="Cambria Math" w:cs="Times New Roman"/>
            </w:rPr>
            <m:t>pric</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i/>
                </w:rPr>
              </m:ctrlPr>
            </m:sSubPr>
            <m:e>
              <m:r>
                <m:rPr>
                  <m:sty m:val="p"/>
                </m:rP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nary>
            <m:naryPr>
              <m:chr m:val="∑"/>
              <m:ctrlPr>
                <w:rPr>
                  <w:rFonts w:ascii="Cambria Math" w:hAnsi="Cambria Math" w:cs="Times New Roman"/>
                </w:rPr>
              </m:ctrlPr>
            </m:naryPr>
            <m:sub>
              <m:r>
                <w:rPr>
                  <w:rFonts w:ascii="Cambria Math" w:hAnsi="Cambria Math" w:cs="Times New Roman"/>
                </w:rPr>
                <m:t>t=2012</m:t>
              </m:r>
              <m:ctrlPr>
                <w:rPr>
                  <w:rFonts w:ascii="Cambria Math" w:hAnsi="Cambria Math" w:cs="Times New Roman"/>
                  <w:i/>
                </w:rPr>
              </m:ctrlPr>
            </m:sub>
            <m:sup>
              <m:r>
                <w:rPr>
                  <w:rFonts w:ascii="Cambria Math" w:hAnsi="Cambria Math" w:cs="Times New Roman"/>
                </w:rPr>
                <m:t>2020</m:t>
              </m:r>
              <m:ctrlPr>
                <w:rPr>
                  <w:rFonts w:ascii="Cambria Math" w:hAnsi="Cambria Math" w:cs="Times New Roman"/>
                  <w:i/>
                </w:rPr>
              </m:ctrlPr>
            </m:sup>
            <m:e>
              <m:sSub>
                <m:sSubPr>
                  <m:ctrlPr>
                    <w:rPr>
                      <w:rFonts w:ascii="Cambria Math" w:hAnsi="Cambria Math" w:cs="Times New Roman"/>
                      <w:i/>
                    </w:rPr>
                  </m:ctrlPr>
                </m:sSubPr>
                <m:e>
                  <m:r>
                    <m:rPr>
                      <m:sty m:val="p"/>
                    </m:rPr>
                    <w:rPr>
                      <w:rFonts w:ascii="Cambria Math" w:hAnsi="Cambria Math" w:cs="Times New Roman"/>
                    </w:rPr>
                    <m:t>β</m:t>
                  </m:r>
                  <m:ctrlPr>
                    <w:rPr>
                      <w:rFonts w:ascii="Cambria Math" w:hAnsi="Cambria Math" w:cs="Times New Roman"/>
                    </w:rPr>
                  </m:ctrlPr>
                </m:e>
                <m:sub>
                  <m:r>
                    <w:rPr>
                      <w:rFonts w:ascii="Cambria Math" w:hAnsi="Cambria Math" w:cs="Times New Roman"/>
                    </w:rPr>
                    <m:t>t</m:t>
                  </m:r>
                </m:sub>
              </m:sSub>
            </m:e>
          </m:nary>
          <m:r>
            <w:rPr>
              <w:rFonts w:ascii="Cambria Math" w:hAnsi="Cambria Math" w:cs="Times New Roman"/>
            </w:rPr>
            <m:t>yea</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t</m:t>
              </m:r>
            </m:sub>
          </m:sSub>
          <m:r>
            <w:rPr>
              <w:rFonts w:ascii="Cambria Math" w:hAnsi="Cambria Math" w:cs="Times New Roman"/>
            </w:rPr>
            <m:t>+</m:t>
          </m:r>
          <m:nary>
            <m:naryPr>
              <m:chr m:val="∑"/>
              <m:supHide m:val="1"/>
              <m:ctrlPr>
                <w:rPr>
                  <w:rFonts w:ascii="Cambria Math" w:hAnsi="Cambria Math" w:cs="Times New Roman"/>
                </w:rPr>
              </m:ctrlPr>
            </m:naryPr>
            <m:sub>
              <m:r>
                <w:rPr>
                  <w:rFonts w:ascii="Cambria Math" w:hAnsi="Cambria Math" w:cs="Times New Roman"/>
                </w:rPr>
                <m:t>i</m:t>
              </m:r>
              <m:ctrlPr>
                <w:rPr>
                  <w:rFonts w:ascii="Cambria Math" w:hAnsi="Cambria Math" w:cs="Times New Roman"/>
                  <w:i/>
                </w:rPr>
              </m:ctrlPr>
            </m:sub>
            <m:sup>
              <m:ctrlPr>
                <w:rPr>
                  <w:rFonts w:ascii="Cambria Math" w:hAnsi="Cambria Math" w:cs="Times New Roman"/>
                  <w:i/>
                </w:rPr>
              </m:ctrlPr>
            </m:sup>
            <m:e>
              <m:sSub>
                <m:sSubPr>
                  <m:ctrlPr>
                    <w:rPr>
                      <w:rFonts w:ascii="Cambria Math" w:hAnsi="Cambria Math" w:cs="Times New Roman"/>
                      <w:i/>
                    </w:rPr>
                  </m:ctrlPr>
                </m:sSubPr>
                <m:e>
                  <m:r>
                    <w:rPr>
                      <w:rFonts w:ascii="Cambria Math" w:hAnsi="Cambria Math" w:cs="Times New Roman"/>
                    </w:rPr>
                    <m:t>δ</m:t>
                  </m:r>
                  <m:ctrlPr>
                    <w:rPr>
                      <w:rFonts w:ascii="Cambria Math" w:hAnsi="Cambria Math" w:cs="Times New Roman"/>
                    </w:rPr>
                  </m:ctrlPr>
                </m:e>
                <m:sub>
                  <m:r>
                    <w:rPr>
                      <w:rFonts w:ascii="Cambria Math" w:hAnsi="Cambria Math" w:cs="Times New Roman"/>
                    </w:rPr>
                    <m:t>i</m:t>
                  </m:r>
                </m:sub>
              </m:sSub>
              <m:r>
                <w:rPr>
                  <w:rFonts w:ascii="Cambria Math" w:hAnsi="Cambria Math" w:cs="Times New Roman"/>
                </w:rPr>
                <m:t>distric</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ctrlPr>
                <w:rPr>
                  <w:rFonts w:ascii="Cambria Math" w:hAnsi="Cambria Math" w:cs="Times New Roman"/>
                  <w:i/>
                </w:rPr>
              </m:ctrlPr>
            </m:e>
          </m:nary>
          <m:r>
            <w:rPr>
              <w:rFonts w:ascii="Cambria Math" w:hAnsi="Cambria Math" w:cs="Times New Roman"/>
            </w:rPr>
            <m:t>+</m:t>
          </m:r>
          <m:sSub>
            <m:sSubPr>
              <m:ctrlPr>
                <w:rPr>
                  <w:rFonts w:ascii="Cambria Math" w:hAnsi="Cambria Math" w:cs="Times New Roman"/>
                  <w:i/>
                </w:rPr>
              </m:ctrlPr>
            </m:sSubPr>
            <m:e>
              <m:r>
                <m:rPr>
                  <m:sty m:val="p"/>
                </m:rPr>
                <w:rPr>
                  <w:rFonts w:ascii="Cambria Math" w:hAnsi="Cambria Math" w:cs="Times New Roman"/>
                </w:rPr>
                <m:t>ε</m:t>
              </m:r>
            </m:e>
            <m:sub>
              <m:r>
                <w:rPr>
                  <w:rFonts w:ascii="Cambria Math" w:hAnsi="Cambria Math" w:cs="Times New Roman"/>
                </w:rPr>
                <m:t>it</m:t>
              </m:r>
            </m:sub>
          </m:sSub>
        </m:oMath>
      </m:oMathPara>
    </w:p>
    <w:p w14:paraId="47AD00C6" w14:textId="77777777" w:rsidR="00897705" w:rsidRDefault="00000000">
      <w:pPr>
        <w:ind w:firstLine="420"/>
        <w:rPr>
          <w:rFonts w:cs="Times New Roman"/>
        </w:rPr>
      </w:pPr>
      <w:r>
        <w:rPr>
          <w:rFonts w:cs="Times New Roman"/>
        </w:rPr>
        <w:t>其中，</w:t>
      </w:r>
      <m:oMath>
        <m:r>
          <w:rPr>
            <w:rFonts w:ascii="Cambria Math" w:hAnsi="Cambria Math" w:cs="Times New Roman"/>
          </w:rPr>
          <m:t>yea</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t</m:t>
            </m:r>
          </m:sub>
        </m:sSub>
      </m:oMath>
      <w:r>
        <w:rPr>
          <w:rFonts w:cs="Times New Roman"/>
        </w:rPr>
        <w:t>取值为</w:t>
      </w:r>
      <w:r>
        <w:rPr>
          <w:rFonts w:cs="Times New Roman"/>
        </w:rPr>
        <w:t>1</w:t>
      </w:r>
      <w:r>
        <w:rPr>
          <w:rFonts w:cs="Times New Roman"/>
        </w:rPr>
        <w:t>当且仅当数据是来自年份</w:t>
      </w:r>
      <m:oMath>
        <m:r>
          <w:rPr>
            <w:rFonts w:ascii="Cambria Math" w:hAnsi="Cambria Math" w:cs="Times New Roman"/>
          </w:rPr>
          <m:t>t</m:t>
        </m:r>
      </m:oMath>
      <w:r>
        <w:rPr>
          <w:rFonts w:cs="Times New Roman"/>
        </w:rPr>
        <w:t>，</w:t>
      </w:r>
      <m:oMath>
        <m:r>
          <w:rPr>
            <w:rFonts w:ascii="Cambria Math" w:hAnsi="Cambria Math" w:cs="Times New Roman"/>
          </w:rPr>
          <m:t>distric</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oMath>
      <w:r>
        <w:rPr>
          <w:rFonts w:cs="Times New Roman"/>
        </w:rPr>
        <w:t>取值为</w:t>
      </w:r>
      <w:r>
        <w:rPr>
          <w:rFonts w:cs="Times New Roman"/>
        </w:rPr>
        <w:t>1</w:t>
      </w:r>
      <w:r>
        <w:rPr>
          <w:rFonts w:cs="Times New Roman"/>
        </w:rPr>
        <w:t>当且仅当数据是来自地区</w:t>
      </w:r>
      <m:oMath>
        <m:r>
          <w:rPr>
            <w:rFonts w:ascii="Cambria Math" w:hAnsi="Cambria Math" w:cs="Times New Roman"/>
          </w:rPr>
          <m:t>i</m:t>
        </m:r>
      </m:oMath>
      <w:r>
        <w:rPr>
          <w:rFonts w:cs="Times New Roman"/>
        </w:rPr>
        <w:t>，</w:t>
      </w:r>
      <m:oMath>
        <m:sSub>
          <m:sSubPr>
            <m:ctrlPr>
              <w:rPr>
                <w:rFonts w:ascii="Cambria Math" w:hAnsi="Cambria Math" w:cs="Times New Roman"/>
                <w:i/>
              </w:rPr>
            </m:ctrlPr>
          </m:sSubPr>
          <m:e>
            <m:r>
              <w:rPr>
                <w:rFonts w:ascii="Cambria Math" w:hAnsi="Cambria Math" w:cs="Times New Roman"/>
              </w:rPr>
              <m:t>ε</m:t>
            </m:r>
            <m:ctrlPr>
              <w:rPr>
                <w:rFonts w:ascii="Cambria Math" w:hAnsi="Cambria Math" w:cs="Times New Roman"/>
              </w:rPr>
            </m:ctrlPr>
          </m:e>
          <m:sub>
            <m:r>
              <w:rPr>
                <w:rFonts w:ascii="Cambria Math" w:hAnsi="Cambria Math" w:cs="Times New Roman"/>
              </w:rPr>
              <m:t>it</m:t>
            </m:r>
          </m:sub>
        </m:sSub>
      </m:oMath>
      <w:r>
        <w:rPr>
          <w:rFonts w:cs="Times New Roman"/>
        </w:rPr>
        <w:t>是模型中的误差项。比如，</w:t>
      </w:r>
      <m:oMath>
        <m:r>
          <w:rPr>
            <w:rFonts w:ascii="Cambria Math" w:hAnsi="Cambria Math" w:cs="Times New Roman"/>
          </w:rPr>
          <m:t>yea</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2013</m:t>
            </m:r>
          </m:sub>
        </m:sSub>
      </m:oMath>
      <w:r>
        <w:rPr>
          <w:rFonts w:cs="Times New Roman"/>
        </w:rPr>
        <w:t>取值为</w:t>
      </w:r>
      <w:r>
        <w:rPr>
          <w:rFonts w:cs="Times New Roman"/>
        </w:rPr>
        <w:t>1</w:t>
      </w:r>
      <w:r>
        <w:rPr>
          <w:rFonts w:cs="Times New Roman"/>
        </w:rPr>
        <w:t>当数据是代表</w:t>
      </w:r>
      <w:r>
        <w:rPr>
          <w:rFonts w:cs="Times New Roman"/>
        </w:rPr>
        <w:t>2013</w:t>
      </w:r>
      <w:r>
        <w:rPr>
          <w:rFonts w:cs="Times New Roman"/>
        </w:rPr>
        <w:t>年的</w:t>
      </w:r>
      <w:proofErr w:type="gramStart"/>
      <w:r>
        <w:rPr>
          <w:rFonts w:cs="Times New Roman"/>
        </w:rPr>
        <w:t>碳交易</w:t>
      </w:r>
      <w:proofErr w:type="gramEnd"/>
      <w:r>
        <w:rPr>
          <w:rFonts w:cs="Times New Roman"/>
        </w:rPr>
        <w:t>价格，</w:t>
      </w:r>
      <m:oMath>
        <m:r>
          <w:rPr>
            <w:rFonts w:ascii="Cambria Math" w:hAnsi="Cambria Math" w:cs="Times New Roman"/>
          </w:rPr>
          <m:t>distric</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anhui</m:t>
            </m:r>
          </m:sub>
        </m:sSub>
      </m:oMath>
      <w:r>
        <w:rPr>
          <w:rFonts w:cs="Times New Roman"/>
        </w:rPr>
        <w:t>取值为</w:t>
      </w:r>
      <w:r>
        <w:rPr>
          <w:rFonts w:cs="Times New Roman"/>
        </w:rPr>
        <w:t>1</w:t>
      </w:r>
      <w:r>
        <w:rPr>
          <w:rFonts w:cs="Times New Roman"/>
        </w:rPr>
        <w:t>当数据来自安徽省。</w:t>
      </w:r>
    </w:p>
    <w:p w14:paraId="530380F9" w14:textId="77777777" w:rsidR="00897705" w:rsidRDefault="00000000">
      <w:pPr>
        <w:ind w:firstLine="420"/>
        <w:rPr>
          <w:rFonts w:cs="Times New Roman"/>
        </w:rPr>
      </w:pPr>
      <w:r>
        <w:rPr>
          <w:rFonts w:cs="Times New Roman" w:hint="eastAsia"/>
        </w:rPr>
        <w:t>此处，断点回归的基本思想为，我们认为</w:t>
      </w:r>
      <w:r>
        <w:rPr>
          <w:rFonts w:cs="Times New Roman"/>
        </w:rPr>
        <w:t>在没有外生冲击时各地可以合理地假定为平稳发展，</w:t>
      </w:r>
      <w:proofErr w:type="gramStart"/>
      <w:r>
        <w:rPr>
          <w:rFonts w:cs="Times New Roman"/>
        </w:rPr>
        <w:t>碳交易</w:t>
      </w:r>
      <w:proofErr w:type="gramEnd"/>
      <w:r>
        <w:rPr>
          <w:rFonts w:cs="Times New Roman"/>
        </w:rPr>
        <w:t>价格应该保持相对稳定</w:t>
      </w:r>
      <w:r>
        <w:rPr>
          <w:rFonts w:cs="Times New Roman" w:hint="eastAsia"/>
        </w:rPr>
        <w:t>；此时如果经历了外生的冲击而导致</w:t>
      </w:r>
      <w:proofErr w:type="gramStart"/>
      <w:r>
        <w:rPr>
          <w:rFonts w:cs="Times New Roman" w:hint="eastAsia"/>
        </w:rPr>
        <w:t>碳交易</w:t>
      </w:r>
      <w:proofErr w:type="gramEnd"/>
      <w:r>
        <w:rPr>
          <w:rFonts w:cs="Times New Roman" w:hint="eastAsia"/>
        </w:rPr>
        <w:t>价格出现波动，那么可以将该波动归因至此外生冲击。如果断点回归的这一前提假设成立，那么我们的估计就是有效的。</w:t>
      </w:r>
      <w:proofErr w:type="gramStart"/>
      <w:r>
        <w:rPr>
          <w:rFonts w:cs="Times New Roman"/>
        </w:rPr>
        <w:t>本回归</w:t>
      </w:r>
      <w:proofErr w:type="gramEnd"/>
      <w:r>
        <w:rPr>
          <w:rFonts w:cs="Times New Roman"/>
        </w:rPr>
        <w:t>中包含截距，相当于以</w:t>
      </w:r>
      <w:r>
        <w:rPr>
          <w:rFonts w:cs="Times New Roman" w:hint="eastAsia"/>
        </w:rPr>
        <w:t>各地区</w:t>
      </w:r>
      <w:r>
        <w:rPr>
          <w:rFonts w:cs="Times New Roman"/>
        </w:rPr>
        <w:t>2011</w:t>
      </w:r>
      <w:r>
        <w:rPr>
          <w:rFonts w:cs="Times New Roman"/>
        </w:rPr>
        <w:t>年的情况作为对照</w:t>
      </w:r>
      <w:r>
        <w:rPr>
          <w:rFonts w:cs="Times New Roman" w:hint="eastAsia"/>
        </w:rPr>
        <w:t>，</w:t>
      </w:r>
      <w:r>
        <w:rPr>
          <w:rFonts w:cs="Times New Roman"/>
        </w:rPr>
        <w:t>因此系数</w:t>
      </w:r>
      <m:oMath>
        <m:sSub>
          <m:sSubPr>
            <m:ctrlPr>
              <w:rPr>
                <w:rFonts w:ascii="Cambria Math" w:hAnsi="Cambria Math" w:cs="Times New Roman"/>
                <w:i/>
              </w:rPr>
            </m:ctrlPr>
          </m:sSubPr>
          <m:e>
            <m:r>
              <w:rPr>
                <w:rFonts w:ascii="Cambria Math" w:hAnsi="Cambria Math" w:cs="Times New Roman"/>
              </w:rPr>
              <m:t>β</m:t>
            </m:r>
            <m:ctrlPr>
              <w:rPr>
                <w:rFonts w:ascii="Cambria Math" w:hAnsi="Cambria Math" w:cs="Times New Roman"/>
              </w:rPr>
            </m:ctrlPr>
          </m:e>
          <m:sub>
            <m:r>
              <w:rPr>
                <w:rFonts w:ascii="Cambria Math" w:hAnsi="Cambria Math" w:cs="Times New Roman"/>
              </w:rPr>
              <m:t>t</m:t>
            </m:r>
          </m:sub>
        </m:sSub>
        <m:d>
          <m:dPr>
            <m:ctrlPr>
              <w:rPr>
                <w:rFonts w:ascii="Cambria Math" w:hAnsi="Cambria Math" w:cs="Times New Roman"/>
                <w:i/>
              </w:rPr>
            </m:ctrlPr>
          </m:dPr>
          <m:e>
            <m:r>
              <w:rPr>
                <w:rFonts w:ascii="Cambria Math" w:hAnsi="Cambria Math" w:cs="Times New Roman"/>
              </w:rPr>
              <m:t>t=2012,</m:t>
            </m:r>
            <m:r>
              <m:rPr>
                <m:sty m:val="p"/>
              </m:rPr>
              <w:rPr>
                <w:rFonts w:ascii="Cambria Math" w:hAnsi="Cambria Math" w:cs="Times New Roman"/>
              </w:rPr>
              <m:t>⋯</m:t>
            </m:r>
            <m:r>
              <w:rPr>
                <w:rFonts w:ascii="Cambria Math" w:hAnsi="Cambria Math" w:cs="Times New Roman"/>
              </w:rPr>
              <m:t>,2020</m:t>
            </m:r>
          </m:e>
        </m:d>
      </m:oMath>
      <w:r>
        <w:rPr>
          <w:rFonts w:cs="Times New Roman"/>
        </w:rPr>
        <w:t>估计的是从</w:t>
      </w:r>
      <w:r>
        <w:rPr>
          <w:rFonts w:cs="Times New Roman"/>
        </w:rPr>
        <w:t>2012</w:t>
      </w:r>
      <w:r>
        <w:rPr>
          <w:rFonts w:cs="Times New Roman"/>
        </w:rPr>
        <w:t>年至</w:t>
      </w:r>
      <w:r>
        <w:rPr>
          <w:rFonts w:cs="Times New Roman"/>
        </w:rPr>
        <w:t>2020</w:t>
      </w:r>
      <w:r>
        <w:rPr>
          <w:rFonts w:cs="Times New Roman"/>
        </w:rPr>
        <w:t>年的每一年对</w:t>
      </w:r>
      <w:proofErr w:type="gramStart"/>
      <w:r>
        <w:rPr>
          <w:rFonts w:cs="Times New Roman"/>
        </w:rPr>
        <w:t>碳交易</w:t>
      </w:r>
      <w:proofErr w:type="gramEnd"/>
      <w:r>
        <w:rPr>
          <w:rFonts w:cs="Times New Roman"/>
        </w:rPr>
        <w:t>价格的处理效应。模型中加入</w:t>
      </w:r>
      <m:oMath>
        <m:nary>
          <m:naryPr>
            <m:chr m:val="∑"/>
            <m:supHide m:val="1"/>
            <m:ctrlPr>
              <w:rPr>
                <w:rFonts w:ascii="Cambria Math" w:hAnsi="Cambria Math" w:cs="Times New Roman"/>
              </w:rPr>
            </m:ctrlPr>
          </m:naryPr>
          <m:sub>
            <m:r>
              <w:rPr>
                <w:rFonts w:ascii="Cambria Math" w:hAnsi="Cambria Math" w:cs="Times New Roman"/>
              </w:rPr>
              <m:t>i</m:t>
            </m:r>
            <m:ctrlPr>
              <w:rPr>
                <w:rFonts w:ascii="Cambria Math" w:hAnsi="Cambria Math" w:cs="Times New Roman"/>
                <w:i/>
              </w:rPr>
            </m:ctrlPr>
          </m:sub>
          <m:sup>
            <m:ctrlPr>
              <w:rPr>
                <w:rFonts w:ascii="Cambria Math" w:hAnsi="Cambria Math" w:cs="Times New Roman"/>
                <w:i/>
              </w:rPr>
            </m:ctrlPr>
          </m:sup>
          <m:e>
            <m:sSub>
              <m:sSubPr>
                <m:ctrlPr>
                  <w:rPr>
                    <w:rFonts w:ascii="Cambria Math" w:hAnsi="Cambria Math" w:cs="Times New Roman"/>
                    <w:i/>
                  </w:rPr>
                </m:ctrlPr>
              </m:sSubPr>
              <m:e>
                <m:r>
                  <w:rPr>
                    <w:rFonts w:ascii="Cambria Math" w:hAnsi="Cambria Math" w:cs="Times New Roman"/>
                  </w:rPr>
                  <m:t>δ</m:t>
                </m:r>
                <m:ctrlPr>
                  <w:rPr>
                    <w:rFonts w:ascii="Cambria Math" w:hAnsi="Cambria Math" w:cs="Times New Roman"/>
                  </w:rPr>
                </m:ctrlPr>
              </m:e>
              <m:sub>
                <m:r>
                  <w:rPr>
                    <w:rFonts w:ascii="Cambria Math" w:hAnsi="Cambria Math" w:cs="Times New Roman"/>
                  </w:rPr>
                  <m:t>i</m:t>
                </m:r>
              </m:sub>
            </m:sSub>
            <m:r>
              <w:rPr>
                <w:rFonts w:ascii="Cambria Math" w:hAnsi="Cambria Math" w:cs="Times New Roman"/>
              </w:rPr>
              <m:t>distric</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ctrlPr>
              <w:rPr>
                <w:rFonts w:ascii="Cambria Math" w:hAnsi="Cambria Math" w:cs="Times New Roman"/>
                <w:i/>
              </w:rPr>
            </m:ctrlPr>
          </m:e>
        </m:nary>
      </m:oMath>
      <w:r>
        <w:rPr>
          <w:rFonts w:cs="Times New Roman"/>
        </w:rPr>
        <w:t>一项的目的是控制地区的固定效应，使得估计能排除</w:t>
      </w:r>
      <w:r>
        <w:rPr>
          <w:rFonts w:cs="Times New Roman" w:hint="eastAsia"/>
        </w:rPr>
        <w:t>地区的</w:t>
      </w:r>
      <w:r>
        <w:rPr>
          <w:rFonts w:cs="Times New Roman"/>
        </w:rPr>
        <w:t>内生性，保证因果识别干净有效。</w:t>
      </w:r>
    </w:p>
    <w:p w14:paraId="4877B084" w14:textId="77777777" w:rsidR="00897705" w:rsidRDefault="00000000">
      <w:pPr>
        <w:ind w:firstLine="420"/>
        <w:rPr>
          <w:rFonts w:cs="Times New Roman"/>
        </w:rPr>
      </w:pPr>
      <w:r>
        <w:rPr>
          <w:rFonts w:cs="Times New Roman"/>
        </w:rPr>
        <w:t>模型的回归结果如下表所示</w:t>
      </w:r>
      <w:r>
        <w:rPr>
          <w:rFonts w:cs="Times New Roman" w:hint="eastAsia"/>
        </w:rPr>
        <w:t>（地区固定效应的估计结果已省略）</w:t>
      </w:r>
      <w:r>
        <w:rPr>
          <w:rFonts w:cs="Times New Roman"/>
        </w:rPr>
        <w:t>：</w:t>
      </w:r>
    </w:p>
    <w:p w14:paraId="32BB8C8C" w14:textId="101F78F3" w:rsidR="00897705" w:rsidRDefault="00000000">
      <w:pPr>
        <w:pStyle w:val="a4"/>
        <w:jc w:val="center"/>
        <w:rPr>
          <w:rFonts w:cs="Times New Roman"/>
          <w:b/>
          <w:bCs/>
        </w:rPr>
      </w:pPr>
      <w:r>
        <w:rPr>
          <w:b/>
          <w:bCs/>
        </w:rPr>
        <w:t>表</w:t>
      </w:r>
      <w:r>
        <w:rPr>
          <w:b/>
          <w:bCs/>
        </w:rPr>
        <w:t xml:space="preserve"> </w:t>
      </w:r>
      <w:r>
        <w:rPr>
          <w:b/>
          <w:bCs/>
        </w:rPr>
        <w:fldChar w:fldCharType="begin"/>
      </w:r>
      <w:r>
        <w:rPr>
          <w:b/>
          <w:bCs/>
        </w:rPr>
        <w:instrText xml:space="preserve"> SEQ </w:instrText>
      </w:r>
      <w:r>
        <w:rPr>
          <w:b/>
          <w:bCs/>
        </w:rPr>
        <w:instrText>表</w:instrText>
      </w:r>
      <w:r>
        <w:rPr>
          <w:b/>
          <w:bCs/>
        </w:rPr>
        <w:instrText xml:space="preserve"> \* ARABIC </w:instrText>
      </w:r>
      <w:r>
        <w:rPr>
          <w:b/>
          <w:bCs/>
        </w:rPr>
        <w:fldChar w:fldCharType="separate"/>
      </w:r>
      <w:r w:rsidR="0069698C">
        <w:rPr>
          <w:b/>
          <w:bCs/>
          <w:noProof/>
        </w:rPr>
        <w:t>4</w:t>
      </w:r>
      <w:r>
        <w:rPr>
          <w:b/>
          <w:bCs/>
        </w:rPr>
        <w:fldChar w:fldCharType="end"/>
      </w:r>
      <w:bookmarkStart w:id="25" w:name="_Toc21088"/>
      <w:r>
        <w:rPr>
          <w:rFonts w:hint="eastAsia"/>
          <w:b/>
          <w:bCs/>
        </w:rPr>
        <w:t xml:space="preserve"> </w:t>
      </w:r>
      <w:r>
        <w:rPr>
          <w:rFonts w:hint="eastAsia"/>
        </w:rPr>
        <w:t xml:space="preserve"> </w:t>
      </w:r>
      <w:r>
        <w:rPr>
          <w:rFonts w:cs="Times New Roman" w:hint="eastAsia"/>
          <w:b/>
          <w:bCs/>
        </w:rPr>
        <w:t>断点回归模型结果</w:t>
      </w:r>
      <w:bookmarkEnd w:id="25"/>
    </w:p>
    <w:tbl>
      <w:tblPr>
        <w:tblStyle w:val="af"/>
        <w:tblW w:w="0" w:type="auto"/>
        <w:tblInd w:w="1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3"/>
        <w:gridCol w:w="4350"/>
      </w:tblGrid>
      <w:tr w:rsidR="00897705" w14:paraId="2530BE60" w14:textId="77777777">
        <w:trPr>
          <w:trHeight w:val="397"/>
        </w:trPr>
        <w:tc>
          <w:tcPr>
            <w:tcW w:w="1328" w:type="dxa"/>
            <w:tcBorders>
              <w:top w:val="single" w:sz="4" w:space="0" w:color="auto"/>
              <w:bottom w:val="single" w:sz="4" w:space="0" w:color="auto"/>
            </w:tcBorders>
            <w:vAlign w:val="center"/>
          </w:tcPr>
          <w:p w14:paraId="600BB378" w14:textId="77777777" w:rsidR="00897705" w:rsidRDefault="00897705">
            <w:pPr>
              <w:spacing w:line="240" w:lineRule="auto"/>
              <w:jc w:val="center"/>
              <w:rPr>
                <w:rFonts w:cs="Times New Roman"/>
              </w:rPr>
            </w:pPr>
          </w:p>
        </w:tc>
        <w:tc>
          <w:tcPr>
            <w:tcW w:w="4350" w:type="dxa"/>
            <w:tcBorders>
              <w:top w:val="single" w:sz="4" w:space="0" w:color="auto"/>
              <w:bottom w:val="single" w:sz="4" w:space="0" w:color="auto"/>
            </w:tcBorders>
            <w:vAlign w:val="center"/>
          </w:tcPr>
          <w:p w14:paraId="3BF0EFEA" w14:textId="77777777" w:rsidR="00897705" w:rsidRDefault="00000000">
            <w:pPr>
              <w:spacing w:line="240" w:lineRule="auto"/>
              <w:jc w:val="center"/>
              <w:rPr>
                <w:rFonts w:cs="Times New Roman"/>
              </w:rPr>
            </w:pPr>
            <w:r>
              <w:rPr>
                <w:rFonts w:ascii="Cambria Math" w:hAnsi="Cambria Math" w:cs="Cambria Math"/>
              </w:rPr>
              <w:t>Price</w:t>
            </w:r>
          </w:p>
        </w:tc>
      </w:tr>
      <w:tr w:rsidR="00897705" w14:paraId="6163AA42" w14:textId="77777777">
        <w:tc>
          <w:tcPr>
            <w:tcW w:w="1328" w:type="dxa"/>
            <w:tcBorders>
              <w:top w:val="single" w:sz="4" w:space="0" w:color="auto"/>
            </w:tcBorders>
            <w:vAlign w:val="center"/>
          </w:tcPr>
          <w:p w14:paraId="5A041E99" w14:textId="77777777" w:rsidR="00897705" w:rsidRDefault="00000000">
            <w:pPr>
              <w:spacing w:line="240" w:lineRule="auto"/>
              <w:jc w:val="center"/>
              <w:rPr>
                <w:rFonts w:cs="Times New Roman"/>
              </w:rPr>
            </w:pPr>
            <w:r>
              <w:rPr>
                <w:rFonts w:ascii="Cambria Math" w:hAnsi="Cambria Math" w:cs="Cambria Math"/>
              </w:rPr>
              <w:t>Year</w:t>
            </w:r>
            <w:r>
              <w:rPr>
                <w:rFonts w:ascii="Cambria Math" w:hAnsi="Cambria Math" w:cs="Cambria Math"/>
                <w:vertAlign w:val="subscript"/>
              </w:rPr>
              <w:t>2012</w:t>
            </w:r>
          </w:p>
        </w:tc>
        <w:tc>
          <w:tcPr>
            <w:tcW w:w="4350" w:type="dxa"/>
            <w:tcBorders>
              <w:top w:val="single" w:sz="4" w:space="0" w:color="auto"/>
            </w:tcBorders>
            <w:vAlign w:val="center"/>
          </w:tcPr>
          <w:p w14:paraId="6B16B67C" w14:textId="77777777" w:rsidR="00897705" w:rsidRDefault="00000000">
            <w:pPr>
              <w:spacing w:line="240" w:lineRule="auto"/>
              <w:jc w:val="center"/>
              <w:rPr>
                <w:rFonts w:cs="Times New Roman"/>
              </w:rPr>
            </w:pPr>
            <w:r>
              <w:rPr>
                <w:rFonts w:cs="Times New Roman"/>
              </w:rPr>
              <w:t>-0.994</w:t>
            </w:r>
          </w:p>
        </w:tc>
      </w:tr>
      <w:tr w:rsidR="00897705" w14:paraId="416A8D69" w14:textId="77777777">
        <w:tc>
          <w:tcPr>
            <w:tcW w:w="1328" w:type="dxa"/>
            <w:vAlign w:val="center"/>
          </w:tcPr>
          <w:p w14:paraId="47877F84" w14:textId="77777777" w:rsidR="00897705" w:rsidRDefault="00897705">
            <w:pPr>
              <w:spacing w:line="240" w:lineRule="auto"/>
              <w:jc w:val="center"/>
              <w:rPr>
                <w:rFonts w:cs="Times New Roman"/>
              </w:rPr>
            </w:pPr>
          </w:p>
        </w:tc>
        <w:tc>
          <w:tcPr>
            <w:tcW w:w="4350" w:type="dxa"/>
            <w:vAlign w:val="center"/>
          </w:tcPr>
          <w:p w14:paraId="3433C71E" w14:textId="77777777" w:rsidR="00897705" w:rsidRDefault="00000000">
            <w:pPr>
              <w:spacing w:line="240" w:lineRule="auto"/>
              <w:jc w:val="center"/>
              <w:rPr>
                <w:rFonts w:cs="Times New Roman"/>
              </w:rPr>
            </w:pPr>
            <w:r>
              <w:rPr>
                <w:rFonts w:cs="Times New Roman"/>
              </w:rPr>
              <w:t>(1.304)</w:t>
            </w:r>
          </w:p>
        </w:tc>
      </w:tr>
      <w:tr w:rsidR="00897705" w14:paraId="671FB9DD" w14:textId="77777777">
        <w:tc>
          <w:tcPr>
            <w:tcW w:w="1328" w:type="dxa"/>
            <w:vAlign w:val="center"/>
          </w:tcPr>
          <w:p w14:paraId="2FBFC1DF" w14:textId="77777777" w:rsidR="00897705" w:rsidRDefault="00000000">
            <w:pPr>
              <w:spacing w:line="240" w:lineRule="auto"/>
              <w:jc w:val="center"/>
              <w:rPr>
                <w:rFonts w:cs="Times New Roman"/>
              </w:rPr>
            </w:pPr>
            <w:r>
              <w:rPr>
                <w:rFonts w:ascii="Cambria Math" w:hAnsi="Cambria Math" w:cs="Cambria Math"/>
              </w:rPr>
              <w:t>Year</w:t>
            </w:r>
            <w:r>
              <w:rPr>
                <w:rFonts w:ascii="Cambria Math" w:hAnsi="Cambria Math" w:cs="Cambria Math"/>
                <w:vertAlign w:val="subscript"/>
              </w:rPr>
              <w:t>201</w:t>
            </w:r>
            <w:r>
              <w:rPr>
                <w:rFonts w:ascii="Cambria Math" w:hAnsi="Cambria Math" w:cs="Cambria Math" w:hint="eastAsia"/>
                <w:vertAlign w:val="subscript"/>
              </w:rPr>
              <w:t>3</w:t>
            </w:r>
          </w:p>
        </w:tc>
        <w:tc>
          <w:tcPr>
            <w:tcW w:w="4350" w:type="dxa"/>
            <w:vAlign w:val="center"/>
          </w:tcPr>
          <w:p w14:paraId="6A7D61D9" w14:textId="77777777" w:rsidR="00897705" w:rsidRDefault="00000000">
            <w:pPr>
              <w:spacing w:line="240" w:lineRule="auto"/>
              <w:jc w:val="center"/>
              <w:rPr>
                <w:rFonts w:cs="Times New Roman"/>
              </w:rPr>
            </w:pPr>
            <w:r>
              <w:rPr>
                <w:rFonts w:cs="Times New Roman"/>
              </w:rPr>
              <w:t>-2.068</w:t>
            </w:r>
          </w:p>
        </w:tc>
      </w:tr>
      <w:tr w:rsidR="00897705" w14:paraId="1B4FE7AD" w14:textId="77777777">
        <w:tc>
          <w:tcPr>
            <w:tcW w:w="1328" w:type="dxa"/>
            <w:vAlign w:val="center"/>
          </w:tcPr>
          <w:p w14:paraId="472A530A" w14:textId="77777777" w:rsidR="00897705" w:rsidRDefault="00897705">
            <w:pPr>
              <w:spacing w:line="240" w:lineRule="auto"/>
              <w:jc w:val="center"/>
              <w:rPr>
                <w:rFonts w:cs="Times New Roman"/>
              </w:rPr>
            </w:pPr>
          </w:p>
        </w:tc>
        <w:tc>
          <w:tcPr>
            <w:tcW w:w="4350" w:type="dxa"/>
            <w:vAlign w:val="center"/>
          </w:tcPr>
          <w:p w14:paraId="3DC074DC" w14:textId="77777777" w:rsidR="00897705" w:rsidRDefault="00000000">
            <w:pPr>
              <w:spacing w:line="240" w:lineRule="auto"/>
              <w:jc w:val="center"/>
              <w:rPr>
                <w:rFonts w:cs="Times New Roman"/>
              </w:rPr>
            </w:pPr>
            <w:r>
              <w:rPr>
                <w:rFonts w:cs="Times New Roman"/>
              </w:rPr>
              <w:t>(1.304)</w:t>
            </w:r>
          </w:p>
        </w:tc>
      </w:tr>
      <w:tr w:rsidR="00897705" w14:paraId="1E6B7A4B" w14:textId="77777777">
        <w:tc>
          <w:tcPr>
            <w:tcW w:w="1328" w:type="dxa"/>
            <w:vAlign w:val="center"/>
          </w:tcPr>
          <w:p w14:paraId="6377A3D3" w14:textId="77777777" w:rsidR="00897705" w:rsidRDefault="00000000">
            <w:pPr>
              <w:spacing w:line="240" w:lineRule="auto"/>
              <w:jc w:val="center"/>
              <w:rPr>
                <w:rFonts w:cs="Times New Roman"/>
              </w:rPr>
            </w:pPr>
            <w:r>
              <w:rPr>
                <w:rFonts w:ascii="Cambria Math" w:hAnsi="Cambria Math" w:cs="Cambria Math"/>
              </w:rPr>
              <w:t>Year</w:t>
            </w:r>
            <w:r>
              <w:rPr>
                <w:rFonts w:ascii="Cambria Math" w:hAnsi="Cambria Math" w:cs="Cambria Math"/>
                <w:vertAlign w:val="subscript"/>
              </w:rPr>
              <w:t>201</w:t>
            </w:r>
            <w:r>
              <w:rPr>
                <w:rFonts w:ascii="Cambria Math" w:hAnsi="Cambria Math" w:cs="Cambria Math" w:hint="eastAsia"/>
                <w:vertAlign w:val="subscript"/>
              </w:rPr>
              <w:t>4</w:t>
            </w:r>
          </w:p>
        </w:tc>
        <w:tc>
          <w:tcPr>
            <w:tcW w:w="4350" w:type="dxa"/>
            <w:vAlign w:val="center"/>
          </w:tcPr>
          <w:p w14:paraId="7FD4B688" w14:textId="77777777" w:rsidR="00897705" w:rsidRDefault="00000000">
            <w:pPr>
              <w:spacing w:line="240" w:lineRule="auto"/>
              <w:jc w:val="center"/>
              <w:rPr>
                <w:rFonts w:cs="Times New Roman"/>
              </w:rPr>
            </w:pPr>
            <w:r>
              <w:rPr>
                <w:rFonts w:cs="Times New Roman"/>
              </w:rPr>
              <w:t>-2.512</w:t>
            </w:r>
            <w:r>
              <w:rPr>
                <w:rFonts w:cs="Times New Roman"/>
                <w:vertAlign w:val="superscript"/>
              </w:rPr>
              <w:t>*</w:t>
            </w:r>
          </w:p>
        </w:tc>
      </w:tr>
      <w:tr w:rsidR="00897705" w14:paraId="7D625B3F" w14:textId="77777777">
        <w:tc>
          <w:tcPr>
            <w:tcW w:w="1328" w:type="dxa"/>
            <w:vAlign w:val="center"/>
          </w:tcPr>
          <w:p w14:paraId="1C3F3E87" w14:textId="77777777" w:rsidR="00897705" w:rsidRDefault="00897705">
            <w:pPr>
              <w:spacing w:line="240" w:lineRule="auto"/>
              <w:jc w:val="center"/>
              <w:rPr>
                <w:rFonts w:cs="Times New Roman"/>
              </w:rPr>
            </w:pPr>
          </w:p>
        </w:tc>
        <w:tc>
          <w:tcPr>
            <w:tcW w:w="4350" w:type="dxa"/>
            <w:vAlign w:val="center"/>
          </w:tcPr>
          <w:p w14:paraId="414E8C1F" w14:textId="77777777" w:rsidR="00897705" w:rsidRDefault="00000000">
            <w:pPr>
              <w:spacing w:line="240" w:lineRule="auto"/>
              <w:jc w:val="center"/>
              <w:rPr>
                <w:rFonts w:cs="Times New Roman"/>
              </w:rPr>
            </w:pPr>
            <w:r>
              <w:rPr>
                <w:rFonts w:cs="Times New Roman"/>
              </w:rPr>
              <w:t>(1.304)</w:t>
            </w:r>
          </w:p>
        </w:tc>
      </w:tr>
      <w:tr w:rsidR="00897705" w14:paraId="754BF383" w14:textId="77777777">
        <w:tc>
          <w:tcPr>
            <w:tcW w:w="1328" w:type="dxa"/>
            <w:vAlign w:val="center"/>
          </w:tcPr>
          <w:p w14:paraId="415385DC" w14:textId="77777777" w:rsidR="00897705" w:rsidRDefault="00000000">
            <w:pPr>
              <w:spacing w:line="240" w:lineRule="auto"/>
              <w:jc w:val="center"/>
              <w:rPr>
                <w:rFonts w:cs="Times New Roman"/>
              </w:rPr>
            </w:pPr>
            <w:r>
              <w:rPr>
                <w:rFonts w:ascii="Cambria Math" w:hAnsi="Cambria Math" w:cs="Cambria Math"/>
              </w:rPr>
              <w:t>Year</w:t>
            </w:r>
            <w:r>
              <w:rPr>
                <w:rFonts w:ascii="Cambria Math" w:hAnsi="Cambria Math" w:cs="Cambria Math"/>
                <w:vertAlign w:val="subscript"/>
              </w:rPr>
              <w:t>201</w:t>
            </w:r>
            <w:r>
              <w:rPr>
                <w:rFonts w:ascii="Cambria Math" w:hAnsi="Cambria Math" w:cs="Cambria Math" w:hint="eastAsia"/>
                <w:vertAlign w:val="subscript"/>
              </w:rPr>
              <w:t>5</w:t>
            </w:r>
          </w:p>
        </w:tc>
        <w:tc>
          <w:tcPr>
            <w:tcW w:w="4350" w:type="dxa"/>
            <w:vAlign w:val="center"/>
          </w:tcPr>
          <w:p w14:paraId="3C431A12" w14:textId="77777777" w:rsidR="00897705" w:rsidRDefault="00000000">
            <w:pPr>
              <w:spacing w:line="240" w:lineRule="auto"/>
              <w:jc w:val="center"/>
              <w:rPr>
                <w:rFonts w:cs="Times New Roman"/>
              </w:rPr>
            </w:pPr>
            <w:r>
              <w:rPr>
                <w:rFonts w:cs="Times New Roman"/>
              </w:rPr>
              <w:t>-3.326</w:t>
            </w:r>
            <w:r>
              <w:rPr>
                <w:rFonts w:cs="Times New Roman"/>
                <w:vertAlign w:val="superscript"/>
              </w:rPr>
              <w:t>**</w:t>
            </w:r>
          </w:p>
        </w:tc>
      </w:tr>
      <w:tr w:rsidR="00897705" w14:paraId="57216E0A" w14:textId="77777777">
        <w:tc>
          <w:tcPr>
            <w:tcW w:w="1328" w:type="dxa"/>
            <w:vAlign w:val="center"/>
          </w:tcPr>
          <w:p w14:paraId="7DC9D3A9" w14:textId="77777777" w:rsidR="00897705" w:rsidRDefault="00897705">
            <w:pPr>
              <w:spacing w:line="240" w:lineRule="auto"/>
              <w:jc w:val="center"/>
              <w:rPr>
                <w:rFonts w:cs="Times New Roman"/>
              </w:rPr>
            </w:pPr>
          </w:p>
        </w:tc>
        <w:tc>
          <w:tcPr>
            <w:tcW w:w="4350" w:type="dxa"/>
            <w:vAlign w:val="center"/>
          </w:tcPr>
          <w:p w14:paraId="42C9E9F7" w14:textId="77777777" w:rsidR="00897705" w:rsidRDefault="00000000">
            <w:pPr>
              <w:spacing w:line="240" w:lineRule="auto"/>
              <w:jc w:val="center"/>
              <w:rPr>
                <w:rFonts w:cs="Times New Roman"/>
              </w:rPr>
            </w:pPr>
            <w:r>
              <w:rPr>
                <w:rFonts w:cs="Times New Roman"/>
              </w:rPr>
              <w:t>(1.304)</w:t>
            </w:r>
          </w:p>
        </w:tc>
      </w:tr>
      <w:tr w:rsidR="00897705" w14:paraId="267F00E5" w14:textId="77777777">
        <w:tc>
          <w:tcPr>
            <w:tcW w:w="1328" w:type="dxa"/>
            <w:vAlign w:val="center"/>
          </w:tcPr>
          <w:p w14:paraId="38875026" w14:textId="77777777" w:rsidR="00897705" w:rsidRDefault="00000000">
            <w:pPr>
              <w:spacing w:line="240" w:lineRule="auto"/>
              <w:jc w:val="center"/>
              <w:rPr>
                <w:rFonts w:cs="Times New Roman"/>
              </w:rPr>
            </w:pPr>
            <w:r>
              <w:rPr>
                <w:rFonts w:ascii="Cambria Math" w:hAnsi="Cambria Math" w:cs="Cambria Math"/>
              </w:rPr>
              <w:t>Year</w:t>
            </w:r>
            <w:r>
              <w:rPr>
                <w:rFonts w:ascii="Cambria Math" w:hAnsi="Cambria Math" w:cs="Cambria Math"/>
                <w:vertAlign w:val="subscript"/>
              </w:rPr>
              <w:t>201</w:t>
            </w:r>
            <w:r>
              <w:rPr>
                <w:rFonts w:ascii="Cambria Math" w:hAnsi="Cambria Math" w:cs="Cambria Math" w:hint="eastAsia"/>
                <w:vertAlign w:val="subscript"/>
              </w:rPr>
              <w:t>6</w:t>
            </w:r>
          </w:p>
        </w:tc>
        <w:tc>
          <w:tcPr>
            <w:tcW w:w="4350" w:type="dxa"/>
            <w:vAlign w:val="center"/>
          </w:tcPr>
          <w:p w14:paraId="3A1A8577" w14:textId="77777777" w:rsidR="00897705" w:rsidRDefault="00000000">
            <w:pPr>
              <w:spacing w:line="240" w:lineRule="auto"/>
              <w:jc w:val="center"/>
              <w:rPr>
                <w:rFonts w:cs="Times New Roman"/>
              </w:rPr>
            </w:pPr>
            <w:r>
              <w:rPr>
                <w:rFonts w:cs="Times New Roman"/>
              </w:rPr>
              <w:t>-3.589</w:t>
            </w:r>
            <w:r>
              <w:rPr>
                <w:rFonts w:cs="Times New Roman"/>
                <w:vertAlign w:val="superscript"/>
              </w:rPr>
              <w:t>***</w:t>
            </w:r>
          </w:p>
        </w:tc>
      </w:tr>
      <w:tr w:rsidR="00897705" w14:paraId="59D3BE2E" w14:textId="77777777">
        <w:tc>
          <w:tcPr>
            <w:tcW w:w="1328" w:type="dxa"/>
            <w:vAlign w:val="center"/>
          </w:tcPr>
          <w:p w14:paraId="715222C9" w14:textId="77777777" w:rsidR="00897705" w:rsidRDefault="00897705">
            <w:pPr>
              <w:spacing w:line="240" w:lineRule="auto"/>
              <w:jc w:val="center"/>
              <w:rPr>
                <w:rFonts w:cs="Times New Roman"/>
              </w:rPr>
            </w:pPr>
          </w:p>
        </w:tc>
        <w:tc>
          <w:tcPr>
            <w:tcW w:w="4350" w:type="dxa"/>
            <w:vAlign w:val="center"/>
          </w:tcPr>
          <w:p w14:paraId="770D71CD" w14:textId="77777777" w:rsidR="00897705" w:rsidRDefault="00000000">
            <w:pPr>
              <w:spacing w:line="240" w:lineRule="auto"/>
              <w:jc w:val="center"/>
              <w:rPr>
                <w:rFonts w:cs="Times New Roman"/>
              </w:rPr>
            </w:pPr>
            <w:r>
              <w:rPr>
                <w:rFonts w:cs="Times New Roman"/>
              </w:rPr>
              <w:t>(1.304)</w:t>
            </w:r>
          </w:p>
        </w:tc>
      </w:tr>
      <w:tr w:rsidR="00897705" w14:paraId="37CD5598" w14:textId="77777777">
        <w:tc>
          <w:tcPr>
            <w:tcW w:w="1328" w:type="dxa"/>
            <w:vAlign w:val="center"/>
          </w:tcPr>
          <w:p w14:paraId="2B33DC87" w14:textId="77777777" w:rsidR="00897705" w:rsidRDefault="00000000">
            <w:pPr>
              <w:spacing w:line="240" w:lineRule="auto"/>
              <w:jc w:val="center"/>
              <w:rPr>
                <w:rFonts w:cs="Times New Roman"/>
              </w:rPr>
            </w:pPr>
            <w:r>
              <w:rPr>
                <w:rFonts w:ascii="Cambria Math" w:hAnsi="Cambria Math" w:cs="Cambria Math"/>
              </w:rPr>
              <w:t>Year</w:t>
            </w:r>
            <w:r>
              <w:rPr>
                <w:rFonts w:ascii="Cambria Math" w:hAnsi="Cambria Math" w:cs="Cambria Math"/>
                <w:vertAlign w:val="subscript"/>
              </w:rPr>
              <w:t>201</w:t>
            </w:r>
            <w:r>
              <w:rPr>
                <w:rFonts w:ascii="Cambria Math" w:hAnsi="Cambria Math" w:cs="Cambria Math" w:hint="eastAsia"/>
                <w:vertAlign w:val="subscript"/>
              </w:rPr>
              <w:t>7</w:t>
            </w:r>
          </w:p>
        </w:tc>
        <w:tc>
          <w:tcPr>
            <w:tcW w:w="4350" w:type="dxa"/>
            <w:vAlign w:val="center"/>
          </w:tcPr>
          <w:p w14:paraId="7F9FFD82" w14:textId="77777777" w:rsidR="00897705" w:rsidRDefault="00000000">
            <w:pPr>
              <w:spacing w:line="240" w:lineRule="auto"/>
              <w:jc w:val="center"/>
              <w:rPr>
                <w:rFonts w:cs="Times New Roman"/>
              </w:rPr>
            </w:pPr>
            <w:r>
              <w:rPr>
                <w:rFonts w:cs="Times New Roman"/>
              </w:rPr>
              <w:t>-4.072</w:t>
            </w:r>
            <w:r>
              <w:rPr>
                <w:rFonts w:cs="Times New Roman"/>
                <w:vertAlign w:val="superscript"/>
              </w:rPr>
              <w:t>***</w:t>
            </w:r>
          </w:p>
        </w:tc>
      </w:tr>
      <w:tr w:rsidR="00897705" w14:paraId="3390837E" w14:textId="77777777">
        <w:tc>
          <w:tcPr>
            <w:tcW w:w="1328" w:type="dxa"/>
            <w:vAlign w:val="center"/>
          </w:tcPr>
          <w:p w14:paraId="5B597B50" w14:textId="77777777" w:rsidR="00897705" w:rsidRDefault="00897705">
            <w:pPr>
              <w:spacing w:line="240" w:lineRule="auto"/>
              <w:jc w:val="center"/>
              <w:rPr>
                <w:rFonts w:cs="Times New Roman"/>
              </w:rPr>
            </w:pPr>
          </w:p>
        </w:tc>
        <w:tc>
          <w:tcPr>
            <w:tcW w:w="4350" w:type="dxa"/>
            <w:vAlign w:val="center"/>
          </w:tcPr>
          <w:p w14:paraId="12DC96C3" w14:textId="77777777" w:rsidR="00897705" w:rsidRDefault="00000000">
            <w:pPr>
              <w:spacing w:line="240" w:lineRule="auto"/>
              <w:jc w:val="center"/>
              <w:rPr>
                <w:rFonts w:cs="Times New Roman"/>
              </w:rPr>
            </w:pPr>
            <w:r>
              <w:rPr>
                <w:rFonts w:cs="Times New Roman"/>
              </w:rPr>
              <w:t>(1.304)</w:t>
            </w:r>
          </w:p>
        </w:tc>
      </w:tr>
      <w:tr w:rsidR="00897705" w14:paraId="6BFADB4F" w14:textId="77777777">
        <w:tc>
          <w:tcPr>
            <w:tcW w:w="1328" w:type="dxa"/>
            <w:vAlign w:val="center"/>
          </w:tcPr>
          <w:p w14:paraId="4A114BA5" w14:textId="77777777" w:rsidR="00897705" w:rsidRDefault="00000000">
            <w:pPr>
              <w:spacing w:line="240" w:lineRule="auto"/>
              <w:jc w:val="center"/>
              <w:rPr>
                <w:rFonts w:cs="Times New Roman"/>
              </w:rPr>
            </w:pPr>
            <w:r>
              <w:rPr>
                <w:rFonts w:ascii="Cambria Math" w:hAnsi="Cambria Math" w:cs="Cambria Math"/>
              </w:rPr>
              <w:t>Year</w:t>
            </w:r>
            <w:r>
              <w:rPr>
                <w:rFonts w:ascii="Cambria Math" w:hAnsi="Cambria Math" w:cs="Cambria Math"/>
                <w:vertAlign w:val="subscript"/>
              </w:rPr>
              <w:t>201</w:t>
            </w:r>
            <w:r>
              <w:rPr>
                <w:rFonts w:ascii="Cambria Math" w:hAnsi="Cambria Math" w:cs="Cambria Math" w:hint="eastAsia"/>
                <w:vertAlign w:val="subscript"/>
              </w:rPr>
              <w:t>8</w:t>
            </w:r>
          </w:p>
        </w:tc>
        <w:tc>
          <w:tcPr>
            <w:tcW w:w="4350" w:type="dxa"/>
            <w:vAlign w:val="center"/>
          </w:tcPr>
          <w:p w14:paraId="148FCEBD" w14:textId="77777777" w:rsidR="00897705" w:rsidRDefault="00000000">
            <w:pPr>
              <w:spacing w:line="240" w:lineRule="auto"/>
              <w:jc w:val="center"/>
              <w:rPr>
                <w:rFonts w:cs="Times New Roman"/>
              </w:rPr>
            </w:pPr>
            <w:r>
              <w:rPr>
                <w:rFonts w:cs="Times New Roman"/>
              </w:rPr>
              <w:t>-3.507</w:t>
            </w:r>
            <w:r>
              <w:rPr>
                <w:rFonts w:cs="Times New Roman"/>
                <w:vertAlign w:val="superscript"/>
              </w:rPr>
              <w:t>***</w:t>
            </w:r>
          </w:p>
        </w:tc>
      </w:tr>
      <w:tr w:rsidR="00897705" w14:paraId="5EA34DEC" w14:textId="77777777">
        <w:tc>
          <w:tcPr>
            <w:tcW w:w="1328" w:type="dxa"/>
            <w:vAlign w:val="center"/>
          </w:tcPr>
          <w:p w14:paraId="11BC5DD0" w14:textId="77777777" w:rsidR="00897705" w:rsidRDefault="00897705">
            <w:pPr>
              <w:spacing w:line="240" w:lineRule="auto"/>
              <w:jc w:val="center"/>
              <w:rPr>
                <w:rFonts w:cs="Times New Roman"/>
              </w:rPr>
            </w:pPr>
          </w:p>
        </w:tc>
        <w:tc>
          <w:tcPr>
            <w:tcW w:w="4350" w:type="dxa"/>
            <w:vAlign w:val="center"/>
          </w:tcPr>
          <w:p w14:paraId="0267AEA3" w14:textId="77777777" w:rsidR="00897705" w:rsidRDefault="00000000">
            <w:pPr>
              <w:spacing w:line="240" w:lineRule="auto"/>
              <w:jc w:val="center"/>
              <w:rPr>
                <w:rFonts w:cs="Times New Roman"/>
              </w:rPr>
            </w:pPr>
            <w:r>
              <w:rPr>
                <w:rFonts w:cs="Times New Roman"/>
              </w:rPr>
              <w:t>(1.304)</w:t>
            </w:r>
          </w:p>
        </w:tc>
      </w:tr>
      <w:tr w:rsidR="00897705" w14:paraId="0C8D05A2" w14:textId="77777777">
        <w:tc>
          <w:tcPr>
            <w:tcW w:w="1328" w:type="dxa"/>
            <w:vAlign w:val="center"/>
          </w:tcPr>
          <w:p w14:paraId="39F1451B" w14:textId="77777777" w:rsidR="00897705" w:rsidRDefault="00000000">
            <w:pPr>
              <w:spacing w:line="240" w:lineRule="auto"/>
              <w:jc w:val="center"/>
              <w:rPr>
                <w:rFonts w:cs="Times New Roman"/>
              </w:rPr>
            </w:pPr>
            <w:r>
              <w:rPr>
                <w:rFonts w:ascii="Cambria Math" w:hAnsi="Cambria Math" w:cs="Cambria Math"/>
              </w:rPr>
              <w:t>Year</w:t>
            </w:r>
            <w:r>
              <w:rPr>
                <w:rFonts w:ascii="Cambria Math" w:hAnsi="Cambria Math" w:cs="Cambria Math"/>
                <w:vertAlign w:val="subscript"/>
              </w:rPr>
              <w:t>201</w:t>
            </w:r>
            <w:r>
              <w:rPr>
                <w:rFonts w:ascii="Cambria Math" w:hAnsi="Cambria Math" w:cs="Cambria Math" w:hint="eastAsia"/>
                <w:vertAlign w:val="subscript"/>
              </w:rPr>
              <w:t>9</w:t>
            </w:r>
          </w:p>
        </w:tc>
        <w:tc>
          <w:tcPr>
            <w:tcW w:w="4350" w:type="dxa"/>
            <w:vAlign w:val="center"/>
          </w:tcPr>
          <w:p w14:paraId="77F4FCA4" w14:textId="77777777" w:rsidR="00897705" w:rsidRDefault="00000000">
            <w:pPr>
              <w:spacing w:line="240" w:lineRule="auto"/>
              <w:jc w:val="center"/>
              <w:rPr>
                <w:rFonts w:cs="Times New Roman"/>
              </w:rPr>
            </w:pPr>
            <w:r>
              <w:rPr>
                <w:rFonts w:cs="Times New Roman"/>
              </w:rPr>
              <w:t>-4.002</w:t>
            </w:r>
            <w:r>
              <w:rPr>
                <w:rFonts w:cs="Times New Roman"/>
                <w:vertAlign w:val="superscript"/>
              </w:rPr>
              <w:t>***</w:t>
            </w:r>
          </w:p>
        </w:tc>
      </w:tr>
      <w:tr w:rsidR="00897705" w14:paraId="451E9786" w14:textId="77777777">
        <w:tc>
          <w:tcPr>
            <w:tcW w:w="1328" w:type="dxa"/>
            <w:vAlign w:val="center"/>
          </w:tcPr>
          <w:p w14:paraId="191DDA9E" w14:textId="77777777" w:rsidR="00897705" w:rsidRDefault="00897705">
            <w:pPr>
              <w:spacing w:line="240" w:lineRule="auto"/>
              <w:jc w:val="center"/>
              <w:rPr>
                <w:rFonts w:cs="Times New Roman"/>
              </w:rPr>
            </w:pPr>
          </w:p>
        </w:tc>
        <w:tc>
          <w:tcPr>
            <w:tcW w:w="4350" w:type="dxa"/>
            <w:vAlign w:val="center"/>
          </w:tcPr>
          <w:p w14:paraId="29588CCF" w14:textId="77777777" w:rsidR="00897705" w:rsidRDefault="00000000">
            <w:pPr>
              <w:spacing w:line="240" w:lineRule="auto"/>
              <w:jc w:val="center"/>
              <w:rPr>
                <w:rFonts w:cs="Times New Roman"/>
              </w:rPr>
            </w:pPr>
            <w:r>
              <w:rPr>
                <w:rFonts w:cs="Times New Roman"/>
              </w:rPr>
              <w:t>(1.304)</w:t>
            </w:r>
          </w:p>
        </w:tc>
      </w:tr>
      <w:tr w:rsidR="00897705" w14:paraId="37D832AF" w14:textId="77777777">
        <w:tc>
          <w:tcPr>
            <w:tcW w:w="1328" w:type="dxa"/>
            <w:vAlign w:val="center"/>
          </w:tcPr>
          <w:p w14:paraId="41A7BD9B" w14:textId="77777777" w:rsidR="00897705" w:rsidRDefault="00000000">
            <w:pPr>
              <w:spacing w:line="240" w:lineRule="auto"/>
              <w:jc w:val="center"/>
              <w:rPr>
                <w:rFonts w:cs="Times New Roman"/>
              </w:rPr>
            </w:pPr>
            <w:r>
              <w:rPr>
                <w:rFonts w:ascii="Cambria Math" w:hAnsi="Cambria Math" w:cs="Cambria Math"/>
              </w:rPr>
              <w:t>Year</w:t>
            </w:r>
            <w:r>
              <w:rPr>
                <w:rFonts w:ascii="Cambria Math" w:hAnsi="Cambria Math" w:cs="Cambria Math"/>
                <w:vertAlign w:val="subscript"/>
              </w:rPr>
              <w:t>20</w:t>
            </w:r>
            <w:r>
              <w:rPr>
                <w:rFonts w:ascii="Cambria Math" w:hAnsi="Cambria Math" w:cs="Cambria Math" w:hint="eastAsia"/>
                <w:vertAlign w:val="subscript"/>
              </w:rPr>
              <w:t>20</w:t>
            </w:r>
          </w:p>
        </w:tc>
        <w:tc>
          <w:tcPr>
            <w:tcW w:w="4350" w:type="dxa"/>
            <w:vAlign w:val="center"/>
          </w:tcPr>
          <w:p w14:paraId="5B21B98D" w14:textId="77777777" w:rsidR="00897705" w:rsidRDefault="00000000">
            <w:pPr>
              <w:spacing w:line="240" w:lineRule="auto"/>
              <w:jc w:val="center"/>
              <w:rPr>
                <w:rFonts w:cs="Times New Roman"/>
              </w:rPr>
            </w:pPr>
            <w:r>
              <w:rPr>
                <w:rFonts w:cs="Times New Roman"/>
              </w:rPr>
              <w:t>-3.749</w:t>
            </w:r>
            <w:r>
              <w:rPr>
                <w:rFonts w:cs="Times New Roman"/>
                <w:vertAlign w:val="superscript"/>
              </w:rPr>
              <w:t>***</w:t>
            </w:r>
          </w:p>
        </w:tc>
      </w:tr>
      <w:tr w:rsidR="00897705" w14:paraId="2391A303" w14:textId="77777777">
        <w:tc>
          <w:tcPr>
            <w:tcW w:w="1328" w:type="dxa"/>
            <w:tcBorders>
              <w:bottom w:val="single" w:sz="4" w:space="0" w:color="auto"/>
            </w:tcBorders>
            <w:vAlign w:val="center"/>
          </w:tcPr>
          <w:p w14:paraId="7C1D42F4" w14:textId="77777777" w:rsidR="00897705" w:rsidRDefault="00897705">
            <w:pPr>
              <w:spacing w:line="240" w:lineRule="auto"/>
              <w:jc w:val="center"/>
              <w:rPr>
                <w:rFonts w:cs="Times New Roman"/>
              </w:rPr>
            </w:pPr>
          </w:p>
        </w:tc>
        <w:tc>
          <w:tcPr>
            <w:tcW w:w="4350" w:type="dxa"/>
            <w:tcBorders>
              <w:bottom w:val="single" w:sz="4" w:space="0" w:color="auto"/>
            </w:tcBorders>
            <w:vAlign w:val="center"/>
          </w:tcPr>
          <w:p w14:paraId="099E939D" w14:textId="77777777" w:rsidR="00897705" w:rsidRDefault="00000000">
            <w:pPr>
              <w:spacing w:line="240" w:lineRule="auto"/>
              <w:jc w:val="center"/>
              <w:rPr>
                <w:rFonts w:cs="Times New Roman"/>
              </w:rPr>
            </w:pPr>
            <w:r>
              <w:rPr>
                <w:rFonts w:cs="Times New Roman"/>
              </w:rPr>
              <w:t>(1.304)</w:t>
            </w:r>
          </w:p>
        </w:tc>
      </w:tr>
      <w:tr w:rsidR="00897705" w14:paraId="5322FF37" w14:textId="77777777">
        <w:tc>
          <w:tcPr>
            <w:tcW w:w="1328" w:type="dxa"/>
            <w:tcBorders>
              <w:top w:val="single" w:sz="4" w:space="0" w:color="auto"/>
            </w:tcBorders>
            <w:vAlign w:val="center"/>
          </w:tcPr>
          <w:p w14:paraId="25276DAD" w14:textId="77777777" w:rsidR="00897705" w:rsidRDefault="00000000">
            <w:pPr>
              <w:spacing w:line="240" w:lineRule="auto"/>
              <w:jc w:val="center"/>
              <w:rPr>
                <w:rFonts w:cs="Times New Roman"/>
              </w:rPr>
            </w:pPr>
            <w:r>
              <w:rPr>
                <w:rFonts w:cs="Times New Roman" w:hint="eastAsia"/>
              </w:rPr>
              <w:t>Observations</w:t>
            </w:r>
          </w:p>
        </w:tc>
        <w:tc>
          <w:tcPr>
            <w:tcW w:w="4350" w:type="dxa"/>
            <w:tcBorders>
              <w:top w:val="single" w:sz="4" w:space="0" w:color="auto"/>
            </w:tcBorders>
            <w:vAlign w:val="center"/>
          </w:tcPr>
          <w:p w14:paraId="74A7598A" w14:textId="77777777" w:rsidR="00897705" w:rsidRDefault="00000000">
            <w:pPr>
              <w:spacing w:line="240" w:lineRule="auto"/>
              <w:jc w:val="center"/>
              <w:rPr>
                <w:rFonts w:cs="Times New Roman"/>
              </w:rPr>
            </w:pPr>
            <w:r>
              <w:rPr>
                <w:rFonts w:cs="Times New Roman"/>
              </w:rPr>
              <w:t>80</w:t>
            </w:r>
          </w:p>
        </w:tc>
      </w:tr>
      <w:tr w:rsidR="00897705" w14:paraId="62F44121" w14:textId="77777777">
        <w:tc>
          <w:tcPr>
            <w:tcW w:w="1328" w:type="dxa"/>
            <w:vAlign w:val="center"/>
          </w:tcPr>
          <w:p w14:paraId="00A5B308" w14:textId="77777777" w:rsidR="00897705" w:rsidRDefault="00000000">
            <w:pPr>
              <w:spacing w:line="240" w:lineRule="auto"/>
              <w:jc w:val="center"/>
              <w:rPr>
                <w:rFonts w:cs="Times New Roman"/>
              </w:rPr>
            </w:pPr>
            <w:r>
              <w:rPr>
                <w:rFonts w:cs="Times New Roman"/>
              </w:rPr>
              <w:t>R</w:t>
            </w:r>
            <w:r>
              <w:rPr>
                <w:rFonts w:cs="Times New Roman"/>
                <w:vertAlign w:val="superscript"/>
              </w:rPr>
              <w:t>2</w:t>
            </w:r>
          </w:p>
        </w:tc>
        <w:tc>
          <w:tcPr>
            <w:tcW w:w="4350" w:type="dxa"/>
            <w:vAlign w:val="center"/>
          </w:tcPr>
          <w:p w14:paraId="6FD1E968" w14:textId="77777777" w:rsidR="00897705" w:rsidRDefault="00000000">
            <w:pPr>
              <w:spacing w:line="240" w:lineRule="auto"/>
              <w:jc w:val="center"/>
              <w:rPr>
                <w:rFonts w:cs="Times New Roman"/>
              </w:rPr>
            </w:pPr>
            <w:r>
              <w:rPr>
                <w:rFonts w:cs="Times New Roman"/>
              </w:rPr>
              <w:t>0.999</w:t>
            </w:r>
          </w:p>
        </w:tc>
      </w:tr>
      <w:tr w:rsidR="00897705" w14:paraId="53CF1033" w14:textId="77777777">
        <w:tc>
          <w:tcPr>
            <w:tcW w:w="1328" w:type="dxa"/>
            <w:vAlign w:val="center"/>
          </w:tcPr>
          <w:p w14:paraId="4F73683A" w14:textId="77777777" w:rsidR="00897705" w:rsidRDefault="00000000">
            <w:pPr>
              <w:spacing w:line="240" w:lineRule="auto"/>
              <w:jc w:val="center"/>
              <w:rPr>
                <w:rFonts w:cs="Times New Roman"/>
              </w:rPr>
            </w:pPr>
            <w:r>
              <w:rPr>
                <w:rFonts w:cs="Times New Roman"/>
              </w:rPr>
              <w:t>Residual Std. Error</w:t>
            </w:r>
          </w:p>
        </w:tc>
        <w:tc>
          <w:tcPr>
            <w:tcW w:w="4350" w:type="dxa"/>
            <w:vAlign w:val="center"/>
          </w:tcPr>
          <w:p w14:paraId="19725FBA" w14:textId="77777777" w:rsidR="00897705" w:rsidRDefault="00000000">
            <w:pPr>
              <w:spacing w:line="240" w:lineRule="auto"/>
              <w:jc w:val="center"/>
              <w:rPr>
                <w:rFonts w:cs="Times New Roman"/>
              </w:rPr>
            </w:pPr>
            <w:r>
              <w:rPr>
                <w:rFonts w:cs="Times New Roman"/>
              </w:rPr>
              <w:t>2.609 (</w:t>
            </w:r>
            <w:proofErr w:type="spellStart"/>
            <w:r>
              <w:rPr>
                <w:rFonts w:cs="Times New Roman"/>
              </w:rPr>
              <w:t>df</w:t>
            </w:r>
            <w:proofErr w:type="spellEnd"/>
            <w:r>
              <w:rPr>
                <w:rFonts w:cs="Times New Roman"/>
              </w:rPr>
              <w:t xml:space="preserve"> = 63)</w:t>
            </w:r>
          </w:p>
        </w:tc>
      </w:tr>
      <w:tr w:rsidR="00897705" w14:paraId="7D159A04" w14:textId="77777777">
        <w:tc>
          <w:tcPr>
            <w:tcW w:w="1328" w:type="dxa"/>
            <w:tcBorders>
              <w:bottom w:val="single" w:sz="4" w:space="0" w:color="auto"/>
            </w:tcBorders>
            <w:vAlign w:val="center"/>
          </w:tcPr>
          <w:p w14:paraId="49AD661E" w14:textId="77777777" w:rsidR="00897705" w:rsidRDefault="00000000">
            <w:pPr>
              <w:spacing w:line="240" w:lineRule="auto"/>
              <w:jc w:val="center"/>
              <w:rPr>
                <w:rFonts w:cs="Times New Roman"/>
              </w:rPr>
            </w:pPr>
            <w:r>
              <w:rPr>
                <w:rFonts w:cs="Times New Roman"/>
              </w:rPr>
              <w:t>F Statistic</w:t>
            </w:r>
          </w:p>
        </w:tc>
        <w:tc>
          <w:tcPr>
            <w:tcW w:w="4350" w:type="dxa"/>
            <w:tcBorders>
              <w:bottom w:val="single" w:sz="4" w:space="0" w:color="auto"/>
            </w:tcBorders>
            <w:vAlign w:val="center"/>
          </w:tcPr>
          <w:p w14:paraId="1C3374D4" w14:textId="77777777" w:rsidR="00897705" w:rsidRDefault="00000000">
            <w:pPr>
              <w:spacing w:line="240" w:lineRule="auto"/>
              <w:jc w:val="center"/>
              <w:rPr>
                <w:rFonts w:cs="Times New Roman"/>
              </w:rPr>
            </w:pPr>
            <w:r>
              <w:rPr>
                <w:rFonts w:cs="Times New Roman"/>
              </w:rPr>
              <w:t>4,635.894</w:t>
            </w:r>
            <w:r>
              <w:rPr>
                <w:rFonts w:cs="Times New Roman"/>
                <w:vertAlign w:val="superscript"/>
              </w:rPr>
              <w:t>***</w:t>
            </w:r>
            <w:r>
              <w:rPr>
                <w:rFonts w:cs="Times New Roman"/>
              </w:rPr>
              <w:t xml:space="preserve"> (</w:t>
            </w:r>
            <w:proofErr w:type="spellStart"/>
            <w:r>
              <w:rPr>
                <w:rFonts w:cs="Times New Roman"/>
              </w:rPr>
              <w:t>df</w:t>
            </w:r>
            <w:proofErr w:type="spellEnd"/>
            <w:r>
              <w:rPr>
                <w:rFonts w:cs="Times New Roman"/>
              </w:rPr>
              <w:t xml:space="preserve"> = 16; 63)</w:t>
            </w:r>
          </w:p>
        </w:tc>
      </w:tr>
      <w:tr w:rsidR="00897705" w14:paraId="20E2433E" w14:textId="77777777">
        <w:tc>
          <w:tcPr>
            <w:tcW w:w="1328" w:type="dxa"/>
            <w:tcBorders>
              <w:top w:val="single" w:sz="4" w:space="0" w:color="auto"/>
              <w:bottom w:val="single" w:sz="4" w:space="0" w:color="auto"/>
            </w:tcBorders>
            <w:vAlign w:val="center"/>
          </w:tcPr>
          <w:p w14:paraId="40C283B7" w14:textId="77777777" w:rsidR="00897705" w:rsidRDefault="00000000">
            <w:pPr>
              <w:spacing w:line="240" w:lineRule="auto"/>
              <w:jc w:val="center"/>
              <w:rPr>
                <w:rFonts w:cs="Times New Roman"/>
              </w:rPr>
            </w:pPr>
            <w:r>
              <w:rPr>
                <w:rStyle w:val="15"/>
                <w:rFonts w:cs="Times New Roman"/>
              </w:rPr>
              <w:t>Note:</w:t>
            </w:r>
          </w:p>
        </w:tc>
        <w:tc>
          <w:tcPr>
            <w:tcW w:w="4350" w:type="dxa"/>
            <w:tcBorders>
              <w:top w:val="single" w:sz="4" w:space="0" w:color="auto"/>
              <w:bottom w:val="single" w:sz="4" w:space="0" w:color="auto"/>
            </w:tcBorders>
            <w:vAlign w:val="center"/>
          </w:tcPr>
          <w:p w14:paraId="0143CB7E" w14:textId="77777777" w:rsidR="00897705" w:rsidRDefault="00000000">
            <w:pPr>
              <w:spacing w:line="240" w:lineRule="auto"/>
              <w:jc w:val="center"/>
              <w:rPr>
                <w:rFonts w:cs="Times New Roman"/>
              </w:rPr>
            </w:pPr>
            <w:r>
              <w:rPr>
                <w:rFonts w:cs="Times New Roman"/>
                <w:vertAlign w:val="superscript"/>
              </w:rPr>
              <w:t>*</w:t>
            </w:r>
            <w:r>
              <w:rPr>
                <w:rFonts w:cs="Times New Roman"/>
              </w:rPr>
              <w:t xml:space="preserve">p&lt;0.1; </w:t>
            </w:r>
            <w:r>
              <w:rPr>
                <w:rFonts w:cs="Times New Roman"/>
                <w:vertAlign w:val="superscript"/>
              </w:rPr>
              <w:t>**</w:t>
            </w:r>
            <w:r>
              <w:rPr>
                <w:rFonts w:cs="Times New Roman"/>
              </w:rPr>
              <w:t xml:space="preserve">p&lt;0.05; </w:t>
            </w:r>
            <w:r>
              <w:rPr>
                <w:rFonts w:cs="Times New Roman"/>
                <w:vertAlign w:val="superscript"/>
              </w:rPr>
              <w:t>***</w:t>
            </w:r>
            <w:r>
              <w:rPr>
                <w:rFonts w:cs="Times New Roman"/>
              </w:rPr>
              <w:t>p&lt;0.01</w:t>
            </w:r>
          </w:p>
        </w:tc>
      </w:tr>
    </w:tbl>
    <w:p w14:paraId="233A6A48" w14:textId="77777777" w:rsidR="00897705" w:rsidRDefault="00897705">
      <w:pPr>
        <w:rPr>
          <w:rFonts w:cs="Times New Roman"/>
        </w:rPr>
      </w:pPr>
    </w:p>
    <w:p w14:paraId="130C1973" w14:textId="77777777" w:rsidR="00897705" w:rsidRDefault="00000000">
      <w:pPr>
        <w:ind w:firstLine="420"/>
        <w:rPr>
          <w:rFonts w:cs="Times New Roman"/>
        </w:rPr>
      </w:pPr>
      <w:r>
        <w:rPr>
          <w:rFonts w:cs="Times New Roman" w:hint="eastAsia"/>
        </w:rPr>
        <w:t>以下是上述回归系数的比较图，可以更直观地看出每一年的处理效应：</w:t>
      </w:r>
    </w:p>
    <w:p w14:paraId="5238FEF8" w14:textId="279A884C" w:rsidR="00897705" w:rsidRDefault="00000000">
      <w:pPr>
        <w:pStyle w:val="a4"/>
        <w:ind w:firstLine="420"/>
        <w:jc w:val="center"/>
        <w:rPr>
          <w:rFonts w:cs="Times New Roman"/>
          <w:b/>
          <w:bCs/>
        </w:rPr>
      </w:pPr>
      <w:r>
        <w:rPr>
          <w:b/>
          <w:bCs/>
        </w:rPr>
        <w:t>图</w:t>
      </w:r>
      <w:r>
        <w:rPr>
          <w:b/>
          <w:bCs/>
        </w:rPr>
        <w:t xml:space="preserve"> </w:t>
      </w:r>
      <w:r>
        <w:rPr>
          <w:b/>
          <w:bCs/>
        </w:rPr>
        <w:fldChar w:fldCharType="begin"/>
      </w:r>
      <w:r>
        <w:rPr>
          <w:b/>
          <w:bCs/>
        </w:rPr>
        <w:instrText xml:space="preserve"> SEQ </w:instrText>
      </w:r>
      <w:r>
        <w:rPr>
          <w:b/>
          <w:bCs/>
        </w:rPr>
        <w:instrText>图</w:instrText>
      </w:r>
      <w:r>
        <w:rPr>
          <w:b/>
          <w:bCs/>
        </w:rPr>
        <w:instrText xml:space="preserve"> \* ARABIC </w:instrText>
      </w:r>
      <w:r>
        <w:rPr>
          <w:b/>
          <w:bCs/>
        </w:rPr>
        <w:fldChar w:fldCharType="separate"/>
      </w:r>
      <w:r w:rsidR="0069698C">
        <w:rPr>
          <w:b/>
          <w:bCs/>
          <w:noProof/>
        </w:rPr>
        <w:t>5</w:t>
      </w:r>
      <w:r>
        <w:rPr>
          <w:b/>
          <w:bCs/>
        </w:rPr>
        <w:fldChar w:fldCharType="end"/>
      </w:r>
      <w:bookmarkStart w:id="26" w:name="_Toc5260"/>
      <w:r>
        <w:rPr>
          <w:rFonts w:hint="eastAsia"/>
          <w:b/>
          <w:bCs/>
        </w:rPr>
        <w:t xml:space="preserve">  </w:t>
      </w:r>
      <w:r>
        <w:rPr>
          <w:rFonts w:cs="Times New Roman" w:hint="eastAsia"/>
          <w:b/>
          <w:bCs/>
        </w:rPr>
        <w:t>回归系数比较图</w:t>
      </w:r>
      <w:bookmarkEnd w:id="26"/>
    </w:p>
    <w:p w14:paraId="6F9A5C66" w14:textId="77777777" w:rsidR="00897705" w:rsidRDefault="00000000">
      <w:pPr>
        <w:rPr>
          <w:rFonts w:cs="Times New Roman"/>
        </w:rPr>
      </w:pPr>
      <w:r>
        <w:rPr>
          <w:rFonts w:cs="Times New Roman"/>
          <w:noProof/>
        </w:rPr>
        <w:drawing>
          <wp:inline distT="0" distB="0" distL="0" distR="0" wp14:anchorId="68A73B93" wp14:editId="72A553C3">
            <wp:extent cx="5274310" cy="3220085"/>
            <wp:effectExtent l="0" t="0" r="2540" b="8890"/>
            <wp:docPr id="398782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82679" name="图片 1"/>
                    <pic:cNvPicPr>
                      <a:picLocks noChangeAspect="1"/>
                    </pic:cNvPicPr>
                  </pic:nvPicPr>
                  <pic:blipFill>
                    <a:blip r:embed="rId21"/>
                    <a:stretch>
                      <a:fillRect/>
                    </a:stretch>
                  </pic:blipFill>
                  <pic:spPr>
                    <a:xfrm>
                      <a:off x="0" y="0"/>
                      <a:ext cx="5274310" cy="3220085"/>
                    </a:xfrm>
                    <a:prstGeom prst="rect">
                      <a:avLst/>
                    </a:prstGeom>
                  </pic:spPr>
                </pic:pic>
              </a:graphicData>
            </a:graphic>
          </wp:inline>
        </w:drawing>
      </w:r>
    </w:p>
    <w:p w14:paraId="0FD7B795" w14:textId="77777777" w:rsidR="00897705" w:rsidRDefault="00000000">
      <w:pPr>
        <w:ind w:firstLine="420"/>
        <w:rPr>
          <w:rFonts w:cs="Times New Roman"/>
        </w:rPr>
      </w:pPr>
      <w:r>
        <w:rPr>
          <w:rFonts w:cs="Times New Roman" w:hint="eastAsia"/>
        </w:rPr>
        <w:t>结合上述结果，对于每一年的处理效应的估计，我们得到以下结论：</w:t>
      </w:r>
    </w:p>
    <w:p w14:paraId="61AA92CA" w14:textId="77777777" w:rsidR="00897705" w:rsidRDefault="00000000">
      <w:pPr>
        <w:pStyle w:val="a"/>
        <w:numPr>
          <w:ilvl w:val="0"/>
          <w:numId w:val="10"/>
        </w:numPr>
        <w:tabs>
          <w:tab w:val="clear" w:pos="0"/>
          <w:tab w:val="left" w:pos="-420"/>
        </w:tabs>
      </w:pPr>
      <w:r>
        <w:rPr>
          <w:rFonts w:hint="eastAsia"/>
        </w:rPr>
        <w:t>在</w:t>
      </w:r>
      <w:r>
        <w:rPr>
          <w:rFonts w:hint="eastAsia"/>
        </w:rPr>
        <w:t>2</w:t>
      </w:r>
      <w:r>
        <w:t>014</w:t>
      </w:r>
      <w:r>
        <w:rPr>
          <w:rFonts w:hint="eastAsia"/>
        </w:rPr>
        <w:t>年及之前，年处理效应均不显著，它们的系数的</w:t>
      </w:r>
      <w:r>
        <w:t>95%</w:t>
      </w:r>
      <w:r>
        <w:rPr>
          <w:rFonts w:hint="eastAsia"/>
        </w:rPr>
        <w:t>置信区间均包含了</w:t>
      </w:r>
      <w:r>
        <w:rPr>
          <w:rFonts w:hint="eastAsia"/>
        </w:rPr>
        <w:t>0</w:t>
      </w:r>
      <w:r>
        <w:rPr>
          <w:rFonts w:hint="eastAsia"/>
        </w:rPr>
        <w:t>；</w:t>
      </w:r>
    </w:p>
    <w:p w14:paraId="67CE2A0B" w14:textId="77777777" w:rsidR="00897705" w:rsidRDefault="00000000">
      <w:pPr>
        <w:pStyle w:val="a"/>
        <w:numPr>
          <w:ilvl w:val="0"/>
          <w:numId w:val="10"/>
        </w:numPr>
        <w:tabs>
          <w:tab w:val="clear" w:pos="0"/>
          <w:tab w:val="left" w:pos="-420"/>
        </w:tabs>
      </w:pPr>
      <w:r>
        <w:rPr>
          <w:rFonts w:hint="eastAsia"/>
        </w:rPr>
        <w:t>在</w:t>
      </w:r>
      <w:r>
        <w:rPr>
          <w:rFonts w:hint="eastAsia"/>
        </w:rPr>
        <w:t>2</w:t>
      </w:r>
      <w:r>
        <w:t>015</w:t>
      </w:r>
      <w:r>
        <w:rPr>
          <w:rFonts w:hint="eastAsia"/>
        </w:rPr>
        <w:t>年及以后，年处理效应显著，并且在</w:t>
      </w:r>
      <w:r>
        <w:rPr>
          <w:rFonts w:hint="eastAsia"/>
        </w:rPr>
        <w:t>2015~2017</w:t>
      </w:r>
      <w:r>
        <w:rPr>
          <w:rFonts w:hint="eastAsia"/>
        </w:rPr>
        <w:t>年之间逐年增大，后</w:t>
      </w:r>
      <w:r>
        <w:rPr>
          <w:rFonts w:hint="eastAsia"/>
        </w:rPr>
        <w:lastRenderedPageBreak/>
        <w:t>续虽然经历了一定的波动但是仍大于</w:t>
      </w:r>
      <w:r>
        <w:rPr>
          <w:rFonts w:hint="eastAsia"/>
        </w:rPr>
        <w:t>2014</w:t>
      </w:r>
      <w:r>
        <w:rPr>
          <w:rFonts w:hint="eastAsia"/>
        </w:rPr>
        <w:t>年及之前。</w:t>
      </w:r>
    </w:p>
    <w:p w14:paraId="6B2FDFF4" w14:textId="25C04496" w:rsidR="00897705" w:rsidRDefault="00000000">
      <w:pPr>
        <w:ind w:firstLine="420"/>
        <w:rPr>
          <w:rFonts w:cs="Times New Roman"/>
        </w:rPr>
      </w:pPr>
      <w:r>
        <w:rPr>
          <w:rFonts w:cs="Times New Roman" w:hint="eastAsia"/>
        </w:rPr>
        <w:t>而在此处断点回归的设定下，自</w:t>
      </w:r>
      <w:r>
        <w:rPr>
          <w:rFonts w:cs="Times New Roman" w:hint="eastAsia"/>
        </w:rPr>
        <w:t>2</w:t>
      </w:r>
      <w:r>
        <w:rPr>
          <w:rFonts w:cs="Times New Roman"/>
        </w:rPr>
        <w:t>015</w:t>
      </w:r>
      <w:r>
        <w:rPr>
          <w:rFonts w:cs="Times New Roman" w:hint="eastAsia"/>
        </w:rPr>
        <w:t>年起生效的《巴黎协定》对</w:t>
      </w:r>
      <w:r w:rsidR="008F6F5D">
        <w:rPr>
          <w:rFonts w:cs="Times New Roman" w:hint="eastAsia"/>
        </w:rPr>
        <w:t>二氧化碳影子价格</w:t>
      </w:r>
      <w:r>
        <w:rPr>
          <w:rFonts w:cs="Times New Roman" w:hint="eastAsia"/>
        </w:rPr>
        <w:t>的处置效应理论上应当在</w:t>
      </w:r>
      <w:r>
        <w:rPr>
          <w:rFonts w:cs="Times New Roman" w:hint="eastAsia"/>
        </w:rPr>
        <w:t>2</w:t>
      </w:r>
      <w:r>
        <w:rPr>
          <w:rFonts w:cs="Times New Roman"/>
        </w:rPr>
        <w:t>015</w:t>
      </w:r>
      <w:r>
        <w:rPr>
          <w:rFonts w:cs="Times New Roman" w:hint="eastAsia"/>
        </w:rPr>
        <w:t>年起才发挥作用，而在</w:t>
      </w:r>
      <w:r>
        <w:rPr>
          <w:rFonts w:cs="Times New Roman" w:hint="eastAsia"/>
        </w:rPr>
        <w:t>2</w:t>
      </w:r>
      <w:r>
        <w:rPr>
          <w:rFonts w:cs="Times New Roman"/>
        </w:rPr>
        <w:t>014</w:t>
      </w:r>
      <w:r>
        <w:rPr>
          <w:rFonts w:cs="Times New Roman" w:hint="eastAsia"/>
        </w:rPr>
        <w:t>年</w:t>
      </w:r>
      <w:proofErr w:type="gramStart"/>
      <w:r>
        <w:rPr>
          <w:rFonts w:cs="Times New Roman" w:hint="eastAsia"/>
        </w:rPr>
        <w:t>及之前</w:t>
      </w:r>
      <w:proofErr w:type="gramEnd"/>
      <w:r>
        <w:rPr>
          <w:rFonts w:cs="Times New Roman" w:hint="eastAsia"/>
        </w:rPr>
        <w:t>没有处理效应。从各年的处理效应估计结果上看，</w:t>
      </w:r>
      <w:r>
        <w:rPr>
          <w:rFonts w:cs="Times New Roman" w:hint="eastAsia"/>
        </w:rPr>
        <w:t>2</w:t>
      </w:r>
      <w:r>
        <w:rPr>
          <w:rFonts w:cs="Times New Roman"/>
        </w:rPr>
        <w:t>014</w:t>
      </w:r>
      <w:r>
        <w:rPr>
          <w:rFonts w:cs="Times New Roman" w:hint="eastAsia"/>
        </w:rPr>
        <w:t>年</w:t>
      </w:r>
      <w:proofErr w:type="gramStart"/>
      <w:r>
        <w:rPr>
          <w:rFonts w:cs="Times New Roman" w:hint="eastAsia"/>
        </w:rPr>
        <w:t>及之前</w:t>
      </w:r>
      <w:proofErr w:type="gramEnd"/>
      <w:r>
        <w:rPr>
          <w:rFonts w:cs="Times New Roman" w:hint="eastAsia"/>
        </w:rPr>
        <w:t>的都不显著，而</w:t>
      </w:r>
      <w:r>
        <w:rPr>
          <w:rFonts w:cs="Times New Roman" w:hint="eastAsia"/>
        </w:rPr>
        <w:t>2</w:t>
      </w:r>
      <w:r>
        <w:rPr>
          <w:rFonts w:cs="Times New Roman"/>
        </w:rPr>
        <w:t>015</w:t>
      </w:r>
      <w:r>
        <w:rPr>
          <w:rFonts w:cs="Times New Roman" w:hint="eastAsia"/>
        </w:rPr>
        <w:t>年及以后的均显著且处理效应绝对值变大，综合这两个事实，我们的数据不仅支持了《巴黎协定》的确对</w:t>
      </w:r>
      <w:r>
        <w:rPr>
          <w:rFonts w:cs="Times New Roman" w:hint="eastAsia"/>
        </w:rPr>
        <w:t>2</w:t>
      </w:r>
      <w:r>
        <w:rPr>
          <w:rFonts w:cs="Times New Roman"/>
        </w:rPr>
        <w:t>015</w:t>
      </w:r>
      <w:r>
        <w:rPr>
          <w:rFonts w:cs="Times New Roman" w:hint="eastAsia"/>
        </w:rPr>
        <w:t>年及之后的</w:t>
      </w:r>
      <w:r w:rsidR="008F6F5D">
        <w:rPr>
          <w:rFonts w:cs="Times New Roman" w:hint="eastAsia"/>
        </w:rPr>
        <w:t>二氧化碳影子价格</w:t>
      </w:r>
      <w:r>
        <w:rPr>
          <w:rFonts w:cs="Times New Roman" w:hint="eastAsia"/>
        </w:rPr>
        <w:t>产生了影响，</w:t>
      </w:r>
      <w:r w:rsidR="008F6F5D">
        <w:rPr>
          <w:rFonts w:cs="Times New Roman" w:hint="eastAsia"/>
        </w:rPr>
        <w:t>二氧化碳影子价格</w:t>
      </w:r>
      <w:r>
        <w:rPr>
          <w:rFonts w:cs="Times New Roman" w:hint="eastAsia"/>
        </w:rPr>
        <w:t>出现下降，并且还说明了我们的因果识别是有效的。</w:t>
      </w:r>
    </w:p>
    <w:p w14:paraId="26AF8C6D" w14:textId="77777777" w:rsidR="00897705" w:rsidRDefault="00000000">
      <w:pPr>
        <w:pStyle w:val="1"/>
        <w:numPr>
          <w:ilvl w:val="0"/>
          <w:numId w:val="2"/>
        </w:numPr>
        <w:spacing w:before="312"/>
      </w:pPr>
      <w:bookmarkStart w:id="27" w:name="_Toc154908724"/>
      <w:bookmarkEnd w:id="24"/>
      <w:r>
        <w:rPr>
          <w:rFonts w:hint="eastAsia"/>
        </w:rPr>
        <w:t>结论与政策建议</w:t>
      </w:r>
      <w:bookmarkEnd w:id="27"/>
    </w:p>
    <w:p w14:paraId="37AB03F2" w14:textId="77777777" w:rsidR="00897705" w:rsidRDefault="00000000">
      <w:pPr>
        <w:pStyle w:val="2"/>
        <w:numPr>
          <w:ilvl w:val="0"/>
          <w:numId w:val="11"/>
        </w:numPr>
        <w:spacing w:before="156" w:after="156"/>
      </w:pPr>
      <w:bookmarkStart w:id="28" w:name="_Toc154908725"/>
      <w:r>
        <w:rPr>
          <w:rFonts w:hint="eastAsia"/>
        </w:rPr>
        <w:t>结论</w:t>
      </w:r>
      <w:bookmarkEnd w:id="28"/>
    </w:p>
    <w:p w14:paraId="36C3264B" w14:textId="2EACE531" w:rsidR="00897705" w:rsidRDefault="00000000">
      <w:pPr>
        <w:ind w:firstLine="420"/>
      </w:pPr>
      <w:r>
        <w:t>我们采用二次型方向性距离函数和参数模型，并通过参数最小二乘回归的方法来建立和估算了</w:t>
      </w:r>
      <w:r>
        <w:t>2011</w:t>
      </w:r>
      <w:r>
        <w:t>年至</w:t>
      </w:r>
      <w:r>
        <w:t>2020</w:t>
      </w:r>
      <w:r>
        <w:t>年选定的</w:t>
      </w:r>
      <w:r>
        <w:t>8</w:t>
      </w:r>
      <w:r>
        <w:t>个省份（地区）的</w:t>
      </w:r>
      <w:r w:rsidR="008F6F5D">
        <w:t>二氧化碳影子价格</w:t>
      </w:r>
      <w:r>
        <w:t>模型。我们得到了</w:t>
      </w:r>
      <w:r>
        <w:rPr>
          <w:rFonts w:hint="eastAsia"/>
        </w:rPr>
        <w:t>表</w:t>
      </w:r>
      <w:r>
        <w:rPr>
          <w:rFonts w:hint="eastAsia"/>
        </w:rPr>
        <w:t>2</w:t>
      </w:r>
      <w:r>
        <w:rPr>
          <w:rFonts w:hint="eastAsia"/>
        </w:rPr>
        <w:t>中的</w:t>
      </w:r>
      <w:r>
        <w:t>结果</w:t>
      </w:r>
      <w:r>
        <w:rPr>
          <w:rFonts w:hint="eastAsia"/>
        </w:rPr>
        <w:t>。</w:t>
      </w:r>
    </w:p>
    <w:p w14:paraId="77A0DABE" w14:textId="36473C95" w:rsidR="00897705" w:rsidRDefault="00000000">
      <w:pPr>
        <w:ind w:firstLine="420"/>
      </w:pPr>
      <w:r>
        <w:t>接下来，我们使用计算得到的</w:t>
      </w:r>
      <w:r w:rsidR="008F6F5D">
        <w:t>二氧化碳影子价格</w:t>
      </w:r>
      <w:r>
        <w:t>进行断点回归，以探究《巴黎协定》签署以及签署后的一系列政策对</w:t>
      </w:r>
      <w:r w:rsidR="008F6F5D">
        <w:t>二氧化碳影子价格</w:t>
      </w:r>
      <w:r>
        <w:t>的影响。研究结果表明，在</w:t>
      </w:r>
      <w:r>
        <w:t>2014</w:t>
      </w:r>
      <w:r>
        <w:t>年及之前，年度处理效应并不显著，但在</w:t>
      </w:r>
      <w:r>
        <w:t>2015</w:t>
      </w:r>
      <w:r>
        <w:t>年之后，年度处理效应显著增加。在</w:t>
      </w:r>
      <w:r>
        <w:t>2015</w:t>
      </w:r>
      <w:r>
        <w:t>至</w:t>
      </w:r>
      <w:r>
        <w:t>2017</w:t>
      </w:r>
      <w:r>
        <w:t>年期间，系数绝对值呈不断增大的趋势，部分反映出《巴黎协定》及随后的一系列政策对我国的</w:t>
      </w:r>
      <w:proofErr w:type="gramStart"/>
      <w:r>
        <w:t>碳减排产生</w:t>
      </w:r>
      <w:proofErr w:type="gramEnd"/>
      <w:r>
        <w:t>积极影响。随着时间的推移，这种影响逐渐加大。然而，在</w:t>
      </w:r>
      <w:r>
        <w:t>2017</w:t>
      </w:r>
      <w:r>
        <w:t>年之后，虽然系数存在一定波动，但总体上保持在明显高于</w:t>
      </w:r>
      <w:r>
        <w:t>2015</w:t>
      </w:r>
      <w:r>
        <w:t>年之前水平的水平。因此，我们认为，自</w:t>
      </w:r>
      <w:r>
        <w:t>2015</w:t>
      </w:r>
      <w:r>
        <w:t>年以来，我国采取的一系列政策在</w:t>
      </w:r>
      <w:proofErr w:type="gramStart"/>
      <w:r>
        <w:t>碳减排方面</w:t>
      </w:r>
      <w:proofErr w:type="gramEnd"/>
      <w:r>
        <w:t>起到了至关重要的作用，并为未来更加强力和深入的政策奠定了坚实的基础。</w:t>
      </w:r>
    </w:p>
    <w:p w14:paraId="70F4A082" w14:textId="77777777" w:rsidR="00897705" w:rsidRDefault="00000000">
      <w:pPr>
        <w:pStyle w:val="2"/>
        <w:numPr>
          <w:ilvl w:val="0"/>
          <w:numId w:val="11"/>
        </w:numPr>
        <w:spacing w:before="156" w:after="156"/>
      </w:pPr>
      <w:bookmarkStart w:id="29" w:name="_Toc154908726"/>
      <w:r>
        <w:rPr>
          <w:rFonts w:hint="eastAsia"/>
        </w:rPr>
        <w:t>政策建议</w:t>
      </w:r>
      <w:bookmarkEnd w:id="29"/>
    </w:p>
    <w:p w14:paraId="73BE943C" w14:textId="77777777" w:rsidR="00897705" w:rsidRDefault="00000000">
      <w:r>
        <w:tab/>
      </w:r>
      <w:r>
        <w:rPr>
          <w:rFonts w:hint="eastAsia"/>
        </w:rPr>
        <w:t>由上述研究结论我们可以看出重点领域的重大政策出台对于二氧化碳减排和绿色可持续发展具有重大影响并能发挥明显的效果。因此展望未来，为进一步实现二氧化碳减排的有效推进及“碳中和”、“碳达峰”目标的圆满完成，我国的</w:t>
      </w:r>
      <w:proofErr w:type="gramStart"/>
      <w:r>
        <w:rPr>
          <w:rFonts w:hint="eastAsia"/>
        </w:rPr>
        <w:t>碳减排政策</w:t>
      </w:r>
      <w:proofErr w:type="gramEnd"/>
      <w:r>
        <w:rPr>
          <w:rFonts w:hint="eastAsia"/>
        </w:rPr>
        <w:t>需要在技术创新、市场机制和公众教育三方面进行全面且协调的努力，同时需要政府的指导和支持，社会各界的积极参与和合作。具体政策建议如下：</w:t>
      </w:r>
    </w:p>
    <w:p w14:paraId="7149A91F" w14:textId="77777777" w:rsidR="00897705" w:rsidRDefault="00000000">
      <w:pPr>
        <w:numPr>
          <w:ilvl w:val="0"/>
          <w:numId w:val="12"/>
        </w:numPr>
        <w:ind w:firstLine="420"/>
      </w:pPr>
      <w:r>
        <w:rPr>
          <w:rFonts w:hint="eastAsia"/>
          <w:b/>
          <w:bCs/>
        </w:rPr>
        <w:lastRenderedPageBreak/>
        <w:t>技术层面</w:t>
      </w:r>
    </w:p>
    <w:p w14:paraId="31E9F6AF" w14:textId="77777777" w:rsidR="00897705" w:rsidRDefault="00000000">
      <w:r>
        <w:rPr>
          <w:rFonts w:hint="eastAsia"/>
        </w:rPr>
        <w:t xml:space="preserve">   </w:t>
      </w:r>
      <w:r>
        <w:rPr>
          <w:rFonts w:hint="eastAsia"/>
        </w:rPr>
        <w:t>首先，对于二氧化碳减排，可再生能源的深入开发与推广十分重要，有关部分应该继续投资于风能和太阳能技术的研发。例如，开发更大容量的风力涡轮机和光伏电站，以及提高这些技术的效率和可靠性。政府可以通过提供资金支持、税收优惠和其他激励措施来促进这些技术的商业化和大规模部署，此外，在碳捕捉和存储技术方面，应加大对</w:t>
      </w:r>
      <w:r>
        <w:rPr>
          <w:rFonts w:hint="eastAsia"/>
        </w:rPr>
        <w:t>CCUS</w:t>
      </w:r>
      <w:r>
        <w:rPr>
          <w:rFonts w:hint="eastAsia"/>
        </w:rPr>
        <w:t>技术的研究和实施力度，以便有效地减少工业排放。政府可以支持相关技术的试点项目，并鼓励私营部门参与这些项目的开发和实施；应该通过优惠、补贴等方式，鼓励东部先进新能源制造产业联盟走进西部省份，提升特种设备产业链和供应链的协同度，并在土地、税收等方面给予一定便利，从而使技术研发相关政策具有结构性和针对性。</w:t>
      </w:r>
    </w:p>
    <w:p w14:paraId="77A96B1E" w14:textId="77777777" w:rsidR="00897705" w:rsidRDefault="00000000">
      <w:pPr>
        <w:numPr>
          <w:ilvl w:val="0"/>
          <w:numId w:val="12"/>
        </w:numPr>
        <w:ind w:firstLine="420"/>
      </w:pPr>
      <w:r>
        <w:rPr>
          <w:rFonts w:hint="eastAsia"/>
          <w:b/>
          <w:bCs/>
        </w:rPr>
        <w:t>市场机制层面</w:t>
      </w:r>
    </w:p>
    <w:p w14:paraId="397F4C0B" w14:textId="77777777" w:rsidR="00897705" w:rsidRDefault="00000000">
      <w:r>
        <w:rPr>
          <w:rFonts w:hint="eastAsia"/>
        </w:rPr>
        <w:t xml:space="preserve">    </w:t>
      </w:r>
      <w:r>
        <w:rPr>
          <w:rFonts w:hint="eastAsia"/>
        </w:rPr>
        <w:t>未来应重点扩大和优化碳排放交易市场，我国的碳排放交易市场应该涵盖更多行业和企业，确保其覆盖更广泛的碳排放源。同时，应该对市场机制进行优化，确保碳信用价格能够反映真实</w:t>
      </w:r>
      <w:proofErr w:type="gramStart"/>
      <w:r>
        <w:rPr>
          <w:rFonts w:hint="eastAsia"/>
        </w:rPr>
        <w:t>的碳减排</w:t>
      </w:r>
      <w:proofErr w:type="gramEnd"/>
      <w:r>
        <w:rPr>
          <w:rFonts w:hint="eastAsia"/>
        </w:rPr>
        <w:t>成本，并激励企业采取减排措施。透明和有效的监管：建立强有力的监管框架，以确保碳排放交易市场的公平和有效运行。这确保碳排放数据的准确性和可靠性，以及对违规行为的严格处罚。需要继续强化基层参与全国</w:t>
      </w:r>
      <w:proofErr w:type="gramStart"/>
      <w:r>
        <w:rPr>
          <w:rFonts w:hint="eastAsia"/>
        </w:rPr>
        <w:t>碳市场</w:t>
      </w:r>
      <w:proofErr w:type="gramEnd"/>
      <w:r>
        <w:rPr>
          <w:rFonts w:hint="eastAsia"/>
        </w:rPr>
        <w:t>的能力和意识，对相关工作进行系统性部署学习，从而在现场执法、监督检查、对企业业务指导等方面进行全面优化。吸收试点地区已有的成功经验，增强对碳排放数据的核实和验算能力，避免提高企业履约成本，继续建立有效的数据管理模式。</w:t>
      </w:r>
    </w:p>
    <w:p w14:paraId="63951C6F" w14:textId="77777777" w:rsidR="00897705" w:rsidRDefault="00000000">
      <w:pPr>
        <w:numPr>
          <w:ilvl w:val="0"/>
          <w:numId w:val="12"/>
        </w:numPr>
        <w:ind w:firstLine="420"/>
      </w:pPr>
      <w:r>
        <w:rPr>
          <w:rFonts w:hint="eastAsia"/>
          <w:b/>
          <w:bCs/>
        </w:rPr>
        <w:t>公众教育和意识提升层面</w:t>
      </w:r>
    </w:p>
    <w:p w14:paraId="6A70B161" w14:textId="77777777" w:rsidR="00897705" w:rsidRDefault="00000000">
      <w:pPr>
        <w:ind w:firstLine="420"/>
      </w:pPr>
      <w:r>
        <w:rPr>
          <w:rFonts w:hint="eastAsia"/>
        </w:rPr>
        <w:t>推进系统化的气候变化教育，在学校教育体系中加入更全面的气候变化和环保课程，不仅涉及气候变化的基本知识，还包括实际行动指南和</w:t>
      </w:r>
      <w:proofErr w:type="gramStart"/>
      <w:r>
        <w:rPr>
          <w:rFonts w:hint="eastAsia"/>
        </w:rPr>
        <w:t>可</w:t>
      </w:r>
      <w:proofErr w:type="gramEnd"/>
      <w:r>
        <w:rPr>
          <w:rFonts w:hint="eastAsia"/>
        </w:rPr>
        <w:t>持续生活方式的推广。提升公众参与和社会动员，通过媒体宣传、公共活动和社区倡议，提高公众对气候变化的认识，并鼓励他们采取实际行动。例如，组织公众讲座、展览和研讨会，以及通过社交媒体和其他平台传播环保信息。</w:t>
      </w:r>
    </w:p>
    <w:p w14:paraId="0051B507" w14:textId="77777777" w:rsidR="00897705" w:rsidRDefault="00000000">
      <w:pPr>
        <w:ind w:firstLine="420"/>
      </w:pPr>
      <w:r>
        <w:rPr>
          <w:rFonts w:hint="eastAsia"/>
        </w:rPr>
        <w:t>总体来说，通过这些综合性的组合政策策略，我国可以更有效地减少碳排放，同时促进经济和社会的可持续发展。</w:t>
      </w:r>
    </w:p>
    <w:p w14:paraId="599A7867" w14:textId="77777777" w:rsidR="00897705" w:rsidRDefault="00000000">
      <w:r>
        <w:rPr>
          <w:rFonts w:hint="eastAsia"/>
        </w:rPr>
        <w:br w:type="page"/>
      </w:r>
    </w:p>
    <w:p w14:paraId="1609DD5D" w14:textId="77777777" w:rsidR="00897705" w:rsidRDefault="00000000">
      <w:pPr>
        <w:pStyle w:val="ad"/>
        <w:spacing w:before="624"/>
      </w:pPr>
      <w:bookmarkStart w:id="30" w:name="_Toc154908727"/>
      <w:r>
        <w:rPr>
          <w:rFonts w:hint="eastAsia"/>
        </w:rPr>
        <w:lastRenderedPageBreak/>
        <w:t>参考文献</w:t>
      </w:r>
      <w:bookmarkEnd w:id="30"/>
    </w:p>
    <w:p w14:paraId="137E07C3" w14:textId="77777777" w:rsidR="00897705" w:rsidRDefault="00000000">
      <w:pPr>
        <w:pStyle w:val="a"/>
        <w:numPr>
          <w:ilvl w:val="0"/>
          <w:numId w:val="13"/>
        </w:numPr>
      </w:pPr>
      <w:bookmarkStart w:id="31" w:name="_Ref92624435"/>
      <w:r>
        <w:t xml:space="preserve">Fare, R., Grosskopf, S., </w:t>
      </w:r>
      <w:proofErr w:type="spellStart"/>
      <w:proofErr w:type="gramStart"/>
      <w:r>
        <w:t>Pasurkajr,C</w:t>
      </w:r>
      <w:proofErr w:type="spellEnd"/>
      <w:r>
        <w:t>..</w:t>
      </w:r>
      <w:proofErr w:type="gramEnd"/>
      <w:r>
        <w:t xml:space="preserve"> Environmental Production Functions and Environmental Directional Distance Functions[J]. Energy, 2007(7).</w:t>
      </w:r>
      <w:bookmarkEnd w:id="31"/>
    </w:p>
    <w:p w14:paraId="64FC888C" w14:textId="77777777" w:rsidR="00897705" w:rsidRDefault="00000000">
      <w:pPr>
        <w:pStyle w:val="a"/>
      </w:pPr>
      <w:proofErr w:type="spellStart"/>
      <w:r>
        <w:rPr>
          <w:rFonts w:hint="eastAsia"/>
        </w:rPr>
        <w:t>Badau</w:t>
      </w:r>
      <w:proofErr w:type="spellEnd"/>
      <w:r>
        <w:rPr>
          <w:rFonts w:hint="eastAsia"/>
        </w:rPr>
        <w:t xml:space="preserve">, Flavius, Rolf </w:t>
      </w:r>
      <w:proofErr w:type="spellStart"/>
      <w:r>
        <w:rPr>
          <w:rFonts w:hint="eastAsia"/>
        </w:rPr>
        <w:t>Färe</w:t>
      </w:r>
      <w:proofErr w:type="spellEnd"/>
      <w:r>
        <w:rPr>
          <w:rFonts w:hint="eastAsia"/>
        </w:rPr>
        <w:t>和</w:t>
      </w:r>
      <w:r>
        <w:rPr>
          <w:rFonts w:hint="eastAsia"/>
        </w:rPr>
        <w:t xml:space="preserve">Munisamy Gopinath. 2016. </w:t>
      </w:r>
      <w:r>
        <w:rPr>
          <w:rFonts w:hint="eastAsia"/>
        </w:rPr>
        <w:t>《</w:t>
      </w:r>
      <w:r>
        <w:rPr>
          <w:rFonts w:hint="eastAsia"/>
        </w:rPr>
        <w:t>Global Resilience to Climate Change: Examining Global Economic and Environmental Performance Resulting from a Global Carbon Dioxide Market</w:t>
      </w:r>
      <w:r>
        <w:rPr>
          <w:rFonts w:hint="eastAsia"/>
        </w:rPr>
        <w:t>》</w:t>
      </w:r>
      <w:r>
        <w:rPr>
          <w:rFonts w:hint="eastAsia"/>
        </w:rPr>
        <w:t>. Resource and Energy Economics 45 (8): 46</w:t>
      </w:r>
      <w:r>
        <w:rPr>
          <w:rFonts w:hint="eastAsia"/>
        </w:rPr>
        <w:t>–</w:t>
      </w:r>
      <w:r>
        <w:rPr>
          <w:rFonts w:hint="eastAsia"/>
        </w:rPr>
        <w:t>64. https://doi.org/10</w:t>
      </w:r>
      <w:r>
        <w:t>.1016/j.reseneeco.2016.05.002.</w:t>
      </w:r>
    </w:p>
    <w:p w14:paraId="470F525A" w14:textId="77777777" w:rsidR="00897705" w:rsidRDefault="00000000">
      <w:pPr>
        <w:pStyle w:val="a"/>
      </w:pPr>
      <w:proofErr w:type="spellStart"/>
      <w:r>
        <w:rPr>
          <w:rFonts w:hint="eastAsia"/>
        </w:rPr>
        <w:t>Bastianoni</w:t>
      </w:r>
      <w:proofErr w:type="spellEnd"/>
      <w:r>
        <w:rPr>
          <w:rFonts w:hint="eastAsia"/>
        </w:rPr>
        <w:t xml:space="preserve">, Simone, Federico Maria </w:t>
      </w:r>
      <w:proofErr w:type="spellStart"/>
      <w:r>
        <w:rPr>
          <w:rFonts w:hint="eastAsia"/>
        </w:rPr>
        <w:t>Pulselli</w:t>
      </w:r>
      <w:proofErr w:type="spellEnd"/>
      <w:r>
        <w:rPr>
          <w:rFonts w:hint="eastAsia"/>
        </w:rPr>
        <w:t>和</w:t>
      </w:r>
      <w:r>
        <w:rPr>
          <w:rFonts w:hint="eastAsia"/>
        </w:rPr>
        <w:t xml:space="preserve">Enzo Tiezzi. 2004. </w:t>
      </w:r>
      <w:r>
        <w:rPr>
          <w:rFonts w:hint="eastAsia"/>
        </w:rPr>
        <w:t>《</w:t>
      </w:r>
      <w:r>
        <w:rPr>
          <w:rFonts w:hint="eastAsia"/>
        </w:rPr>
        <w:t>The Problem of Assigning Responsibility for Greenhouse Gas Emissions</w:t>
      </w:r>
      <w:r>
        <w:rPr>
          <w:rFonts w:hint="eastAsia"/>
        </w:rPr>
        <w:t>》</w:t>
      </w:r>
      <w:r>
        <w:rPr>
          <w:rFonts w:hint="eastAsia"/>
        </w:rPr>
        <w:t>. Ecological Economics 49 (3): 253</w:t>
      </w:r>
      <w:r>
        <w:rPr>
          <w:rFonts w:hint="eastAsia"/>
        </w:rPr>
        <w:t>–</w:t>
      </w:r>
      <w:r>
        <w:rPr>
          <w:rFonts w:hint="eastAsia"/>
        </w:rPr>
        <w:t>57. https://doi.org/10.1016/j.ecolecon.2004.01.018.</w:t>
      </w:r>
    </w:p>
    <w:p w14:paraId="31D72B53" w14:textId="77777777" w:rsidR="00897705" w:rsidRDefault="00000000">
      <w:pPr>
        <w:pStyle w:val="a"/>
      </w:pPr>
      <w:r>
        <w:rPr>
          <w:rFonts w:hint="eastAsia"/>
        </w:rPr>
        <w:t xml:space="preserve">Francisco J. </w:t>
      </w:r>
      <w:proofErr w:type="spellStart"/>
      <w:r>
        <w:rPr>
          <w:rFonts w:hint="eastAsia"/>
        </w:rPr>
        <w:t>Buera</w:t>
      </w:r>
      <w:proofErr w:type="spellEnd"/>
      <w:r>
        <w:rPr>
          <w:rFonts w:hint="eastAsia"/>
        </w:rPr>
        <w:t xml:space="preserve"> </w:t>
      </w:r>
      <w:r>
        <w:rPr>
          <w:rFonts w:hint="eastAsia"/>
        </w:rPr>
        <w:t>和</w:t>
      </w:r>
      <w:r>
        <w:rPr>
          <w:rFonts w:hint="eastAsia"/>
        </w:rPr>
        <w:t xml:space="preserve"> Joseph P. </w:t>
      </w:r>
      <w:proofErr w:type="spellStart"/>
      <w:r>
        <w:rPr>
          <w:rFonts w:hint="eastAsia"/>
        </w:rPr>
        <w:t>Kaboski</w:t>
      </w:r>
      <w:proofErr w:type="spellEnd"/>
      <w:r>
        <w:rPr>
          <w:rFonts w:hint="eastAsia"/>
        </w:rPr>
        <w:t xml:space="preserve">. 2009. </w:t>
      </w:r>
      <w:r>
        <w:rPr>
          <w:rFonts w:hint="eastAsia"/>
        </w:rPr>
        <w:t>《</w:t>
      </w:r>
      <w:r>
        <w:rPr>
          <w:rFonts w:hint="eastAsia"/>
        </w:rPr>
        <w:t>THE RISE OF THE SERVICE ECONOMY</w:t>
      </w:r>
      <w:r>
        <w:rPr>
          <w:rFonts w:hint="eastAsia"/>
        </w:rPr>
        <w:t>》</w:t>
      </w:r>
      <w:r>
        <w:rPr>
          <w:rFonts w:hint="eastAsia"/>
        </w:rPr>
        <w:t>. Working Paper 14822 http://www.nber.org/papers/w1482</w:t>
      </w:r>
    </w:p>
    <w:p w14:paraId="26A5E6D2" w14:textId="77777777" w:rsidR="00897705" w:rsidRDefault="00000000">
      <w:pPr>
        <w:pStyle w:val="a"/>
      </w:pPr>
      <w:r>
        <w:t xml:space="preserve">Chambers, R.G., Chung, Y., Fare, R., 1998. Profit, directional distance functions, and </w:t>
      </w:r>
      <w:proofErr w:type="spellStart"/>
      <w:r>
        <w:t>Nerlovian</w:t>
      </w:r>
      <w:proofErr w:type="spellEnd"/>
      <w:r>
        <w:t xml:space="preserve"> efficiency. J. </w:t>
      </w:r>
      <w:proofErr w:type="spellStart"/>
      <w:r>
        <w:t>Optim</w:t>
      </w:r>
      <w:proofErr w:type="spellEnd"/>
      <w:r>
        <w:t>. Theory Appl. 98, 351–364.</w:t>
      </w:r>
    </w:p>
    <w:p w14:paraId="4594CDB2" w14:textId="77777777" w:rsidR="00897705" w:rsidRDefault="00000000">
      <w:pPr>
        <w:pStyle w:val="a"/>
      </w:pPr>
      <w:r>
        <w:t xml:space="preserve">Fare, R., Grosskopf, S., Noh, D.W., Weber, W., 2005. Characteristics of a polluting technology: theory and practice. J. Econ. 126, 469–492. </w:t>
      </w:r>
    </w:p>
    <w:p w14:paraId="78A40379" w14:textId="2849179F" w:rsidR="00897705" w:rsidRDefault="00000000">
      <w:pPr>
        <w:pStyle w:val="a"/>
      </w:pPr>
      <w:r>
        <w:rPr>
          <w:rFonts w:hint="eastAsia"/>
        </w:rPr>
        <w:t>杜禹彤</w:t>
      </w:r>
      <w:r>
        <w:rPr>
          <w:rFonts w:hint="eastAsia"/>
        </w:rPr>
        <w:t>.</w:t>
      </w:r>
      <w:r>
        <w:rPr>
          <w:rFonts w:hint="eastAsia"/>
        </w:rPr>
        <w:t>中国火电行业</w:t>
      </w:r>
      <w:r w:rsidR="008F6F5D">
        <w:rPr>
          <w:rFonts w:hint="eastAsia"/>
        </w:rPr>
        <w:t>二氧化碳影子价格</w:t>
      </w:r>
      <w:r>
        <w:rPr>
          <w:rFonts w:hint="eastAsia"/>
        </w:rPr>
        <w:t>的测算和影响因素分析</w:t>
      </w:r>
      <w:r>
        <w:rPr>
          <w:rFonts w:hint="eastAsia"/>
        </w:rPr>
        <w:t>[D].</w:t>
      </w:r>
      <w:r>
        <w:rPr>
          <w:rFonts w:hint="eastAsia"/>
        </w:rPr>
        <w:t>东北财经大学</w:t>
      </w:r>
      <w:r>
        <w:rPr>
          <w:rFonts w:hint="eastAsia"/>
        </w:rPr>
        <w:t>,2022.</w:t>
      </w:r>
      <w:proofErr w:type="gramStart"/>
      <w:r>
        <w:rPr>
          <w:rFonts w:hint="eastAsia"/>
        </w:rPr>
        <w:t>DOI:10.27006/d.cnki.gdbcu</w:t>
      </w:r>
      <w:proofErr w:type="gramEnd"/>
      <w:r>
        <w:rPr>
          <w:rFonts w:hint="eastAsia"/>
        </w:rPr>
        <w:t>.2022.001343</w:t>
      </w:r>
    </w:p>
    <w:p w14:paraId="472622AE" w14:textId="27AE42B3" w:rsidR="00897705" w:rsidRDefault="00000000">
      <w:pPr>
        <w:pStyle w:val="a"/>
      </w:pPr>
      <w:r>
        <w:rPr>
          <w:rFonts w:hint="eastAsia"/>
        </w:rPr>
        <w:t>周鹏</w:t>
      </w:r>
      <w:r>
        <w:rPr>
          <w:rFonts w:hint="eastAsia"/>
        </w:rPr>
        <w:t>,</w:t>
      </w:r>
      <w:proofErr w:type="gramStart"/>
      <w:r>
        <w:rPr>
          <w:rFonts w:hint="eastAsia"/>
        </w:rPr>
        <w:t>安超</w:t>
      </w:r>
      <w:proofErr w:type="gramEnd"/>
      <w:r>
        <w:rPr>
          <w:rFonts w:hint="eastAsia"/>
        </w:rPr>
        <w:t>.</w:t>
      </w:r>
      <w:r w:rsidR="008F6F5D">
        <w:rPr>
          <w:rFonts w:hint="eastAsia"/>
        </w:rPr>
        <w:t>二氧化碳影子价格</w:t>
      </w:r>
      <w:r>
        <w:rPr>
          <w:rFonts w:hint="eastAsia"/>
        </w:rPr>
        <w:t>参数化估计</w:t>
      </w:r>
      <w:r>
        <w:rPr>
          <w:rFonts w:hint="eastAsia"/>
        </w:rPr>
        <w:t>:</w:t>
      </w:r>
      <w:r>
        <w:rPr>
          <w:rFonts w:hint="eastAsia"/>
        </w:rPr>
        <w:t>一个统一框架</w:t>
      </w:r>
      <w:r>
        <w:rPr>
          <w:rFonts w:hint="eastAsia"/>
        </w:rPr>
        <w:t>[J].</w:t>
      </w:r>
      <w:r>
        <w:rPr>
          <w:rFonts w:hint="eastAsia"/>
        </w:rPr>
        <w:t>计量经济学报</w:t>
      </w:r>
      <w:r>
        <w:rPr>
          <w:rFonts w:hint="eastAsia"/>
        </w:rPr>
        <w:t>,2022,2(03):490-509.</w:t>
      </w:r>
    </w:p>
    <w:p w14:paraId="1D0D5271" w14:textId="65C8A58E" w:rsidR="00897705" w:rsidRDefault="00000000">
      <w:pPr>
        <w:pStyle w:val="a"/>
      </w:pPr>
      <w:r>
        <w:rPr>
          <w:rFonts w:hint="eastAsia"/>
        </w:rPr>
        <w:t>雷明</w:t>
      </w:r>
      <w:r>
        <w:rPr>
          <w:rFonts w:hint="eastAsia"/>
        </w:rPr>
        <w:t>,</w:t>
      </w:r>
      <w:r>
        <w:rPr>
          <w:rFonts w:hint="eastAsia"/>
        </w:rPr>
        <w:t>游威</w:t>
      </w:r>
      <w:r>
        <w:rPr>
          <w:rFonts w:hint="eastAsia"/>
        </w:rPr>
        <w:t>,</w:t>
      </w:r>
      <w:proofErr w:type="gramStart"/>
      <w:r>
        <w:rPr>
          <w:rFonts w:hint="eastAsia"/>
        </w:rPr>
        <w:t>郁书扬</w:t>
      </w:r>
      <w:proofErr w:type="gramEnd"/>
      <w:r>
        <w:rPr>
          <w:rFonts w:hint="eastAsia"/>
        </w:rPr>
        <w:t>等</w:t>
      </w:r>
      <w:r>
        <w:rPr>
          <w:rFonts w:hint="eastAsia"/>
        </w:rPr>
        <w:t>.</w:t>
      </w:r>
      <w:proofErr w:type="gramStart"/>
      <w:r>
        <w:rPr>
          <w:rFonts w:hint="eastAsia"/>
        </w:rPr>
        <w:t>碳排放权</w:t>
      </w:r>
      <w:proofErr w:type="gramEnd"/>
      <w:r>
        <w:rPr>
          <w:rFonts w:hint="eastAsia"/>
        </w:rPr>
        <w:t>交易市场有效性评估——基于</w:t>
      </w:r>
      <w:r w:rsidR="008F6F5D">
        <w:rPr>
          <w:rFonts w:hint="eastAsia"/>
        </w:rPr>
        <w:t>二氧化碳影子价格</w:t>
      </w:r>
      <w:r>
        <w:rPr>
          <w:rFonts w:hint="eastAsia"/>
        </w:rPr>
        <w:t>估算的分析</w:t>
      </w:r>
      <w:r>
        <w:rPr>
          <w:rFonts w:hint="eastAsia"/>
        </w:rPr>
        <w:t>[C]//</w:t>
      </w:r>
      <w:r>
        <w:rPr>
          <w:rFonts w:hint="eastAsia"/>
        </w:rPr>
        <w:t>中国环境科学学会（</w:t>
      </w:r>
      <w:r>
        <w:rPr>
          <w:rFonts w:hint="eastAsia"/>
        </w:rPr>
        <w:t>Chinese Society for Environmental Sciences</w:t>
      </w:r>
      <w:r>
        <w:rPr>
          <w:rFonts w:hint="eastAsia"/>
        </w:rPr>
        <w:t>）</w:t>
      </w:r>
      <w:r>
        <w:rPr>
          <w:rFonts w:hint="eastAsia"/>
        </w:rPr>
        <w:t>.</w:t>
      </w:r>
      <w:r>
        <w:rPr>
          <w:rFonts w:hint="eastAsia"/>
        </w:rPr>
        <w:t>中国环境科学学会</w:t>
      </w:r>
      <w:r>
        <w:rPr>
          <w:rFonts w:hint="eastAsia"/>
        </w:rPr>
        <w:t>2021</w:t>
      </w:r>
      <w:r>
        <w:rPr>
          <w:rFonts w:hint="eastAsia"/>
        </w:rPr>
        <w:t>年科学技术年会论文集（一）</w:t>
      </w:r>
      <w:r>
        <w:rPr>
          <w:rFonts w:hint="eastAsia"/>
        </w:rPr>
        <w:t>.</w:t>
      </w:r>
      <w:r>
        <w:rPr>
          <w:rFonts w:hint="eastAsia"/>
        </w:rPr>
        <w:t>北京大学光华管理学院</w:t>
      </w:r>
      <w:r>
        <w:rPr>
          <w:rFonts w:hint="eastAsia"/>
        </w:rPr>
        <w:t>;,</w:t>
      </w:r>
      <w:proofErr w:type="gramStart"/>
      <w:r>
        <w:rPr>
          <w:rFonts w:hint="eastAsia"/>
        </w:rPr>
        <w:t>2021:8.DOI</w:t>
      </w:r>
      <w:proofErr w:type="gramEnd"/>
      <w:r>
        <w:rPr>
          <w:rFonts w:hint="eastAsia"/>
        </w:rPr>
        <w:t>:10.26914/c.cnkihy.2021.034906</w:t>
      </w:r>
    </w:p>
    <w:p w14:paraId="23207BBD" w14:textId="77777777" w:rsidR="00897705" w:rsidRDefault="00000000">
      <w:pPr>
        <w:pStyle w:val="a"/>
      </w:pPr>
      <w:proofErr w:type="gramStart"/>
      <w:r>
        <w:rPr>
          <w:rFonts w:hint="eastAsia"/>
        </w:rPr>
        <w:t>武良鹏</w:t>
      </w:r>
      <w:proofErr w:type="gramEnd"/>
      <w:r>
        <w:rPr>
          <w:rFonts w:hint="eastAsia"/>
        </w:rPr>
        <w:t>.</w:t>
      </w:r>
      <w:r>
        <w:rPr>
          <w:rFonts w:hint="eastAsia"/>
        </w:rPr>
        <w:t>基于</w:t>
      </w:r>
      <w:r>
        <w:rPr>
          <w:rFonts w:hint="eastAsia"/>
        </w:rPr>
        <w:t>DEA</w:t>
      </w:r>
      <w:r>
        <w:rPr>
          <w:rFonts w:hint="eastAsia"/>
        </w:rPr>
        <w:t>方法的多视角下我国二氧化碳边际减</w:t>
      </w:r>
      <w:proofErr w:type="gramStart"/>
      <w:r>
        <w:rPr>
          <w:rFonts w:hint="eastAsia"/>
        </w:rPr>
        <w:t>排成本</w:t>
      </w:r>
      <w:proofErr w:type="gramEnd"/>
      <w:r>
        <w:rPr>
          <w:rFonts w:hint="eastAsia"/>
        </w:rPr>
        <w:t>的测算及应用研究</w:t>
      </w:r>
      <w:r>
        <w:rPr>
          <w:rFonts w:hint="eastAsia"/>
        </w:rPr>
        <w:t>[D].</w:t>
      </w:r>
      <w:r>
        <w:rPr>
          <w:rFonts w:hint="eastAsia"/>
        </w:rPr>
        <w:t>南京航空航天大学</w:t>
      </w:r>
      <w:r>
        <w:rPr>
          <w:rFonts w:hint="eastAsia"/>
        </w:rPr>
        <w:t>,2020.</w:t>
      </w:r>
      <w:proofErr w:type="gramStart"/>
      <w:r>
        <w:rPr>
          <w:rFonts w:hint="eastAsia"/>
        </w:rPr>
        <w:t>DOI:10.27239/d.cnki.gnhhu</w:t>
      </w:r>
      <w:proofErr w:type="gramEnd"/>
      <w:r>
        <w:rPr>
          <w:rFonts w:hint="eastAsia"/>
        </w:rPr>
        <w:t>.2020.002513</w:t>
      </w:r>
    </w:p>
    <w:p w14:paraId="3037CE77" w14:textId="77777777" w:rsidR="00897705" w:rsidRDefault="00000000">
      <w:pPr>
        <w:pStyle w:val="a"/>
      </w:pPr>
      <w:proofErr w:type="gramStart"/>
      <w:r>
        <w:rPr>
          <w:rFonts w:hint="eastAsia"/>
        </w:rPr>
        <w:t>吉丹俊</w:t>
      </w:r>
      <w:proofErr w:type="gramEnd"/>
      <w:r>
        <w:rPr>
          <w:rFonts w:hint="eastAsia"/>
        </w:rPr>
        <w:t>.</w:t>
      </w:r>
      <w:r>
        <w:rPr>
          <w:rFonts w:hint="eastAsia"/>
        </w:rPr>
        <w:t>中国省域二氧化碳边际减</w:t>
      </w:r>
      <w:proofErr w:type="gramStart"/>
      <w:r>
        <w:rPr>
          <w:rFonts w:hint="eastAsia"/>
        </w:rPr>
        <w:t>排成本</w:t>
      </w:r>
      <w:proofErr w:type="gramEnd"/>
      <w:r>
        <w:rPr>
          <w:rFonts w:hint="eastAsia"/>
        </w:rPr>
        <w:t>估计</w:t>
      </w:r>
      <w:r>
        <w:rPr>
          <w:rFonts w:hint="eastAsia"/>
        </w:rPr>
        <w:t>:</w:t>
      </w:r>
      <w:r>
        <w:rPr>
          <w:rFonts w:hint="eastAsia"/>
        </w:rPr>
        <w:t>基于参数化的方法</w:t>
      </w:r>
      <w:r>
        <w:rPr>
          <w:rFonts w:hint="eastAsia"/>
        </w:rPr>
        <w:t>[J].</w:t>
      </w:r>
      <w:r>
        <w:rPr>
          <w:rFonts w:hint="eastAsia"/>
        </w:rPr>
        <w:t>常州大学学报</w:t>
      </w:r>
      <w:r>
        <w:rPr>
          <w:rFonts w:hint="eastAsia"/>
        </w:rPr>
        <w:t>(</w:t>
      </w:r>
      <w:r>
        <w:rPr>
          <w:rFonts w:hint="eastAsia"/>
        </w:rPr>
        <w:t>社会科学版</w:t>
      </w:r>
      <w:r>
        <w:rPr>
          <w:rFonts w:hint="eastAsia"/>
        </w:rPr>
        <w:t>),2017,18(01):52-62.</w:t>
      </w:r>
    </w:p>
    <w:p w14:paraId="67F865AC" w14:textId="323069D4" w:rsidR="00897705" w:rsidRDefault="00000000">
      <w:pPr>
        <w:pStyle w:val="a"/>
      </w:pPr>
      <w:r>
        <w:rPr>
          <w:rFonts w:hint="eastAsia"/>
        </w:rPr>
        <w:lastRenderedPageBreak/>
        <w:t>宋杰鲲</w:t>
      </w:r>
      <w:r>
        <w:rPr>
          <w:rFonts w:hint="eastAsia"/>
        </w:rPr>
        <w:t>,</w:t>
      </w:r>
      <w:r>
        <w:rPr>
          <w:rFonts w:hint="eastAsia"/>
        </w:rPr>
        <w:t>曹子建</w:t>
      </w:r>
      <w:r>
        <w:rPr>
          <w:rFonts w:hint="eastAsia"/>
        </w:rPr>
        <w:t>,</w:t>
      </w:r>
      <w:r>
        <w:rPr>
          <w:rFonts w:hint="eastAsia"/>
        </w:rPr>
        <w:t>张凯新</w:t>
      </w:r>
      <w:r>
        <w:rPr>
          <w:rFonts w:hint="eastAsia"/>
        </w:rPr>
        <w:t>.</w:t>
      </w:r>
      <w:r>
        <w:rPr>
          <w:rFonts w:hint="eastAsia"/>
        </w:rPr>
        <w:t>我国省域</w:t>
      </w:r>
      <w:r w:rsidR="008F6F5D">
        <w:rPr>
          <w:rFonts w:hint="eastAsia"/>
        </w:rPr>
        <w:t>二氧化碳影子价格</w:t>
      </w:r>
      <w:r>
        <w:rPr>
          <w:rFonts w:hint="eastAsia"/>
        </w:rPr>
        <w:t>研究</w:t>
      </w:r>
      <w:r>
        <w:rPr>
          <w:rFonts w:hint="eastAsia"/>
        </w:rPr>
        <w:t>[J].</w:t>
      </w:r>
      <w:r>
        <w:rPr>
          <w:rFonts w:hint="eastAsia"/>
        </w:rPr>
        <w:t>价格月刊</w:t>
      </w:r>
      <w:r>
        <w:rPr>
          <w:rFonts w:hint="eastAsia"/>
        </w:rPr>
        <w:t>,2016,(09):</w:t>
      </w:r>
      <w:proofErr w:type="gramStart"/>
      <w:r>
        <w:rPr>
          <w:rFonts w:hint="eastAsia"/>
        </w:rPr>
        <w:t>6-11.DOI:10.14076/j.issn</w:t>
      </w:r>
      <w:proofErr w:type="gramEnd"/>
      <w:r>
        <w:rPr>
          <w:rFonts w:hint="eastAsia"/>
        </w:rPr>
        <w:t>.1006-2025.2016.09.02</w:t>
      </w:r>
    </w:p>
    <w:p w14:paraId="3F616B66" w14:textId="77777777" w:rsidR="00897705" w:rsidRDefault="00000000">
      <w:pPr>
        <w:pStyle w:val="a"/>
      </w:pPr>
      <w:proofErr w:type="gramStart"/>
      <w:r>
        <w:rPr>
          <w:rFonts w:hint="eastAsia"/>
        </w:rPr>
        <w:t>窦立荣</w:t>
      </w:r>
      <w:proofErr w:type="gramEnd"/>
      <w:r>
        <w:rPr>
          <w:rFonts w:hint="eastAsia"/>
        </w:rPr>
        <w:t>,</w:t>
      </w:r>
      <w:r>
        <w:rPr>
          <w:rFonts w:hint="eastAsia"/>
        </w:rPr>
        <w:t>孙龙德</w:t>
      </w:r>
      <w:r>
        <w:rPr>
          <w:rFonts w:hint="eastAsia"/>
        </w:rPr>
        <w:t>,</w:t>
      </w:r>
      <w:r>
        <w:rPr>
          <w:rFonts w:hint="eastAsia"/>
        </w:rPr>
        <w:t>吕伟峰等</w:t>
      </w:r>
      <w:r>
        <w:rPr>
          <w:rFonts w:hint="eastAsia"/>
        </w:rPr>
        <w:t>.</w:t>
      </w:r>
      <w:r>
        <w:rPr>
          <w:rFonts w:hint="eastAsia"/>
        </w:rPr>
        <w:t>全球二氧化碳捕集、利用与封存产业发展趋势及中国面临的挑战与对策</w:t>
      </w:r>
      <w:r>
        <w:rPr>
          <w:rFonts w:hint="eastAsia"/>
        </w:rPr>
        <w:t>[J].</w:t>
      </w:r>
      <w:r>
        <w:rPr>
          <w:rFonts w:hint="eastAsia"/>
        </w:rPr>
        <w:t>石油勘探与开发</w:t>
      </w:r>
      <w:r>
        <w:rPr>
          <w:rFonts w:hint="eastAsia"/>
        </w:rPr>
        <w:t>,2023,50(05):1083-1096.</w:t>
      </w:r>
    </w:p>
    <w:p w14:paraId="176201D2" w14:textId="77777777" w:rsidR="00897705" w:rsidRDefault="00000000">
      <w:pPr>
        <w:pStyle w:val="a"/>
      </w:pPr>
      <w:r>
        <w:rPr>
          <w:rFonts w:hint="eastAsia"/>
        </w:rPr>
        <w:t>孙睿璇</w:t>
      </w:r>
      <w:r>
        <w:rPr>
          <w:rFonts w:hint="eastAsia"/>
        </w:rPr>
        <w:t>.</w:t>
      </w:r>
      <w:proofErr w:type="gramStart"/>
      <w:r>
        <w:rPr>
          <w:rFonts w:hint="eastAsia"/>
        </w:rPr>
        <w:t>我国碳排放权</w:t>
      </w:r>
      <w:proofErr w:type="gramEnd"/>
      <w:r>
        <w:rPr>
          <w:rFonts w:hint="eastAsia"/>
        </w:rPr>
        <w:t>交易的政策效应与</w:t>
      </w:r>
      <w:proofErr w:type="gramStart"/>
      <w:r>
        <w:rPr>
          <w:rFonts w:hint="eastAsia"/>
        </w:rPr>
        <w:t>碳市场</w:t>
      </w:r>
      <w:proofErr w:type="gramEnd"/>
      <w:r>
        <w:rPr>
          <w:rFonts w:hint="eastAsia"/>
        </w:rPr>
        <w:t>运行效率研究</w:t>
      </w:r>
      <w:r>
        <w:rPr>
          <w:rFonts w:hint="eastAsia"/>
        </w:rPr>
        <w:t>[D].</w:t>
      </w:r>
      <w:r>
        <w:rPr>
          <w:rFonts w:hint="eastAsia"/>
        </w:rPr>
        <w:t>山东师范大学</w:t>
      </w:r>
      <w:r>
        <w:rPr>
          <w:rFonts w:hint="eastAsia"/>
        </w:rPr>
        <w:t>,2023.</w:t>
      </w:r>
      <w:proofErr w:type="gramStart"/>
      <w:r>
        <w:rPr>
          <w:rFonts w:hint="eastAsia"/>
        </w:rPr>
        <w:t>DOI:10.27280/d.cnki.gsdsu</w:t>
      </w:r>
      <w:proofErr w:type="gramEnd"/>
      <w:r>
        <w:rPr>
          <w:rFonts w:hint="eastAsia"/>
        </w:rPr>
        <w:t>.2023.001422</w:t>
      </w:r>
    </w:p>
    <w:p w14:paraId="25EC9FFF" w14:textId="77777777" w:rsidR="00897705" w:rsidRDefault="00897705"/>
    <w:sectPr w:rsidR="00897705">
      <w:footerReference w:type="default" r:id="rId22"/>
      <w:pgSz w:w="11906" w:h="16838"/>
      <w:pgMar w:top="1440" w:right="1559" w:bottom="1440" w:left="1559"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EAEA32" w14:textId="77777777" w:rsidR="00E14220" w:rsidRDefault="00E14220">
      <w:pPr>
        <w:spacing w:line="240" w:lineRule="auto"/>
      </w:pPr>
      <w:r>
        <w:separator/>
      </w:r>
    </w:p>
  </w:endnote>
  <w:endnote w:type="continuationSeparator" w:id="0">
    <w:p w14:paraId="0649F7CE" w14:textId="77777777" w:rsidR="00E14220" w:rsidRDefault="00E142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简">
    <w:altName w:val="宋体"/>
    <w:charset w:val="86"/>
    <w:family w:val="auto"/>
    <w:pitch w:val="default"/>
    <w:sig w:usb0="00000000" w:usb1="00000000" w:usb2="00000010" w:usb3="00000000" w:csb0="0004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9EA9D" w14:textId="77777777" w:rsidR="008F6F5D" w:rsidRDefault="008F6F5D">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083FA" w14:textId="77777777" w:rsidR="008F6F5D" w:rsidRDefault="008F6F5D">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DCA3E0" w14:textId="77777777" w:rsidR="008F6F5D" w:rsidRDefault="008F6F5D">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90A15" w14:textId="77777777" w:rsidR="00897705" w:rsidRDefault="00000000">
    <w:pPr>
      <w:pStyle w:val="a8"/>
    </w:pPr>
    <w:r>
      <w:pict w14:anchorId="004EF66E">
        <v:shapetype id="_x0000_t202" coordsize="21600,21600" o:spt="202" path="m,l,21600r21600,l21600,xe">
          <v:stroke joinstyle="miter"/>
          <v:path gradientshapeok="t" o:connecttype="rect"/>
        </v:shapetype>
        <v:shape id="_x0000_s1026" type="#_x0000_t202" style="position:absolute;margin-left:0;margin-top:0;width:2in;height:2in;z-index:251660288;mso-wrap-style:none;mso-position-horizontal:center;mso-position-horizontal-relative:margin;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HhUDwIAAB8EAAAOAAAAZHJzL2Uyb0RvYy54bWysU1GP0zAMfkfiP0R5Z+2GOE3VulPZaQhp&#10;4k7aIZ6zNF0rkjhysrXj1+Nk7YaAJ8RL6tTOZ/vz59XjYDQ7K/Qd2JLPZzlnykqoO3ss+dfX7bsl&#10;Zz4IWwsNVpX8ojx/XL99s+pdoRbQgq4VMgKxvuhdydsQXJFlXrbKCD8Dpyw5G0AjAl3xmNUoekI3&#10;Olvk+UPWA9YOQSrv6e/T1cnXCb9plAzPTeNVYLrkVFtIJ6bzEM9svRLFEYVrOzmWIf6hCiM6S0lv&#10;UE8iCHbC7g8o00kED02YSTAZNE0nVeqBupnnv3Wzb4VTqRcix7sbTf7/wcov5717QRaGjzDQAFMT&#10;3u1AfvfMwqYV9qgqROhbJWpKPI+UZb3zxfg0Uu0LTyCx/6FBE7/UGSM8ovxyo1kNgcmYZLlYLnNy&#10;SfJNl4h6f+7Qh08KDItGyZHmmCoT550P19ApJGazsO20TrPUlvUlf3j/IU8Pbh4C1zbGqqSKEeZe&#10;erTCcBgIJJoHqC9EC8JVMd7JbUel7IQPLwJJIlQ+yT4809FooJQwWpy1gD/+9j/G0+TIy1lPkiu5&#10;pZ3gTH+2RGxU52TgZBwmw57MBkjDc1onJ5NJDzDoyWwQzDfahSrmIJewkjKVPEzmJlxlT7skVVWl&#10;INKgE2Fn905G6EiPd9UpEJ2J5TsT48xJhWlO48ZEmf96T1H3vV7/BAAA//8DAFBLAwQUAAYACAAA&#10;ACEAABfl9NkAAAAKAQAADwAAAGRycy9kb3ducmV2LnhtbExPQU7DMBC8I/EHa5G4UYeCUJTGqaAQ&#10;jkg0HDi68TZJsdeR7abh9ywICS6jHY1mdqZcz86KCUMcPCm4XmQgkFpvBuoUvDX1VQ4iJk1GW0+o&#10;4BMjrKvzs1IXxp/oFadt6gSHUCy0gj6lsZAytj06HRd+RGJt74PTiWnopAn6xOHOymWW3UmnB+IP&#10;vR5x02P7sT06BZu6acKEMdh3fK5vDi8Pt/g0K3V5MT+uGO5XIBLO6c8B3xu4P1RcbOePZKKwCnhN&#10;+kHWlnnOdPd7yKqU/ydUXwAAAP//AwBQSwECLQAUAAYACAAAACEAtoM4kv4AAADhAQAAEwAAAAAA&#10;AAAAAAAAAAAAAAAAW0NvbnRlbnRfVHlwZXNdLnhtbFBLAQItABQABgAIAAAAIQA4/SH/1gAAAJQB&#10;AAALAAAAAAAAAAAAAAAAAC8BAABfcmVscy8ucmVsc1BLAQItABQABgAIAAAAIQCkeHhUDwIAAB8E&#10;AAAOAAAAAAAAAAAAAAAAAC4CAABkcnMvZTJvRG9jLnhtbFBLAQItABQABgAIAAAAIQAAF+X02QAA&#10;AAoBAAAPAAAAAAAAAAAAAAAAAGkEAABkcnMvZG93bnJldi54bWxQSwUGAAAAAAQABADzAAAAbwUA&#10;AAAA&#10;" filled="f" stroked="f" strokeweight=".5pt">
          <v:textbox style="mso-fit-shape-to-text:t" inset="0,0,0,0">
            <w:txbxContent>
              <w:p w14:paraId="5DADAF17" w14:textId="77777777" w:rsidR="00897705" w:rsidRDefault="00000000">
                <w:pPr>
                  <w:pStyle w:val="a8"/>
                </w:pPr>
                <w:r>
                  <w:fldChar w:fldCharType="begin"/>
                </w:r>
                <w:r>
                  <w:instrText xml:space="preserve"> PAGE  \* MERGEFORMAT </w:instrText>
                </w:r>
                <w:r>
                  <w:fldChar w:fldCharType="separate"/>
                </w:r>
                <w:r>
                  <w:t>1</w:t>
                </w:r>
                <w:r>
                  <w:fldChar w:fldCharType="end"/>
                </w:r>
              </w:p>
            </w:txbxContent>
          </v:textbox>
          <w10:wrap anchorx="margin"/>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18A6A" w14:textId="77777777" w:rsidR="00897705" w:rsidRDefault="00000000">
    <w:pPr>
      <w:pStyle w:val="a8"/>
      <w:spacing w:before="480"/>
    </w:pPr>
    <w:r>
      <w:pict w14:anchorId="70508FE8">
        <v:shapetype id="_x0000_t202" coordsize="21600,21600" o:spt="202" path="m,l,21600r21600,l21600,xe">
          <v:stroke joinstyle="miter"/>
          <v:path gradientshapeok="t" o:connecttype="rect"/>
        </v:shapetype>
        <v:shape id="_x0000_s1025" type="#_x0000_t202" style="position:absolute;margin-left:191.95pt;margin-top:30.75pt;width:25.55pt;height:15.5pt;z-index:251659264;mso-position-horizontal-relative:margin;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QDAEgIAACYEAAAOAAAAZHJzL2Uyb0RvYy54bWysU1GP0zAMfkfiP0R5Z+2GOE3VulPZaQhp&#10;4k7aIZ6zNFkr0jhysrXj1+Nk7YaAJ8RL6tTOZ/vz59Xj0Bl2VuhbsCWfz3LOlJVQt/ZY8q+v23dL&#10;znwQthYGrCr5RXn+uH77ZtW7Qi2gAVMrZARifdG7kjchuCLLvGxUJ/wMnLLk1ICdCHTFY1aj6Am9&#10;M9kizx+yHrB2CFJ5T3+frk6+TvhaKxmetfYqMFNyqi2kE9N5iGe2XoniiMI1rRzLEP9QRSdaS0lv&#10;UE8iCHbC9g+orpUIHnSYSegy0LqVKvVA3czz37rZN8Kp1AuR492NJv//YOWX8969IAvDRxhogKkJ&#10;73Ygv3tmYdMIe1QVIvSNEjUlnkfKst75YnwaqfaFJ5DY/6Cxi1/qjBEeUX650ayGwGRMslwslzm5&#10;JPmmS0S9P3fowycFHYtGyZHmmCoT550P19ApJGazsG2NSbM0lvUlf3j/IU8Pbh4CNzbGqqSKEeZe&#10;erTCcBhYW49Nxj8HqC/EDsJVON7JbUsV7YQPLwJJKdQFqT8806ENUGYYLc4awB9/+x/jaYDk5awn&#10;5ZXc0mpwZj5b4jeKdDJwMg6TYU/dBkjKc9oqJ5NJDzCYydQI3TdaiSrmIJewkjKVPEzmJlzVTysl&#10;VVWlIJKiE2Fn905G6MiSd9UpEKuJ7DsT4+hJjGlc4+JEtf96T1H39V7/BAAA//8DAFBLAwQUAAYA&#10;CAAAACEAABfl9NkAAAAKAQAADwAAAGRycy9kb3ducmV2LnhtbExPQU7DMBC8I/EHa5G4UYeCUJTG&#10;qaAQjkg0HDi68TZJsdeR7abh9ywICS6jHY1mdqZcz86KCUMcPCm4XmQgkFpvBuoUvDX1VQ4iJk1G&#10;W0+o4BMjrKvzs1IXxp/oFadt6gSHUCy0gj6lsZAytj06HRd+RGJt74PTiWnopAn6xOHOymWW3Umn&#10;B+IPvR5x02P7sT06BZu6acKEMdh3fK5vDi8Pt/g0K3V5MT+uGO5XIBLO6c8B3xu4P1RcbOePZKKw&#10;CnhN+kHWlnnOdPd7yKqU/ydUXwAAAP//AwBQSwECLQAUAAYACAAAACEAtoM4kv4AAADhAQAAEwAA&#10;AAAAAAAAAAAAAAAAAAAAW0NvbnRlbnRfVHlwZXNdLnhtbFBLAQItABQABgAIAAAAIQA4/SH/1gAA&#10;AJQBAAALAAAAAAAAAAAAAAAAAC8BAABfcmVscy8ucmVsc1BLAQItABQABgAIAAAAIQChCQDAEgIA&#10;ACYEAAAOAAAAAAAAAAAAAAAAAC4CAABkcnMvZTJvRG9jLnhtbFBLAQItABQABgAIAAAAIQAAF+X0&#10;2QAAAAoBAAAPAAAAAAAAAAAAAAAAAGwEAABkcnMvZG93bnJldi54bWxQSwUGAAAAAAQABADzAAAA&#10;cgUAAAAA&#10;" filled="f" stroked="f" strokeweight=".5pt">
          <v:textbox style="mso-fit-shape-to-text:t" inset="0,0,0,0">
            <w:txbxContent>
              <w:p w14:paraId="38909C85" w14:textId="77777777" w:rsidR="00897705" w:rsidRDefault="00000000">
                <w:pPr>
                  <w:pStyle w:val="a8"/>
                </w:pPr>
                <w:r>
                  <w:fldChar w:fldCharType="begin"/>
                </w:r>
                <w:r>
                  <w:instrText xml:space="preserve"> PAGE  \* MERGEFORMAT </w:instrText>
                </w:r>
                <w:r>
                  <w:fldChar w:fldCharType="separate"/>
                </w:r>
                <w:r>
                  <w:t>1</w:t>
                </w:r>
                <w: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FF1E11" w14:textId="77777777" w:rsidR="00E14220" w:rsidRDefault="00E14220">
      <w:r>
        <w:separator/>
      </w:r>
    </w:p>
  </w:footnote>
  <w:footnote w:type="continuationSeparator" w:id="0">
    <w:p w14:paraId="68094477" w14:textId="77777777" w:rsidR="00E14220" w:rsidRDefault="00E142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6580C" w14:textId="77777777" w:rsidR="008F6F5D" w:rsidRDefault="008F6F5D">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0F1FC" w14:textId="77777777" w:rsidR="008F6F5D" w:rsidRDefault="008F6F5D">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E154D" w14:textId="77777777" w:rsidR="008F6F5D" w:rsidRDefault="008F6F5D">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29B8F" w14:textId="5CD9A8E6" w:rsidR="00897705" w:rsidRDefault="00000000">
    <w:pPr>
      <w:spacing w:beforeLines="200" w:before="480"/>
      <w:jc w:val="center"/>
      <w:rPr>
        <w:rFonts w:ascii="楷体" w:eastAsia="楷体" w:hAnsi="楷体" w:cs="楷体"/>
        <w:color w:val="5F7D73" w:themeColor="accent1" w:themeShade="BF"/>
        <w:spacing w:val="2"/>
        <w:sz w:val="21"/>
        <w:szCs w:val="21"/>
      </w:rPr>
    </w:pPr>
    <w:r>
      <w:rPr>
        <w:rFonts w:ascii="楷体" w:eastAsia="楷体" w:hAnsi="楷体" w:cs="楷体" w:hint="eastAsia"/>
        <w:spacing w:val="2"/>
        <w:position w:val="6"/>
        <w:sz w:val="21"/>
        <w:szCs w:val="21"/>
        <w:u w:val="single" w:color="002060"/>
      </w:rPr>
      <w:t xml:space="preserve">管理科学·挑战题                </w:t>
    </w:r>
    <w:r w:rsidR="008F6F5D">
      <w:rPr>
        <w:rFonts w:ascii="楷体" w:eastAsia="楷体" w:hAnsi="楷体" w:cs="楷体" w:hint="eastAsia"/>
        <w:spacing w:val="2"/>
        <w:position w:val="6"/>
        <w:sz w:val="21"/>
        <w:szCs w:val="21"/>
        <w:u w:val="single" w:color="002060"/>
      </w:rPr>
      <w:t>二氧化碳影子价格</w:t>
    </w:r>
    <w:r>
      <w:rPr>
        <w:rFonts w:ascii="楷体" w:eastAsia="楷体" w:hAnsi="楷体" w:cs="楷体" w:hint="eastAsia"/>
        <w:spacing w:val="2"/>
        <w:position w:val="6"/>
        <w:sz w:val="21"/>
        <w:szCs w:val="21"/>
        <w:u w:val="single" w:color="002060"/>
      </w:rPr>
      <w:t xml:space="preserve">                          </w:t>
    </w:r>
    <w:r>
      <w:rPr>
        <w:rFonts w:eastAsia="楷体" w:cs="Times New Roman"/>
        <w:spacing w:val="2"/>
        <w:position w:val="6"/>
        <w:sz w:val="21"/>
        <w:szCs w:val="21"/>
        <w:u w:val="single" w:color="002060"/>
      </w:rPr>
      <w:t>Group 3</w:t>
    </w:r>
    <w:r>
      <w:rPr>
        <w:rFonts w:eastAsia="楷体" w:cs="Times New Roman" w:hint="eastAsia"/>
        <w:spacing w:val="2"/>
        <w:position w:val="6"/>
        <w:sz w:val="21"/>
        <w:szCs w:val="21"/>
        <w:u w:val="single" w:color="00206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7BF95B3"/>
    <w:multiLevelType w:val="singleLevel"/>
    <w:tmpl w:val="87BF95B3"/>
    <w:lvl w:ilvl="0">
      <w:start w:val="1"/>
      <w:numFmt w:val="chineseCounting"/>
      <w:suff w:val="space"/>
      <w:lvlText w:val="（%1）"/>
      <w:lvlJc w:val="left"/>
      <w:rPr>
        <w:rFonts w:hint="eastAsia"/>
      </w:rPr>
    </w:lvl>
  </w:abstractNum>
  <w:abstractNum w:abstractNumId="1" w15:restartNumberingAfterBreak="0">
    <w:nsid w:val="AFDA3960"/>
    <w:multiLevelType w:val="singleLevel"/>
    <w:tmpl w:val="AFDA3960"/>
    <w:lvl w:ilvl="0">
      <w:start w:val="1"/>
      <w:numFmt w:val="chineseCounting"/>
      <w:suff w:val="space"/>
      <w:lvlText w:val="（%1）"/>
      <w:lvlJc w:val="left"/>
      <w:rPr>
        <w:rFonts w:hint="eastAsia"/>
      </w:rPr>
    </w:lvl>
  </w:abstractNum>
  <w:abstractNum w:abstractNumId="2" w15:restartNumberingAfterBreak="0">
    <w:nsid w:val="BB8BF37F"/>
    <w:multiLevelType w:val="singleLevel"/>
    <w:tmpl w:val="BB8BF37F"/>
    <w:lvl w:ilvl="0">
      <w:start w:val="1"/>
      <w:numFmt w:val="chineseCounting"/>
      <w:suff w:val="space"/>
      <w:lvlText w:val="（%1）"/>
      <w:lvlJc w:val="left"/>
      <w:rPr>
        <w:rFonts w:hint="eastAsia"/>
      </w:rPr>
    </w:lvl>
  </w:abstractNum>
  <w:abstractNum w:abstractNumId="3" w15:restartNumberingAfterBreak="0">
    <w:nsid w:val="C757705E"/>
    <w:multiLevelType w:val="singleLevel"/>
    <w:tmpl w:val="C757705E"/>
    <w:lvl w:ilvl="0">
      <w:start w:val="1"/>
      <w:numFmt w:val="chineseCounting"/>
      <w:suff w:val="space"/>
      <w:lvlText w:val="%1、"/>
      <w:lvlJc w:val="left"/>
      <w:rPr>
        <w:rFonts w:hint="eastAsia"/>
      </w:rPr>
    </w:lvl>
  </w:abstractNum>
  <w:abstractNum w:abstractNumId="4" w15:restartNumberingAfterBreak="0">
    <w:nsid w:val="C88589FC"/>
    <w:multiLevelType w:val="singleLevel"/>
    <w:tmpl w:val="C88589FC"/>
    <w:lvl w:ilvl="0">
      <w:start w:val="1"/>
      <w:numFmt w:val="upperRoman"/>
      <w:suff w:val="space"/>
      <w:lvlText w:val="%1."/>
      <w:lvlJc w:val="left"/>
      <w:pPr>
        <w:ind w:left="420" w:firstLine="0"/>
      </w:pPr>
    </w:lvl>
  </w:abstractNum>
  <w:abstractNum w:abstractNumId="5" w15:restartNumberingAfterBreak="0">
    <w:nsid w:val="D54AAC87"/>
    <w:multiLevelType w:val="singleLevel"/>
    <w:tmpl w:val="D54AAC87"/>
    <w:lvl w:ilvl="0">
      <w:start w:val="1"/>
      <w:numFmt w:val="upperRoman"/>
      <w:suff w:val="space"/>
      <w:lvlText w:val="%1."/>
      <w:lvlJc w:val="left"/>
    </w:lvl>
  </w:abstractNum>
  <w:abstractNum w:abstractNumId="6" w15:restartNumberingAfterBreak="0">
    <w:nsid w:val="F0272A1B"/>
    <w:multiLevelType w:val="singleLevel"/>
    <w:tmpl w:val="F0272A1B"/>
    <w:lvl w:ilvl="0">
      <w:start w:val="1"/>
      <w:numFmt w:val="decimal"/>
      <w:suff w:val="space"/>
      <w:lvlText w:val="%1."/>
      <w:lvlJc w:val="left"/>
    </w:lvl>
  </w:abstractNum>
  <w:abstractNum w:abstractNumId="7" w15:restartNumberingAfterBreak="0">
    <w:nsid w:val="14843FD6"/>
    <w:multiLevelType w:val="multilevel"/>
    <w:tmpl w:val="14843FD6"/>
    <w:lvl w:ilvl="0">
      <w:start w:val="1"/>
      <w:numFmt w:val="decimal"/>
      <w:lvlText w:val="%1."/>
      <w:lvlJc w:val="left"/>
      <w:pPr>
        <w:tabs>
          <w:tab w:val="left" w:pos="0"/>
        </w:tabs>
        <w:ind w:left="780" w:hanging="360"/>
      </w:pPr>
      <w:rPr>
        <w:rFonts w:hint="default"/>
      </w:rPr>
    </w:lvl>
    <w:lvl w:ilvl="1">
      <w:start w:val="1"/>
      <w:numFmt w:val="lowerLetter"/>
      <w:lvlText w:val="%2)"/>
      <w:lvlJc w:val="left"/>
      <w:pPr>
        <w:tabs>
          <w:tab w:val="left" w:pos="0"/>
        </w:tabs>
        <w:ind w:left="1300" w:hanging="440"/>
      </w:pPr>
    </w:lvl>
    <w:lvl w:ilvl="2">
      <w:start w:val="1"/>
      <w:numFmt w:val="lowerRoman"/>
      <w:lvlText w:val="%3."/>
      <w:lvlJc w:val="right"/>
      <w:pPr>
        <w:tabs>
          <w:tab w:val="left" w:pos="0"/>
        </w:tabs>
        <w:ind w:left="1740" w:hanging="440"/>
      </w:pPr>
    </w:lvl>
    <w:lvl w:ilvl="3">
      <w:start w:val="1"/>
      <w:numFmt w:val="decimal"/>
      <w:lvlText w:val="%4."/>
      <w:lvlJc w:val="left"/>
      <w:pPr>
        <w:tabs>
          <w:tab w:val="left" w:pos="0"/>
        </w:tabs>
        <w:ind w:left="2180" w:hanging="440"/>
      </w:pPr>
    </w:lvl>
    <w:lvl w:ilvl="4">
      <w:start w:val="1"/>
      <w:numFmt w:val="lowerLetter"/>
      <w:lvlText w:val="%5)"/>
      <w:lvlJc w:val="left"/>
      <w:pPr>
        <w:tabs>
          <w:tab w:val="left" w:pos="0"/>
        </w:tabs>
        <w:ind w:left="2620" w:hanging="440"/>
      </w:pPr>
    </w:lvl>
    <w:lvl w:ilvl="5">
      <w:start w:val="1"/>
      <w:numFmt w:val="lowerRoman"/>
      <w:lvlText w:val="%6."/>
      <w:lvlJc w:val="right"/>
      <w:pPr>
        <w:tabs>
          <w:tab w:val="left" w:pos="0"/>
        </w:tabs>
        <w:ind w:left="3060" w:hanging="440"/>
      </w:pPr>
    </w:lvl>
    <w:lvl w:ilvl="6">
      <w:start w:val="1"/>
      <w:numFmt w:val="decimal"/>
      <w:lvlText w:val="%7."/>
      <w:lvlJc w:val="left"/>
      <w:pPr>
        <w:tabs>
          <w:tab w:val="left" w:pos="0"/>
        </w:tabs>
        <w:ind w:left="3500" w:hanging="440"/>
      </w:pPr>
    </w:lvl>
    <w:lvl w:ilvl="7">
      <w:start w:val="1"/>
      <w:numFmt w:val="lowerLetter"/>
      <w:lvlText w:val="%8)"/>
      <w:lvlJc w:val="left"/>
      <w:pPr>
        <w:tabs>
          <w:tab w:val="left" w:pos="0"/>
        </w:tabs>
        <w:ind w:left="3940" w:hanging="440"/>
      </w:pPr>
    </w:lvl>
    <w:lvl w:ilvl="8">
      <w:start w:val="1"/>
      <w:numFmt w:val="lowerRoman"/>
      <w:lvlText w:val="%9."/>
      <w:lvlJc w:val="right"/>
      <w:pPr>
        <w:tabs>
          <w:tab w:val="left" w:pos="0"/>
        </w:tabs>
        <w:ind w:left="4380" w:hanging="440"/>
      </w:pPr>
    </w:lvl>
  </w:abstractNum>
  <w:abstractNum w:abstractNumId="8" w15:restartNumberingAfterBreak="0">
    <w:nsid w:val="3C0018E9"/>
    <w:multiLevelType w:val="singleLevel"/>
    <w:tmpl w:val="3C0018E9"/>
    <w:lvl w:ilvl="0">
      <w:start w:val="1"/>
      <w:numFmt w:val="chineseCounting"/>
      <w:suff w:val="space"/>
      <w:lvlText w:val="（%1）"/>
      <w:lvlJc w:val="left"/>
      <w:rPr>
        <w:rFonts w:hint="eastAsia"/>
      </w:rPr>
    </w:lvl>
  </w:abstractNum>
  <w:abstractNum w:abstractNumId="9" w15:restartNumberingAfterBreak="0">
    <w:nsid w:val="417B0E33"/>
    <w:multiLevelType w:val="singleLevel"/>
    <w:tmpl w:val="417B0E33"/>
    <w:lvl w:ilvl="0">
      <w:start w:val="1"/>
      <w:numFmt w:val="decimal"/>
      <w:suff w:val="space"/>
      <w:lvlText w:val="%1."/>
      <w:lvlJc w:val="left"/>
    </w:lvl>
  </w:abstractNum>
  <w:abstractNum w:abstractNumId="10" w15:restartNumberingAfterBreak="0">
    <w:nsid w:val="4FAD7714"/>
    <w:multiLevelType w:val="multilevel"/>
    <w:tmpl w:val="4FAD7714"/>
    <w:lvl w:ilvl="0">
      <w:start w:val="1"/>
      <w:numFmt w:val="decimal"/>
      <w:pStyle w:val="a"/>
      <w:lvlText w:val="[%1]"/>
      <w:lvlJc w:val="left"/>
      <w:pPr>
        <w:ind w:left="420" w:hanging="420"/>
      </w:pPr>
      <w:rPr>
        <w:rFonts w:ascii="Times New Roman" w:eastAsia="宋体" w:hAnsi="Times New Roman" w:hint="default"/>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FB19D42"/>
    <w:multiLevelType w:val="singleLevel"/>
    <w:tmpl w:val="5FB19D42"/>
    <w:lvl w:ilvl="0">
      <w:start w:val="1"/>
      <w:numFmt w:val="chineseCounting"/>
      <w:suff w:val="space"/>
      <w:lvlText w:val="（%1）"/>
      <w:lvlJc w:val="left"/>
      <w:pPr>
        <w:ind w:left="420"/>
      </w:pPr>
      <w:rPr>
        <w:rFonts w:hint="eastAsia"/>
      </w:rPr>
    </w:lvl>
  </w:abstractNum>
  <w:num w:numId="1" w16cid:durableId="1705475614">
    <w:abstractNumId w:val="10"/>
  </w:num>
  <w:num w:numId="2" w16cid:durableId="247660568">
    <w:abstractNumId w:val="3"/>
  </w:num>
  <w:num w:numId="3" w16cid:durableId="776171891">
    <w:abstractNumId w:val="0"/>
  </w:num>
  <w:num w:numId="4" w16cid:durableId="1260791144">
    <w:abstractNumId w:val="5"/>
  </w:num>
  <w:num w:numId="5" w16cid:durableId="373047879">
    <w:abstractNumId w:val="2"/>
  </w:num>
  <w:num w:numId="6" w16cid:durableId="1381130770">
    <w:abstractNumId w:val="1"/>
  </w:num>
  <w:num w:numId="7" w16cid:durableId="960306107">
    <w:abstractNumId w:val="4"/>
  </w:num>
  <w:num w:numId="8" w16cid:durableId="1731802445">
    <w:abstractNumId w:val="8"/>
  </w:num>
  <w:num w:numId="9" w16cid:durableId="1800295552">
    <w:abstractNumId w:val="6"/>
  </w:num>
  <w:num w:numId="10" w16cid:durableId="1723866941">
    <w:abstractNumId w:val="7"/>
  </w:num>
  <w:num w:numId="11" w16cid:durableId="779035619">
    <w:abstractNumId w:val="11"/>
  </w:num>
  <w:num w:numId="12" w16cid:durableId="800925398">
    <w:abstractNumId w:val="9"/>
  </w:num>
  <w:num w:numId="13" w16cid:durableId="71396891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commondata" w:val="eyJoZGlkIjoiODYzNzg4YmNlNTE1Yzc4YmY4YTVjN2FmYzI1MGFkZjAifQ=="/>
  </w:docVars>
  <w:rsids>
    <w:rsidRoot w:val="00252A64"/>
    <w:rsid w:val="00004211"/>
    <w:rsid w:val="00016FBC"/>
    <w:rsid w:val="00020212"/>
    <w:rsid w:val="0002318A"/>
    <w:rsid w:val="00032B84"/>
    <w:rsid w:val="00046C1C"/>
    <w:rsid w:val="00074047"/>
    <w:rsid w:val="00093DAF"/>
    <w:rsid w:val="000B151F"/>
    <w:rsid w:val="000B24C3"/>
    <w:rsid w:val="000B3FDA"/>
    <w:rsid w:val="00114CA2"/>
    <w:rsid w:val="00126E24"/>
    <w:rsid w:val="0013250B"/>
    <w:rsid w:val="001358CC"/>
    <w:rsid w:val="001360D9"/>
    <w:rsid w:val="001405D4"/>
    <w:rsid w:val="00161608"/>
    <w:rsid w:val="001617D3"/>
    <w:rsid w:val="00164669"/>
    <w:rsid w:val="00175925"/>
    <w:rsid w:val="001773C1"/>
    <w:rsid w:val="00177706"/>
    <w:rsid w:val="00197452"/>
    <w:rsid w:val="001E2597"/>
    <w:rsid w:val="001E55B8"/>
    <w:rsid w:val="00215549"/>
    <w:rsid w:val="00221C4C"/>
    <w:rsid w:val="00233424"/>
    <w:rsid w:val="00241083"/>
    <w:rsid w:val="00245FA6"/>
    <w:rsid w:val="00250679"/>
    <w:rsid w:val="00252A64"/>
    <w:rsid w:val="002547E5"/>
    <w:rsid w:val="002733A2"/>
    <w:rsid w:val="002E7A29"/>
    <w:rsid w:val="0030143F"/>
    <w:rsid w:val="00306D0C"/>
    <w:rsid w:val="0032306C"/>
    <w:rsid w:val="00352EF1"/>
    <w:rsid w:val="00367248"/>
    <w:rsid w:val="003825DF"/>
    <w:rsid w:val="003A0B5F"/>
    <w:rsid w:val="003A5B62"/>
    <w:rsid w:val="003C2FD6"/>
    <w:rsid w:val="003D1D52"/>
    <w:rsid w:val="003E0498"/>
    <w:rsid w:val="003E1CCF"/>
    <w:rsid w:val="003E70C5"/>
    <w:rsid w:val="00401C06"/>
    <w:rsid w:val="004313EA"/>
    <w:rsid w:val="004401CB"/>
    <w:rsid w:val="00476A4D"/>
    <w:rsid w:val="00494654"/>
    <w:rsid w:val="004C50F4"/>
    <w:rsid w:val="004D0E3A"/>
    <w:rsid w:val="004D1893"/>
    <w:rsid w:val="004D3405"/>
    <w:rsid w:val="004E115A"/>
    <w:rsid w:val="004E2351"/>
    <w:rsid w:val="004E5FA3"/>
    <w:rsid w:val="00501E35"/>
    <w:rsid w:val="0052563A"/>
    <w:rsid w:val="005260A3"/>
    <w:rsid w:val="005326E8"/>
    <w:rsid w:val="0053494B"/>
    <w:rsid w:val="00543A3B"/>
    <w:rsid w:val="0054402C"/>
    <w:rsid w:val="00544077"/>
    <w:rsid w:val="0055167B"/>
    <w:rsid w:val="005612A4"/>
    <w:rsid w:val="00563AF0"/>
    <w:rsid w:val="005741B6"/>
    <w:rsid w:val="005920EA"/>
    <w:rsid w:val="005A2C78"/>
    <w:rsid w:val="005C28F0"/>
    <w:rsid w:val="005F7886"/>
    <w:rsid w:val="0060475A"/>
    <w:rsid w:val="00636BB1"/>
    <w:rsid w:val="00641205"/>
    <w:rsid w:val="00650F94"/>
    <w:rsid w:val="006724B5"/>
    <w:rsid w:val="00674DE4"/>
    <w:rsid w:val="006947B8"/>
    <w:rsid w:val="0069698C"/>
    <w:rsid w:val="006A2B89"/>
    <w:rsid w:val="006B1136"/>
    <w:rsid w:val="006B13B2"/>
    <w:rsid w:val="006C61A7"/>
    <w:rsid w:val="00741334"/>
    <w:rsid w:val="007558DD"/>
    <w:rsid w:val="0075678E"/>
    <w:rsid w:val="00765295"/>
    <w:rsid w:val="00765492"/>
    <w:rsid w:val="007A3FDB"/>
    <w:rsid w:val="007A756B"/>
    <w:rsid w:val="007B5654"/>
    <w:rsid w:val="007D24CD"/>
    <w:rsid w:val="007D7A80"/>
    <w:rsid w:val="007E1279"/>
    <w:rsid w:val="007E3181"/>
    <w:rsid w:val="008114BE"/>
    <w:rsid w:val="00812533"/>
    <w:rsid w:val="008600D6"/>
    <w:rsid w:val="00897190"/>
    <w:rsid w:val="00897705"/>
    <w:rsid w:val="008B4FF8"/>
    <w:rsid w:val="008C09B4"/>
    <w:rsid w:val="008D1121"/>
    <w:rsid w:val="008D2D48"/>
    <w:rsid w:val="008D7C00"/>
    <w:rsid w:val="008E6633"/>
    <w:rsid w:val="008F6F5D"/>
    <w:rsid w:val="009042DD"/>
    <w:rsid w:val="00910967"/>
    <w:rsid w:val="00912255"/>
    <w:rsid w:val="00941B77"/>
    <w:rsid w:val="0094544F"/>
    <w:rsid w:val="009556D1"/>
    <w:rsid w:val="00956BDE"/>
    <w:rsid w:val="00974564"/>
    <w:rsid w:val="00980392"/>
    <w:rsid w:val="00984A48"/>
    <w:rsid w:val="009A2D99"/>
    <w:rsid w:val="009D7CED"/>
    <w:rsid w:val="009E5710"/>
    <w:rsid w:val="009F09A2"/>
    <w:rsid w:val="00A14D8E"/>
    <w:rsid w:val="00A23724"/>
    <w:rsid w:val="00A406CB"/>
    <w:rsid w:val="00A52D3E"/>
    <w:rsid w:val="00A54FAF"/>
    <w:rsid w:val="00A612BA"/>
    <w:rsid w:val="00A72F66"/>
    <w:rsid w:val="00A75758"/>
    <w:rsid w:val="00A7690D"/>
    <w:rsid w:val="00A776B5"/>
    <w:rsid w:val="00A77BDC"/>
    <w:rsid w:val="00AC4027"/>
    <w:rsid w:val="00AC66EA"/>
    <w:rsid w:val="00AD6937"/>
    <w:rsid w:val="00B0184D"/>
    <w:rsid w:val="00B12621"/>
    <w:rsid w:val="00B177D5"/>
    <w:rsid w:val="00B328B8"/>
    <w:rsid w:val="00B3649F"/>
    <w:rsid w:val="00B47D11"/>
    <w:rsid w:val="00B73DA4"/>
    <w:rsid w:val="00B74E3C"/>
    <w:rsid w:val="00B91E93"/>
    <w:rsid w:val="00B952F6"/>
    <w:rsid w:val="00BD59B0"/>
    <w:rsid w:val="00BE03AE"/>
    <w:rsid w:val="00C032AF"/>
    <w:rsid w:val="00C07348"/>
    <w:rsid w:val="00C47D03"/>
    <w:rsid w:val="00C5297B"/>
    <w:rsid w:val="00C551AC"/>
    <w:rsid w:val="00C55FC8"/>
    <w:rsid w:val="00C661BF"/>
    <w:rsid w:val="00C759CC"/>
    <w:rsid w:val="00C81278"/>
    <w:rsid w:val="00C8448F"/>
    <w:rsid w:val="00C95647"/>
    <w:rsid w:val="00C96CE5"/>
    <w:rsid w:val="00CA30F9"/>
    <w:rsid w:val="00CC30AD"/>
    <w:rsid w:val="00CC5834"/>
    <w:rsid w:val="00CC77A9"/>
    <w:rsid w:val="00CD0424"/>
    <w:rsid w:val="00CE4111"/>
    <w:rsid w:val="00CE51EF"/>
    <w:rsid w:val="00CF42D6"/>
    <w:rsid w:val="00D472AE"/>
    <w:rsid w:val="00D71D95"/>
    <w:rsid w:val="00D8638E"/>
    <w:rsid w:val="00D87028"/>
    <w:rsid w:val="00D958CD"/>
    <w:rsid w:val="00D9607D"/>
    <w:rsid w:val="00D969EA"/>
    <w:rsid w:val="00DC5E47"/>
    <w:rsid w:val="00DE5AEC"/>
    <w:rsid w:val="00DF2614"/>
    <w:rsid w:val="00E14220"/>
    <w:rsid w:val="00E2115B"/>
    <w:rsid w:val="00E26745"/>
    <w:rsid w:val="00E36A4C"/>
    <w:rsid w:val="00E45821"/>
    <w:rsid w:val="00E509F8"/>
    <w:rsid w:val="00E53AED"/>
    <w:rsid w:val="00E53BBB"/>
    <w:rsid w:val="00E816C4"/>
    <w:rsid w:val="00E83566"/>
    <w:rsid w:val="00E97527"/>
    <w:rsid w:val="00EC0856"/>
    <w:rsid w:val="00EE36E0"/>
    <w:rsid w:val="00F06B2A"/>
    <w:rsid w:val="00F146E7"/>
    <w:rsid w:val="00F21E1C"/>
    <w:rsid w:val="00F3208E"/>
    <w:rsid w:val="00F322A6"/>
    <w:rsid w:val="00F70A18"/>
    <w:rsid w:val="00F77EDC"/>
    <w:rsid w:val="00F940FE"/>
    <w:rsid w:val="00FA10DA"/>
    <w:rsid w:val="00FA5665"/>
    <w:rsid w:val="00FA6EF2"/>
    <w:rsid w:val="0AAF1BE9"/>
    <w:rsid w:val="1D763922"/>
    <w:rsid w:val="1E1E141D"/>
    <w:rsid w:val="26872E46"/>
    <w:rsid w:val="28D91807"/>
    <w:rsid w:val="2A5A1A2F"/>
    <w:rsid w:val="2E42490C"/>
    <w:rsid w:val="30C62319"/>
    <w:rsid w:val="34BB0712"/>
    <w:rsid w:val="3DCA1B68"/>
    <w:rsid w:val="43A87F24"/>
    <w:rsid w:val="4C4A2C47"/>
    <w:rsid w:val="4C821947"/>
    <w:rsid w:val="4EA92D70"/>
    <w:rsid w:val="538B7F12"/>
    <w:rsid w:val="55814124"/>
    <w:rsid w:val="559C3D1F"/>
    <w:rsid w:val="5B702C62"/>
    <w:rsid w:val="5DA10AB2"/>
    <w:rsid w:val="5E5341F0"/>
    <w:rsid w:val="5F587755"/>
    <w:rsid w:val="641C32D6"/>
    <w:rsid w:val="655B6E27"/>
    <w:rsid w:val="662D5306"/>
    <w:rsid w:val="6A7A6782"/>
    <w:rsid w:val="791172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CE7B367"/>
  <w15:docId w15:val="{57F38710-43DE-4884-8055-2B5678CB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qFormat="1"/>
    <w:lsdException w:name="footnote text" w:uiPriority="99" w:unhideWhenUsed="1" w:qFormat="1"/>
    <w:lsdException w:name="annotation text" w:qFormat="1"/>
    <w:lsdException w:name="header" w:qFormat="1"/>
    <w:lsdException w:name="footer" w:qFormat="1"/>
    <w:lsdException w:name="caption" w:semiHidden="1" w:unhideWhenUsed="1" w:qFormat="1"/>
    <w:lsdException w:name="footnote reference" w:uiPriority="99" w:unhideWhenUsed="1" w:qFormat="1"/>
    <w:lsdException w:name="annotation reference" w:qFormat="1"/>
    <w:lsdException w:name="Title" w:qFormat="1"/>
    <w:lsdException w:name="Default Paragraph Font" w:semiHidden="1" w:uiPriority="1" w:unhideWhenUsed="1" w:qFormat="1"/>
    <w:lsdException w:name="Body Text" w:uiPriority="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autoRedefine/>
    <w:qFormat/>
    <w:pPr>
      <w:widowControl w:val="0"/>
      <w:spacing w:line="360" w:lineRule="auto"/>
      <w:jc w:val="both"/>
    </w:pPr>
    <w:rPr>
      <w:rFonts w:cstheme="minorBidi"/>
      <w:kern w:val="2"/>
      <w:sz w:val="24"/>
      <w:szCs w:val="24"/>
    </w:rPr>
  </w:style>
  <w:style w:type="paragraph" w:styleId="1">
    <w:name w:val="heading 1"/>
    <w:basedOn w:val="a0"/>
    <w:next w:val="a0"/>
    <w:autoRedefine/>
    <w:qFormat/>
    <w:pPr>
      <w:keepNext/>
      <w:keepLines/>
      <w:spacing w:beforeLines="100" w:before="100" w:line="240" w:lineRule="auto"/>
      <w:outlineLvl w:val="0"/>
    </w:pPr>
    <w:rPr>
      <w:rFonts w:eastAsia="楷体"/>
      <w:b/>
      <w:color w:val="000000" w:themeColor="text1"/>
      <w:kern w:val="44"/>
      <w:sz w:val="28"/>
    </w:rPr>
  </w:style>
  <w:style w:type="paragraph" w:styleId="2">
    <w:name w:val="heading 2"/>
    <w:basedOn w:val="a0"/>
    <w:next w:val="a0"/>
    <w:link w:val="20"/>
    <w:autoRedefine/>
    <w:unhideWhenUsed/>
    <w:qFormat/>
    <w:pPr>
      <w:keepNext/>
      <w:keepLines/>
      <w:spacing w:beforeLines="50" w:before="50" w:afterLines="50" w:after="50" w:line="240" w:lineRule="auto"/>
      <w:outlineLvl w:val="1"/>
    </w:pPr>
    <w:rPr>
      <w:rFonts w:eastAsia="楷体"/>
      <w:b/>
      <w:color w:val="000000" w:themeColor="text1"/>
    </w:rPr>
  </w:style>
  <w:style w:type="paragraph" w:styleId="3">
    <w:name w:val="heading 3"/>
    <w:basedOn w:val="a0"/>
    <w:next w:val="a0"/>
    <w:autoRedefine/>
    <w:unhideWhenUsed/>
    <w:qFormat/>
    <w:pPr>
      <w:keepNext/>
      <w:keepLines/>
      <w:spacing w:before="260" w:after="260" w:line="240" w:lineRule="exact"/>
      <w:outlineLvl w:val="2"/>
    </w:pPr>
    <w:rPr>
      <w:rFonts w:eastAsia="楷体"/>
      <w:b/>
      <w:color w:val="000000" w:themeColor="text1"/>
    </w:rPr>
  </w:style>
  <w:style w:type="paragraph" w:styleId="4">
    <w:name w:val="heading 4"/>
    <w:basedOn w:val="a0"/>
    <w:next w:val="a0"/>
    <w:autoRedefine/>
    <w:unhideWhenUsed/>
    <w:qFormat/>
    <w:pPr>
      <w:keepNext/>
      <w:keepLines/>
      <w:spacing w:before="280" w:after="290" w:line="372" w:lineRule="auto"/>
      <w:outlineLvl w:val="3"/>
    </w:pPr>
    <w:rPr>
      <w:rFonts w:ascii="Arial" w:eastAsia="黑体" w:hAnsi="Arial"/>
      <w:b/>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autoRedefine/>
    <w:semiHidden/>
    <w:unhideWhenUsed/>
    <w:qFormat/>
    <w:rPr>
      <w:rFonts w:ascii="Arial" w:eastAsia="黑体" w:hAnsi="Arial"/>
      <w:sz w:val="20"/>
    </w:rPr>
  </w:style>
  <w:style w:type="paragraph" w:styleId="a5">
    <w:name w:val="annotation text"/>
    <w:basedOn w:val="a0"/>
    <w:autoRedefine/>
    <w:qFormat/>
    <w:pPr>
      <w:jc w:val="left"/>
    </w:pPr>
  </w:style>
  <w:style w:type="paragraph" w:styleId="a6">
    <w:name w:val="Body Text"/>
    <w:basedOn w:val="a0"/>
    <w:link w:val="a7"/>
    <w:autoRedefine/>
    <w:uiPriority w:val="1"/>
    <w:qFormat/>
    <w:pPr>
      <w:autoSpaceDE w:val="0"/>
      <w:autoSpaceDN w:val="0"/>
      <w:spacing w:before="43"/>
      <w:ind w:left="119"/>
      <w:jc w:val="left"/>
    </w:pPr>
    <w:rPr>
      <w:rFonts w:cs="宋体"/>
      <w:kern w:val="0"/>
      <w:szCs w:val="21"/>
      <w:lang w:eastAsia="en-US"/>
    </w:rPr>
  </w:style>
  <w:style w:type="paragraph" w:styleId="TOC3">
    <w:name w:val="toc 3"/>
    <w:basedOn w:val="a0"/>
    <w:next w:val="a0"/>
    <w:autoRedefine/>
    <w:qFormat/>
    <w:pPr>
      <w:ind w:leftChars="400" w:left="840"/>
    </w:pPr>
  </w:style>
  <w:style w:type="paragraph" w:styleId="a8">
    <w:name w:val="footer"/>
    <w:basedOn w:val="a0"/>
    <w:autoRedefine/>
    <w:qFormat/>
    <w:pPr>
      <w:tabs>
        <w:tab w:val="center" w:pos="4153"/>
        <w:tab w:val="right" w:pos="8306"/>
      </w:tabs>
      <w:snapToGrid w:val="0"/>
      <w:jc w:val="left"/>
    </w:pPr>
    <w:rPr>
      <w:sz w:val="18"/>
    </w:rPr>
  </w:style>
  <w:style w:type="paragraph" w:styleId="a9">
    <w:name w:val="header"/>
    <w:basedOn w:val="a0"/>
    <w:autoRedefine/>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rFonts w:eastAsia="黑体"/>
      <w:sz w:val="18"/>
    </w:rPr>
  </w:style>
  <w:style w:type="paragraph" w:styleId="TOC1">
    <w:name w:val="toc 1"/>
    <w:basedOn w:val="a0"/>
    <w:next w:val="a0"/>
    <w:autoRedefine/>
    <w:uiPriority w:val="39"/>
    <w:qFormat/>
  </w:style>
  <w:style w:type="paragraph" w:styleId="aa">
    <w:name w:val="footnote text"/>
    <w:basedOn w:val="a0"/>
    <w:link w:val="ab"/>
    <w:autoRedefine/>
    <w:uiPriority w:val="99"/>
    <w:unhideWhenUsed/>
    <w:qFormat/>
    <w:pPr>
      <w:widowControl/>
      <w:snapToGrid w:val="0"/>
      <w:spacing w:line="240" w:lineRule="auto"/>
      <w:jc w:val="left"/>
    </w:pPr>
    <w:rPr>
      <w:rFonts w:ascii="宋体" w:hAnsi="宋体" w:cs="宋体"/>
      <w:kern w:val="0"/>
      <w:sz w:val="18"/>
      <w:szCs w:val="18"/>
    </w:rPr>
  </w:style>
  <w:style w:type="paragraph" w:styleId="ac">
    <w:name w:val="table of figures"/>
    <w:basedOn w:val="a0"/>
    <w:next w:val="a0"/>
    <w:pPr>
      <w:ind w:leftChars="200" w:left="200" w:hangingChars="200" w:hanging="200"/>
    </w:pPr>
  </w:style>
  <w:style w:type="paragraph" w:styleId="TOC2">
    <w:name w:val="toc 2"/>
    <w:basedOn w:val="a0"/>
    <w:next w:val="a0"/>
    <w:autoRedefine/>
    <w:uiPriority w:val="39"/>
    <w:qFormat/>
    <w:pPr>
      <w:ind w:leftChars="200" w:left="420"/>
    </w:pPr>
  </w:style>
  <w:style w:type="paragraph" w:styleId="ad">
    <w:name w:val="Title"/>
    <w:basedOn w:val="a0"/>
    <w:next w:val="a0"/>
    <w:link w:val="ae"/>
    <w:autoRedefine/>
    <w:qFormat/>
    <w:pPr>
      <w:spacing w:before="240" w:after="60"/>
      <w:jc w:val="center"/>
      <w:outlineLvl w:val="0"/>
    </w:pPr>
    <w:rPr>
      <w:rFonts w:asciiTheme="majorHAnsi" w:eastAsiaTheme="majorEastAsia" w:hAnsiTheme="majorHAnsi" w:cstheme="majorBidi"/>
      <w:b/>
      <w:bCs/>
      <w:sz w:val="32"/>
      <w:szCs w:val="32"/>
    </w:rPr>
  </w:style>
  <w:style w:type="table" w:styleId="af">
    <w:name w:val="Table Grid"/>
    <w:basedOn w:val="a2"/>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1"/>
    <w:autoRedefine/>
    <w:uiPriority w:val="99"/>
    <w:unhideWhenUsed/>
    <w:qFormat/>
    <w:rPr>
      <w:color w:val="0563C1" w:themeColor="hyperlink"/>
      <w:u w:val="single"/>
    </w:rPr>
  </w:style>
  <w:style w:type="character" w:styleId="af1">
    <w:name w:val="annotation reference"/>
    <w:basedOn w:val="a1"/>
    <w:autoRedefine/>
    <w:qFormat/>
    <w:rPr>
      <w:sz w:val="21"/>
      <w:szCs w:val="21"/>
    </w:rPr>
  </w:style>
  <w:style w:type="character" w:styleId="af2">
    <w:name w:val="footnote reference"/>
    <w:basedOn w:val="a1"/>
    <w:autoRedefine/>
    <w:uiPriority w:val="99"/>
    <w:unhideWhenUsed/>
    <w:qFormat/>
    <w:rPr>
      <w:vertAlign w:val="superscript"/>
    </w:rPr>
  </w:style>
  <w:style w:type="paragraph" w:styleId="a">
    <w:name w:val="List Paragraph"/>
    <w:basedOn w:val="a0"/>
    <w:autoRedefine/>
    <w:uiPriority w:val="34"/>
    <w:qFormat/>
    <w:pPr>
      <w:numPr>
        <w:numId w:val="1"/>
      </w:numPr>
    </w:pPr>
  </w:style>
  <w:style w:type="character" w:customStyle="1" w:styleId="20">
    <w:name w:val="标题 2 字符"/>
    <w:basedOn w:val="a1"/>
    <w:link w:val="2"/>
    <w:autoRedefine/>
    <w:qFormat/>
    <w:rPr>
      <w:rFonts w:eastAsia="楷体" w:cstheme="minorBidi"/>
      <w:b/>
      <w:color w:val="000000" w:themeColor="text1"/>
      <w:kern w:val="2"/>
      <w:sz w:val="24"/>
      <w:szCs w:val="24"/>
    </w:rPr>
  </w:style>
  <w:style w:type="character" w:customStyle="1" w:styleId="a7">
    <w:name w:val="正文文本 字符"/>
    <w:basedOn w:val="a1"/>
    <w:link w:val="a6"/>
    <w:autoRedefine/>
    <w:uiPriority w:val="1"/>
    <w:qFormat/>
    <w:rPr>
      <w:rFonts w:cs="宋体"/>
      <w:sz w:val="24"/>
      <w:szCs w:val="21"/>
      <w:lang w:eastAsia="en-US"/>
    </w:rPr>
  </w:style>
  <w:style w:type="character" w:customStyle="1" w:styleId="ab">
    <w:name w:val="脚注文本 字符"/>
    <w:basedOn w:val="a1"/>
    <w:link w:val="aa"/>
    <w:autoRedefine/>
    <w:uiPriority w:val="99"/>
    <w:qFormat/>
    <w:rPr>
      <w:rFonts w:ascii="宋体" w:hAnsi="宋体" w:cs="宋体"/>
      <w:sz w:val="18"/>
      <w:szCs w:val="18"/>
    </w:rPr>
  </w:style>
  <w:style w:type="character" w:customStyle="1" w:styleId="15">
    <w:name w:val="15"/>
    <w:basedOn w:val="a1"/>
    <w:autoRedefine/>
    <w:qFormat/>
    <w:rPr>
      <w:rFonts w:ascii="Cambria" w:eastAsia="宋体-简" w:hAnsi="Cambria"/>
      <w:i/>
    </w:rPr>
  </w:style>
  <w:style w:type="paragraph" w:customStyle="1" w:styleId="10">
    <w:name w:val="书目1"/>
    <w:basedOn w:val="a0"/>
    <w:next w:val="a0"/>
    <w:autoRedefine/>
    <w:uiPriority w:val="37"/>
    <w:semiHidden/>
    <w:unhideWhenUsed/>
    <w:qFormat/>
  </w:style>
  <w:style w:type="character" w:customStyle="1" w:styleId="ae">
    <w:name w:val="标题 字符"/>
    <w:basedOn w:val="a1"/>
    <w:link w:val="ad"/>
    <w:autoRedefine/>
    <w:qFormat/>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chart" Target="charts/chart2.xm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chart" Target="charts/chart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5.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wyy\Desktop\&#31649;&#31185;2023\&#24433;&#23376;&#20215;&#26684;&#25968;&#25454;.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5"/>
    </mc:Choice>
    <mc:Fallback>
      <c:style val="5"/>
    </mc:Fallback>
  </mc:AlternateContent>
  <c:chart>
    <c:autoTitleDeleted val="1"/>
    <c:plotArea>
      <c:layout/>
      <c:barChart>
        <c:barDir val="col"/>
        <c:grouping val="clustered"/>
        <c:varyColors val="0"/>
        <c:ser>
          <c:idx val="0"/>
          <c:order val="0"/>
          <c:tx>
            <c:strRef>
              <c:f>Sheet1!$C$1</c:f>
              <c:strCache>
                <c:ptCount val="1"/>
                <c:pt idx="0">
                  <c:v>上海</c:v>
                </c:pt>
              </c:strCache>
            </c:strRef>
          </c:tx>
          <c:spPr>
            <a:solidFill>
              <a:schemeClr val="accent3">
                <a:shade val="45000"/>
              </a:schemeClr>
            </a:solidFill>
            <a:ln>
              <a:noFill/>
            </a:ln>
            <a:effectLst/>
          </c:spPr>
          <c:invertIfNegative val="0"/>
          <c:cat>
            <c:numRef>
              <c:f>Sheet1!$B$2:$B$11</c:f>
              <c:numCache>
                <c:formatCode>General</c:formatCode>
                <c:ptCount val="10"/>
                <c:pt idx="0">
                  <c:v>2011</c:v>
                </c:pt>
                <c:pt idx="1">
                  <c:v>2012</c:v>
                </c:pt>
                <c:pt idx="2">
                  <c:v>2013</c:v>
                </c:pt>
                <c:pt idx="3">
                  <c:v>2014</c:v>
                </c:pt>
                <c:pt idx="4">
                  <c:v>2015</c:v>
                </c:pt>
                <c:pt idx="5">
                  <c:v>2016</c:v>
                </c:pt>
                <c:pt idx="6">
                  <c:v>2017</c:v>
                </c:pt>
                <c:pt idx="7">
                  <c:v>2018</c:v>
                </c:pt>
                <c:pt idx="8">
                  <c:v>2019</c:v>
                </c:pt>
                <c:pt idx="9">
                  <c:v>2020</c:v>
                </c:pt>
              </c:numCache>
            </c:numRef>
          </c:cat>
          <c:val>
            <c:numRef>
              <c:f>Sheet1!$C$2:$C$11</c:f>
              <c:numCache>
                <c:formatCode>0.00_ </c:formatCode>
                <c:ptCount val="10"/>
                <c:pt idx="0">
                  <c:v>270.69541550197101</c:v>
                </c:pt>
                <c:pt idx="1">
                  <c:v>270.32890711912302</c:v>
                </c:pt>
                <c:pt idx="2">
                  <c:v>268.56339063671999</c:v>
                </c:pt>
                <c:pt idx="3">
                  <c:v>269.21975858591099</c:v>
                </c:pt>
                <c:pt idx="4">
                  <c:v>267.932003942091</c:v>
                </c:pt>
                <c:pt idx="5">
                  <c:v>268.73307053550099</c:v>
                </c:pt>
                <c:pt idx="6">
                  <c:v>270.09302707563802</c:v>
                </c:pt>
                <c:pt idx="7">
                  <c:v>277.738579321234</c:v>
                </c:pt>
                <c:pt idx="8">
                  <c:v>277.61532226126297</c:v>
                </c:pt>
                <c:pt idx="9">
                  <c:v>284.26518557085001</c:v>
                </c:pt>
              </c:numCache>
            </c:numRef>
          </c:val>
          <c:extLst>
            <c:ext xmlns:c16="http://schemas.microsoft.com/office/drawing/2014/chart" uri="{C3380CC4-5D6E-409C-BE32-E72D297353CC}">
              <c16:uniqueId val="{00000000-F584-4257-B586-30BF640DE8B0}"/>
            </c:ext>
          </c:extLst>
        </c:ser>
        <c:ser>
          <c:idx val="1"/>
          <c:order val="1"/>
          <c:tx>
            <c:strRef>
              <c:f>Sheet1!$D$1</c:f>
              <c:strCache>
                <c:ptCount val="1"/>
                <c:pt idx="0">
                  <c:v>江苏</c:v>
                </c:pt>
              </c:strCache>
            </c:strRef>
          </c:tx>
          <c:spPr>
            <a:solidFill>
              <a:schemeClr val="accent3">
                <a:shade val="61000"/>
              </a:schemeClr>
            </a:solidFill>
            <a:ln>
              <a:noFill/>
            </a:ln>
            <a:effectLst/>
          </c:spPr>
          <c:invertIfNegative val="0"/>
          <c:cat>
            <c:numRef>
              <c:f>Sheet1!$B$2:$B$11</c:f>
              <c:numCache>
                <c:formatCode>General</c:formatCode>
                <c:ptCount val="10"/>
                <c:pt idx="0">
                  <c:v>2011</c:v>
                </c:pt>
                <c:pt idx="1">
                  <c:v>2012</c:v>
                </c:pt>
                <c:pt idx="2">
                  <c:v>2013</c:v>
                </c:pt>
                <c:pt idx="3">
                  <c:v>2014</c:v>
                </c:pt>
                <c:pt idx="4">
                  <c:v>2015</c:v>
                </c:pt>
                <c:pt idx="5">
                  <c:v>2016</c:v>
                </c:pt>
                <c:pt idx="6">
                  <c:v>2017</c:v>
                </c:pt>
                <c:pt idx="7">
                  <c:v>2018</c:v>
                </c:pt>
                <c:pt idx="8">
                  <c:v>2019</c:v>
                </c:pt>
                <c:pt idx="9">
                  <c:v>2020</c:v>
                </c:pt>
              </c:numCache>
            </c:numRef>
          </c:cat>
          <c:val>
            <c:numRef>
              <c:f>Sheet1!$D$2:$D$11</c:f>
              <c:numCache>
                <c:formatCode>0.00_ </c:formatCode>
                <c:ptCount val="10"/>
                <c:pt idx="0">
                  <c:v>140.988079973792</c:v>
                </c:pt>
                <c:pt idx="1">
                  <c:v>140.048595203242</c:v>
                </c:pt>
                <c:pt idx="2">
                  <c:v>139.786852101882</c:v>
                </c:pt>
                <c:pt idx="3">
                  <c:v>139.224250457925</c:v>
                </c:pt>
                <c:pt idx="4">
                  <c:v>138.71534033056699</c:v>
                </c:pt>
                <c:pt idx="5">
                  <c:v>138.25230302480199</c:v>
                </c:pt>
                <c:pt idx="6">
                  <c:v>138.13890764709799</c:v>
                </c:pt>
                <c:pt idx="7">
                  <c:v>138.12610193914799</c:v>
                </c:pt>
                <c:pt idx="8">
                  <c:v>137.57932558000701</c:v>
                </c:pt>
                <c:pt idx="9">
                  <c:v>137.08424095743101</c:v>
                </c:pt>
              </c:numCache>
            </c:numRef>
          </c:val>
          <c:extLst>
            <c:ext xmlns:c16="http://schemas.microsoft.com/office/drawing/2014/chart" uri="{C3380CC4-5D6E-409C-BE32-E72D297353CC}">
              <c16:uniqueId val="{00000001-F584-4257-B586-30BF640DE8B0}"/>
            </c:ext>
          </c:extLst>
        </c:ser>
        <c:ser>
          <c:idx val="2"/>
          <c:order val="2"/>
          <c:tx>
            <c:strRef>
              <c:f>Sheet1!$E$1</c:f>
              <c:strCache>
                <c:ptCount val="1"/>
                <c:pt idx="0">
                  <c:v>浙江</c:v>
                </c:pt>
              </c:strCache>
            </c:strRef>
          </c:tx>
          <c:spPr>
            <a:solidFill>
              <a:schemeClr val="accent3">
                <a:shade val="76000"/>
              </a:schemeClr>
            </a:solidFill>
            <a:ln>
              <a:noFill/>
            </a:ln>
            <a:effectLst/>
          </c:spPr>
          <c:invertIfNegative val="0"/>
          <c:cat>
            <c:numRef>
              <c:f>Sheet1!$B$2:$B$11</c:f>
              <c:numCache>
                <c:formatCode>General</c:formatCode>
                <c:ptCount val="10"/>
                <c:pt idx="0">
                  <c:v>2011</c:v>
                </c:pt>
                <c:pt idx="1">
                  <c:v>2012</c:v>
                </c:pt>
                <c:pt idx="2">
                  <c:v>2013</c:v>
                </c:pt>
                <c:pt idx="3">
                  <c:v>2014</c:v>
                </c:pt>
                <c:pt idx="4">
                  <c:v>2015</c:v>
                </c:pt>
                <c:pt idx="5">
                  <c:v>2016</c:v>
                </c:pt>
                <c:pt idx="6">
                  <c:v>2017</c:v>
                </c:pt>
                <c:pt idx="7">
                  <c:v>2018</c:v>
                </c:pt>
                <c:pt idx="8">
                  <c:v>2019</c:v>
                </c:pt>
                <c:pt idx="9">
                  <c:v>2020</c:v>
                </c:pt>
              </c:numCache>
            </c:numRef>
          </c:cat>
          <c:val>
            <c:numRef>
              <c:f>Sheet1!$E$2:$E$11</c:f>
              <c:numCache>
                <c:formatCode>0.00_ </c:formatCode>
                <c:ptCount val="10"/>
                <c:pt idx="0">
                  <c:v>151.36760138627699</c:v>
                </c:pt>
                <c:pt idx="1">
                  <c:v>150.71300326041799</c:v>
                </c:pt>
                <c:pt idx="2">
                  <c:v>149.65460817955699</c:v>
                </c:pt>
                <c:pt idx="3">
                  <c:v>148.94511250158999</c:v>
                </c:pt>
                <c:pt idx="4">
                  <c:v>147.37715989319</c:v>
                </c:pt>
                <c:pt idx="5">
                  <c:v>146.39367968338601</c:v>
                </c:pt>
                <c:pt idx="6">
                  <c:v>145.392949446393</c:v>
                </c:pt>
                <c:pt idx="7">
                  <c:v>144.85295123531699</c:v>
                </c:pt>
                <c:pt idx="8">
                  <c:v>143.85232862038899</c:v>
                </c:pt>
                <c:pt idx="9">
                  <c:v>141.215392079861</c:v>
                </c:pt>
              </c:numCache>
            </c:numRef>
          </c:val>
          <c:extLst>
            <c:ext xmlns:c16="http://schemas.microsoft.com/office/drawing/2014/chart" uri="{C3380CC4-5D6E-409C-BE32-E72D297353CC}">
              <c16:uniqueId val="{00000002-F584-4257-B586-30BF640DE8B0}"/>
            </c:ext>
          </c:extLst>
        </c:ser>
        <c:ser>
          <c:idx val="3"/>
          <c:order val="3"/>
          <c:tx>
            <c:strRef>
              <c:f>Sheet1!$F$1</c:f>
              <c:strCache>
                <c:ptCount val="1"/>
                <c:pt idx="0">
                  <c:v>安徽</c:v>
                </c:pt>
              </c:strCache>
            </c:strRef>
          </c:tx>
          <c:spPr>
            <a:solidFill>
              <a:schemeClr val="accent3">
                <a:shade val="92000"/>
              </a:schemeClr>
            </a:solidFill>
            <a:ln>
              <a:noFill/>
            </a:ln>
            <a:effectLst/>
          </c:spPr>
          <c:invertIfNegative val="0"/>
          <c:cat>
            <c:numRef>
              <c:f>Sheet1!$B$2:$B$11</c:f>
              <c:numCache>
                <c:formatCode>General</c:formatCode>
                <c:ptCount val="10"/>
                <c:pt idx="0">
                  <c:v>2011</c:v>
                </c:pt>
                <c:pt idx="1">
                  <c:v>2012</c:v>
                </c:pt>
                <c:pt idx="2">
                  <c:v>2013</c:v>
                </c:pt>
                <c:pt idx="3">
                  <c:v>2014</c:v>
                </c:pt>
                <c:pt idx="4">
                  <c:v>2015</c:v>
                </c:pt>
                <c:pt idx="5">
                  <c:v>2016</c:v>
                </c:pt>
                <c:pt idx="6">
                  <c:v>2017</c:v>
                </c:pt>
                <c:pt idx="7">
                  <c:v>2018</c:v>
                </c:pt>
                <c:pt idx="8">
                  <c:v>2019</c:v>
                </c:pt>
                <c:pt idx="9">
                  <c:v>2020</c:v>
                </c:pt>
              </c:numCache>
            </c:numRef>
          </c:cat>
          <c:val>
            <c:numRef>
              <c:f>Sheet1!$F$2:$F$11</c:f>
              <c:numCache>
                <c:formatCode>0.00_ </c:formatCode>
                <c:ptCount val="10"/>
                <c:pt idx="0">
                  <c:v>89.925830408307306</c:v>
                </c:pt>
                <c:pt idx="1">
                  <c:v>88.487873239318702</c:v>
                </c:pt>
                <c:pt idx="2">
                  <c:v>87.270118144521405</c:v>
                </c:pt>
                <c:pt idx="3">
                  <c:v>86.8955457753421</c:v>
                </c:pt>
                <c:pt idx="4">
                  <c:v>86.0481866594519</c:v>
                </c:pt>
                <c:pt idx="5">
                  <c:v>85.373515507530598</c:v>
                </c:pt>
                <c:pt idx="6">
                  <c:v>84.764346837441806</c:v>
                </c:pt>
                <c:pt idx="7">
                  <c:v>84.857499424736503</c:v>
                </c:pt>
                <c:pt idx="8">
                  <c:v>84.099794732895404</c:v>
                </c:pt>
                <c:pt idx="9">
                  <c:v>84.456444681559404</c:v>
                </c:pt>
              </c:numCache>
            </c:numRef>
          </c:val>
          <c:extLst>
            <c:ext xmlns:c16="http://schemas.microsoft.com/office/drawing/2014/chart" uri="{C3380CC4-5D6E-409C-BE32-E72D297353CC}">
              <c16:uniqueId val="{00000003-F584-4257-B586-30BF640DE8B0}"/>
            </c:ext>
          </c:extLst>
        </c:ser>
        <c:ser>
          <c:idx val="4"/>
          <c:order val="4"/>
          <c:tx>
            <c:strRef>
              <c:f>Sheet1!$G$1</c:f>
              <c:strCache>
                <c:ptCount val="1"/>
                <c:pt idx="0">
                  <c:v>内蒙古</c:v>
                </c:pt>
              </c:strCache>
            </c:strRef>
          </c:tx>
          <c:spPr>
            <a:solidFill>
              <a:schemeClr val="accent3">
                <a:tint val="93000"/>
              </a:schemeClr>
            </a:solidFill>
            <a:ln>
              <a:noFill/>
            </a:ln>
            <a:effectLst/>
          </c:spPr>
          <c:invertIfNegative val="0"/>
          <c:cat>
            <c:numRef>
              <c:f>Sheet1!$B$2:$B$11</c:f>
              <c:numCache>
                <c:formatCode>General</c:formatCode>
                <c:ptCount val="10"/>
                <c:pt idx="0">
                  <c:v>2011</c:v>
                </c:pt>
                <c:pt idx="1">
                  <c:v>2012</c:v>
                </c:pt>
                <c:pt idx="2">
                  <c:v>2013</c:v>
                </c:pt>
                <c:pt idx="3">
                  <c:v>2014</c:v>
                </c:pt>
                <c:pt idx="4">
                  <c:v>2015</c:v>
                </c:pt>
                <c:pt idx="5">
                  <c:v>2016</c:v>
                </c:pt>
                <c:pt idx="6">
                  <c:v>2017</c:v>
                </c:pt>
                <c:pt idx="7">
                  <c:v>2018</c:v>
                </c:pt>
                <c:pt idx="8">
                  <c:v>2019</c:v>
                </c:pt>
                <c:pt idx="9">
                  <c:v>2020</c:v>
                </c:pt>
              </c:numCache>
            </c:numRef>
          </c:cat>
          <c:val>
            <c:numRef>
              <c:f>Sheet1!$G$2:$G$11</c:f>
              <c:numCache>
                <c:formatCode>0.00_ </c:formatCode>
                <c:ptCount val="10"/>
                <c:pt idx="0">
                  <c:v>26.776823489218799</c:v>
                </c:pt>
                <c:pt idx="1">
                  <c:v>26.466275037812999</c:v>
                </c:pt>
                <c:pt idx="2">
                  <c:v>26.180595677011699</c:v>
                </c:pt>
                <c:pt idx="3">
                  <c:v>25.887085670371</c:v>
                </c:pt>
                <c:pt idx="4">
                  <c:v>25.637590448800601</c:v>
                </c:pt>
                <c:pt idx="5">
                  <c:v>25.443281579391499</c:v>
                </c:pt>
                <c:pt idx="6">
                  <c:v>25.200134064017799</c:v>
                </c:pt>
                <c:pt idx="7">
                  <c:v>24.5518938648712</c:v>
                </c:pt>
                <c:pt idx="8">
                  <c:v>24.222630474875601</c:v>
                </c:pt>
                <c:pt idx="9">
                  <c:v>23.9827322101428</c:v>
                </c:pt>
              </c:numCache>
            </c:numRef>
          </c:val>
          <c:extLst>
            <c:ext xmlns:c16="http://schemas.microsoft.com/office/drawing/2014/chart" uri="{C3380CC4-5D6E-409C-BE32-E72D297353CC}">
              <c16:uniqueId val="{00000004-F584-4257-B586-30BF640DE8B0}"/>
            </c:ext>
          </c:extLst>
        </c:ser>
        <c:ser>
          <c:idx val="5"/>
          <c:order val="5"/>
          <c:tx>
            <c:strRef>
              <c:f>Sheet1!$H$1</c:f>
              <c:strCache>
                <c:ptCount val="1"/>
                <c:pt idx="0">
                  <c:v>甘肃</c:v>
                </c:pt>
              </c:strCache>
            </c:strRef>
          </c:tx>
          <c:spPr>
            <a:solidFill>
              <a:schemeClr val="accent3">
                <a:tint val="77000"/>
              </a:schemeClr>
            </a:solidFill>
            <a:ln>
              <a:noFill/>
            </a:ln>
            <a:effectLst/>
          </c:spPr>
          <c:invertIfNegative val="0"/>
          <c:cat>
            <c:numRef>
              <c:f>Sheet1!$B$2:$B$11</c:f>
              <c:numCache>
                <c:formatCode>General</c:formatCode>
                <c:ptCount val="10"/>
                <c:pt idx="0">
                  <c:v>2011</c:v>
                </c:pt>
                <c:pt idx="1">
                  <c:v>2012</c:v>
                </c:pt>
                <c:pt idx="2">
                  <c:v>2013</c:v>
                </c:pt>
                <c:pt idx="3">
                  <c:v>2014</c:v>
                </c:pt>
                <c:pt idx="4">
                  <c:v>2015</c:v>
                </c:pt>
                <c:pt idx="5">
                  <c:v>2016</c:v>
                </c:pt>
                <c:pt idx="6">
                  <c:v>2017</c:v>
                </c:pt>
                <c:pt idx="7">
                  <c:v>2018</c:v>
                </c:pt>
                <c:pt idx="8">
                  <c:v>2019</c:v>
                </c:pt>
                <c:pt idx="9">
                  <c:v>2020</c:v>
                </c:pt>
              </c:numCache>
            </c:numRef>
          </c:cat>
          <c:val>
            <c:numRef>
              <c:f>Sheet1!$H$2:$H$11</c:f>
              <c:numCache>
                <c:formatCode>0.00_ </c:formatCode>
                <c:ptCount val="10"/>
                <c:pt idx="0">
                  <c:v>67.275508170968493</c:v>
                </c:pt>
                <c:pt idx="1">
                  <c:v>65.662448016344399</c:v>
                </c:pt>
                <c:pt idx="2">
                  <c:v>64.426386969091197</c:v>
                </c:pt>
                <c:pt idx="3">
                  <c:v>63.521963983892697</c:v>
                </c:pt>
                <c:pt idx="4">
                  <c:v>63.017129537431401</c:v>
                </c:pt>
                <c:pt idx="5">
                  <c:v>63.096490958643003</c:v>
                </c:pt>
                <c:pt idx="6">
                  <c:v>62.109802867133602</c:v>
                </c:pt>
                <c:pt idx="7">
                  <c:v>61.167274652884402</c:v>
                </c:pt>
                <c:pt idx="8">
                  <c:v>60.958905920327403</c:v>
                </c:pt>
                <c:pt idx="9">
                  <c:v>60.036248901727703</c:v>
                </c:pt>
              </c:numCache>
            </c:numRef>
          </c:val>
          <c:extLst>
            <c:ext xmlns:c16="http://schemas.microsoft.com/office/drawing/2014/chart" uri="{C3380CC4-5D6E-409C-BE32-E72D297353CC}">
              <c16:uniqueId val="{00000005-F584-4257-B586-30BF640DE8B0}"/>
            </c:ext>
          </c:extLst>
        </c:ser>
        <c:ser>
          <c:idx val="6"/>
          <c:order val="6"/>
          <c:tx>
            <c:strRef>
              <c:f>Sheet1!$I$1</c:f>
              <c:strCache>
                <c:ptCount val="1"/>
                <c:pt idx="0">
                  <c:v>宁夏</c:v>
                </c:pt>
              </c:strCache>
            </c:strRef>
          </c:tx>
          <c:spPr>
            <a:solidFill>
              <a:schemeClr val="accent3">
                <a:tint val="62000"/>
              </a:schemeClr>
            </a:solidFill>
            <a:ln>
              <a:noFill/>
            </a:ln>
            <a:effectLst/>
          </c:spPr>
          <c:invertIfNegative val="0"/>
          <c:cat>
            <c:numRef>
              <c:f>Sheet1!$B$2:$B$11</c:f>
              <c:numCache>
                <c:formatCode>General</c:formatCode>
                <c:ptCount val="10"/>
                <c:pt idx="0">
                  <c:v>2011</c:v>
                </c:pt>
                <c:pt idx="1">
                  <c:v>2012</c:v>
                </c:pt>
                <c:pt idx="2">
                  <c:v>2013</c:v>
                </c:pt>
                <c:pt idx="3">
                  <c:v>2014</c:v>
                </c:pt>
                <c:pt idx="4">
                  <c:v>2015</c:v>
                </c:pt>
                <c:pt idx="5">
                  <c:v>2016</c:v>
                </c:pt>
                <c:pt idx="6">
                  <c:v>2017</c:v>
                </c:pt>
                <c:pt idx="7">
                  <c:v>2018</c:v>
                </c:pt>
                <c:pt idx="8">
                  <c:v>2019</c:v>
                </c:pt>
                <c:pt idx="9">
                  <c:v>2020</c:v>
                </c:pt>
              </c:numCache>
            </c:numRef>
          </c:cat>
          <c:val>
            <c:numRef>
              <c:f>Sheet1!$I$2:$I$11</c:f>
              <c:numCache>
                <c:formatCode>0.00_ </c:formatCode>
                <c:ptCount val="10"/>
                <c:pt idx="0">
                  <c:v>30.337130248026799</c:v>
                </c:pt>
                <c:pt idx="1">
                  <c:v>29.655950463535302</c:v>
                </c:pt>
                <c:pt idx="2">
                  <c:v>28.6811822770531</c:v>
                </c:pt>
                <c:pt idx="3">
                  <c:v>28.1160302191916</c:v>
                </c:pt>
                <c:pt idx="4">
                  <c:v>27.084530012980899</c:v>
                </c:pt>
                <c:pt idx="5">
                  <c:v>26.789641001834799</c:v>
                </c:pt>
                <c:pt idx="6">
                  <c:v>24.979161633492001</c:v>
                </c:pt>
                <c:pt idx="7">
                  <c:v>23.948927446090298</c:v>
                </c:pt>
                <c:pt idx="8">
                  <c:v>23.245692878206999</c:v>
                </c:pt>
                <c:pt idx="9">
                  <c:v>22.781112588355601</c:v>
                </c:pt>
              </c:numCache>
            </c:numRef>
          </c:val>
          <c:extLst>
            <c:ext xmlns:c16="http://schemas.microsoft.com/office/drawing/2014/chart" uri="{C3380CC4-5D6E-409C-BE32-E72D297353CC}">
              <c16:uniqueId val="{00000006-F584-4257-B586-30BF640DE8B0}"/>
            </c:ext>
          </c:extLst>
        </c:ser>
        <c:ser>
          <c:idx val="7"/>
          <c:order val="7"/>
          <c:tx>
            <c:strRef>
              <c:f>Sheet1!$J$1</c:f>
              <c:strCache>
                <c:ptCount val="1"/>
                <c:pt idx="0">
                  <c:v>新疆</c:v>
                </c:pt>
              </c:strCache>
            </c:strRef>
          </c:tx>
          <c:spPr>
            <a:solidFill>
              <a:schemeClr val="accent3">
                <a:tint val="46000"/>
              </a:schemeClr>
            </a:solidFill>
            <a:ln>
              <a:noFill/>
            </a:ln>
            <a:effectLst/>
          </c:spPr>
          <c:invertIfNegative val="0"/>
          <c:cat>
            <c:numRef>
              <c:f>Sheet1!$B$2:$B$11</c:f>
              <c:numCache>
                <c:formatCode>General</c:formatCode>
                <c:ptCount val="10"/>
                <c:pt idx="0">
                  <c:v>2011</c:v>
                </c:pt>
                <c:pt idx="1">
                  <c:v>2012</c:v>
                </c:pt>
                <c:pt idx="2">
                  <c:v>2013</c:v>
                </c:pt>
                <c:pt idx="3">
                  <c:v>2014</c:v>
                </c:pt>
                <c:pt idx="4">
                  <c:v>2015</c:v>
                </c:pt>
                <c:pt idx="5">
                  <c:v>2016</c:v>
                </c:pt>
                <c:pt idx="6">
                  <c:v>2017</c:v>
                </c:pt>
                <c:pt idx="7">
                  <c:v>2018</c:v>
                </c:pt>
                <c:pt idx="8">
                  <c:v>2019</c:v>
                </c:pt>
                <c:pt idx="9">
                  <c:v>2020</c:v>
                </c:pt>
              </c:numCache>
            </c:numRef>
          </c:cat>
          <c:val>
            <c:numRef>
              <c:f>Sheet1!$J$2:$J$11</c:f>
              <c:numCache>
                <c:formatCode>0.00_ </c:formatCode>
                <c:ptCount val="10"/>
                <c:pt idx="0">
                  <c:v>37.459606504846498</c:v>
                </c:pt>
                <c:pt idx="1">
                  <c:v>35.514089313030297</c:v>
                </c:pt>
                <c:pt idx="2">
                  <c:v>33.7225721603834</c:v>
                </c:pt>
                <c:pt idx="3">
                  <c:v>32.9201259322192</c:v>
                </c:pt>
                <c:pt idx="4">
                  <c:v>32.402828359568403</c:v>
                </c:pt>
                <c:pt idx="5">
                  <c:v>32.029979741644297</c:v>
                </c:pt>
                <c:pt idx="6">
                  <c:v>31.5751418973509</c:v>
                </c:pt>
                <c:pt idx="7">
                  <c:v>31.5252521831632</c:v>
                </c:pt>
                <c:pt idx="8">
                  <c:v>31.235855720259899</c:v>
                </c:pt>
                <c:pt idx="9">
                  <c:v>31.0091772281367</c:v>
                </c:pt>
              </c:numCache>
            </c:numRef>
          </c:val>
          <c:extLst>
            <c:ext xmlns:c16="http://schemas.microsoft.com/office/drawing/2014/chart" uri="{C3380CC4-5D6E-409C-BE32-E72D297353CC}">
              <c16:uniqueId val="{00000007-F584-4257-B586-30BF640DE8B0}"/>
            </c:ext>
          </c:extLst>
        </c:ser>
        <c:dLbls>
          <c:showLegendKey val="0"/>
          <c:showVal val="0"/>
          <c:showCatName val="0"/>
          <c:showSerName val="0"/>
          <c:showPercent val="0"/>
          <c:showBubbleSize val="0"/>
        </c:dLbls>
        <c:gapWidth val="150"/>
        <c:axId val="662818912"/>
        <c:axId val="728136736"/>
      </c:barChart>
      <c:catAx>
        <c:axId val="662818912"/>
        <c:scaling>
          <c:orientation val="minMax"/>
        </c:scaling>
        <c:delete val="0"/>
        <c:axPos val="b"/>
        <c:numFmt formatCode="General" sourceLinked="1"/>
        <c:majorTickMark val="out"/>
        <c:minorTickMark val="none"/>
        <c:tickLblPos val="low"/>
        <c:spPr>
          <a:noFill/>
          <a:ln w="12700" cap="flat" cmpd="sng" algn="ctr">
            <a:solidFill>
              <a:srgbClr val="000000"/>
            </a:solidFill>
            <a:prstDash val="solid"/>
            <a:round/>
          </a:ln>
          <a:effectLst/>
        </c:spPr>
        <c:txPr>
          <a:bodyPr rot="-60000000" spcFirstLastPara="1" vertOverflow="ellipsis" vert="horz" wrap="square" anchor="ctr" anchorCtr="1"/>
          <a:lstStyle/>
          <a:p>
            <a:pPr>
              <a:defRPr lang="zh-CN" sz="800" b="0" i="0" u="none" strike="noStrike" kern="1200" baseline="0">
                <a:solidFill>
                  <a:srgbClr val="000000"/>
                </a:solidFill>
                <a:latin typeface="Arial" panose="020B0604020202020204" pitchFamily="2"/>
                <a:ea typeface="Arial" panose="020B0604020202020204" pitchFamily="2"/>
                <a:cs typeface="Arial" panose="020B0604020202020204" pitchFamily="2"/>
              </a:defRPr>
            </a:pPr>
            <a:endParaRPr lang="zh-CN"/>
          </a:p>
        </c:txPr>
        <c:crossAx val="728136736"/>
        <c:crosses val="autoZero"/>
        <c:auto val="0"/>
        <c:lblAlgn val="ctr"/>
        <c:lblOffset val="100"/>
        <c:noMultiLvlLbl val="0"/>
      </c:catAx>
      <c:valAx>
        <c:axId val="728136736"/>
        <c:scaling>
          <c:orientation val="minMax"/>
        </c:scaling>
        <c:delete val="0"/>
        <c:axPos val="l"/>
        <c:numFmt formatCode="0.00_ " sourceLinked="1"/>
        <c:majorTickMark val="out"/>
        <c:minorTickMark val="none"/>
        <c:tickLblPos val="nextTo"/>
        <c:spPr>
          <a:noFill/>
          <a:ln w="12700">
            <a:solidFill>
              <a:srgbClr val="000000"/>
            </a:solidFill>
            <a:prstDash val="solid"/>
          </a:ln>
          <a:effectLst/>
        </c:spPr>
        <c:txPr>
          <a:bodyPr rot="-60000000" spcFirstLastPara="1" vertOverflow="ellipsis" vert="horz" wrap="square" anchor="ctr" anchorCtr="1"/>
          <a:lstStyle/>
          <a:p>
            <a:pPr>
              <a:defRPr lang="zh-CN" sz="800" b="0" i="0" u="none" strike="noStrike" kern="1200" baseline="0">
                <a:solidFill>
                  <a:srgbClr val="000000"/>
                </a:solidFill>
                <a:latin typeface="Arial" panose="020B0604020202020204" pitchFamily="2"/>
                <a:ea typeface="Arial" panose="020B0604020202020204" pitchFamily="2"/>
                <a:cs typeface="Arial" panose="020B0604020202020204" pitchFamily="2"/>
              </a:defRPr>
            </a:pPr>
            <a:endParaRPr lang="zh-CN"/>
          </a:p>
        </c:txPr>
        <c:crossAx val="662818912"/>
        <c:crosses val="autoZero"/>
        <c:crossBetween val="between"/>
      </c:valAx>
      <c:spPr>
        <a:noFill/>
        <a:ln>
          <a:noFill/>
        </a:ln>
        <a:effectLst/>
      </c:spPr>
    </c:plotArea>
    <c:legend>
      <c:legendPos val="t"/>
      <c:overlay val="0"/>
      <c:spPr>
        <a:noFill/>
        <a:ln w="25400">
          <a:noFill/>
        </a:ln>
        <a:effectLst/>
      </c:spPr>
      <c:txPr>
        <a:bodyPr rot="0" spcFirstLastPara="1" vertOverflow="ellipsis" vert="horz" wrap="square" anchor="ctr" anchorCtr="1"/>
        <a:lstStyle/>
        <a:p>
          <a:pPr>
            <a:defRPr lang="zh-CN" sz="800" b="0" i="0" u="none" strike="noStrike" kern="1200" baseline="0">
              <a:solidFill>
                <a:srgbClr val="000000"/>
              </a:solidFill>
              <a:latin typeface="Arial" panose="020B0604020202020204" pitchFamily="2" charset="0"/>
              <a:ea typeface="黑体" panose="02010609060101010101" charset="-122"/>
              <a:cs typeface="Arial" panose="020B0604020202020204" pitchFamily="2" charset="0"/>
            </a:defRPr>
          </a:pPr>
          <a:endParaRPr lang="zh-CN"/>
        </a:p>
      </c:txPr>
    </c:legend>
    <c:plotVisOnly val="1"/>
    <c:dispBlanksAs val="gap"/>
    <c:showDLblsOverMax val="0"/>
  </c:chart>
  <c:spPr>
    <a:solidFill>
      <a:schemeClr val="bg1"/>
    </a:solidFill>
    <a:ln w="25400" cap="flat" cmpd="sng" algn="ctr">
      <a:noFill/>
      <a:round/>
    </a:ln>
    <a:effectLst/>
  </c:spPr>
  <c:txPr>
    <a:bodyPr/>
    <a:lstStyle/>
    <a:p>
      <a:pPr>
        <a:defRPr lang="zh-CN"/>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5"/>
    </mc:Choice>
    <mc:Fallback>
      <c:style val="5"/>
    </mc:Fallback>
  </mc:AlternateContent>
  <c:chart>
    <c:autoTitleDeleted val="1"/>
    <c:plotArea>
      <c:layout/>
      <c:barChart>
        <c:barDir val="col"/>
        <c:grouping val="clustered"/>
        <c:varyColors val="0"/>
        <c:ser>
          <c:idx val="0"/>
          <c:order val="0"/>
          <c:tx>
            <c:strRef>
              <c:f>Sheet1!$M$1</c:f>
              <c:strCache>
                <c:ptCount val="1"/>
                <c:pt idx="0">
                  <c:v>地区影子价格差</c:v>
                </c:pt>
              </c:strCache>
            </c:strRef>
          </c:tx>
          <c:spPr>
            <a:solidFill>
              <a:schemeClr val="accent3"/>
            </a:solidFill>
            <a:ln>
              <a:noFill/>
            </a:ln>
            <a:effectLst/>
          </c:spPr>
          <c:invertIfNegative val="0"/>
          <c:cat>
            <c:numRef>
              <c:f>Sheet1!$B$2:$B$11</c:f>
              <c:numCache>
                <c:formatCode>General</c:formatCode>
                <c:ptCount val="10"/>
                <c:pt idx="0">
                  <c:v>2011</c:v>
                </c:pt>
                <c:pt idx="1">
                  <c:v>2012</c:v>
                </c:pt>
                <c:pt idx="2">
                  <c:v>2013</c:v>
                </c:pt>
                <c:pt idx="3">
                  <c:v>2014</c:v>
                </c:pt>
                <c:pt idx="4">
                  <c:v>2015</c:v>
                </c:pt>
                <c:pt idx="5">
                  <c:v>2016</c:v>
                </c:pt>
                <c:pt idx="6">
                  <c:v>2017</c:v>
                </c:pt>
                <c:pt idx="7">
                  <c:v>2018</c:v>
                </c:pt>
                <c:pt idx="8">
                  <c:v>2019</c:v>
                </c:pt>
                <c:pt idx="9">
                  <c:v>2020</c:v>
                </c:pt>
              </c:numCache>
            </c:numRef>
          </c:cat>
          <c:val>
            <c:numRef>
              <c:f>Sheet1!$M$2:$M$11</c:f>
              <c:numCache>
                <c:formatCode>0.00_ </c:formatCode>
                <c:ptCount val="10"/>
                <c:pt idx="0">
                  <c:v>122.78196471432101</c:v>
                </c:pt>
                <c:pt idx="1">
                  <c:v>123.069903997845</c:v>
                </c:pt>
                <c:pt idx="2">
                  <c:v>123.066057994785</c:v>
                </c:pt>
                <c:pt idx="3">
                  <c:v>123.459865378773</c:v>
                </c:pt>
                <c:pt idx="4">
                  <c:v>122.982653116629</c:v>
                </c:pt>
                <c:pt idx="5">
                  <c:v>122.848293867427</c:v>
                </c:pt>
                <c:pt idx="6">
                  <c:v>123.631247636144</c:v>
                </c:pt>
                <c:pt idx="7">
                  <c:v>126.09544594335701</c:v>
                </c:pt>
                <c:pt idx="8">
                  <c:v>125.870921550221</c:v>
                </c:pt>
                <c:pt idx="9">
                  <c:v>127.302998090335</c:v>
                </c:pt>
              </c:numCache>
            </c:numRef>
          </c:val>
          <c:extLst>
            <c:ext xmlns:c16="http://schemas.microsoft.com/office/drawing/2014/chart" uri="{C3380CC4-5D6E-409C-BE32-E72D297353CC}">
              <c16:uniqueId val="{00000000-55CC-4680-95E7-8A09D0A0CA78}"/>
            </c:ext>
          </c:extLst>
        </c:ser>
        <c:dLbls>
          <c:showLegendKey val="0"/>
          <c:showVal val="0"/>
          <c:showCatName val="0"/>
          <c:showSerName val="0"/>
          <c:showPercent val="0"/>
          <c:showBubbleSize val="0"/>
        </c:dLbls>
        <c:gapWidth val="150"/>
        <c:axId val="722310336"/>
        <c:axId val="701605088"/>
      </c:barChart>
      <c:catAx>
        <c:axId val="722310336"/>
        <c:scaling>
          <c:orientation val="minMax"/>
        </c:scaling>
        <c:delete val="0"/>
        <c:axPos val="b"/>
        <c:numFmt formatCode="General" sourceLinked="1"/>
        <c:majorTickMark val="out"/>
        <c:minorTickMark val="none"/>
        <c:tickLblPos val="low"/>
        <c:spPr>
          <a:noFill/>
          <a:ln w="12700" cap="flat" cmpd="sng" algn="ctr">
            <a:solidFill>
              <a:srgbClr val="000000"/>
            </a:solidFill>
            <a:prstDash val="solid"/>
            <a:round/>
          </a:ln>
          <a:effectLst/>
        </c:spPr>
        <c:txPr>
          <a:bodyPr rot="-60000000" spcFirstLastPara="1" vertOverflow="ellipsis" vert="horz" wrap="square" anchor="ctr" anchorCtr="1"/>
          <a:lstStyle/>
          <a:p>
            <a:pPr>
              <a:defRPr lang="zh-CN" sz="800" b="0" i="0" u="none" strike="noStrike" kern="1200" baseline="0">
                <a:solidFill>
                  <a:srgbClr val="000000"/>
                </a:solidFill>
                <a:latin typeface="Arial" panose="020B0604020202020204" pitchFamily="2"/>
                <a:ea typeface="Arial" panose="020B0604020202020204" pitchFamily="2"/>
                <a:cs typeface="Arial" panose="020B0604020202020204" pitchFamily="2"/>
              </a:defRPr>
            </a:pPr>
            <a:endParaRPr lang="zh-CN"/>
          </a:p>
        </c:txPr>
        <c:crossAx val="701605088"/>
        <c:crosses val="autoZero"/>
        <c:auto val="0"/>
        <c:lblAlgn val="ctr"/>
        <c:lblOffset val="100"/>
        <c:noMultiLvlLbl val="0"/>
      </c:catAx>
      <c:valAx>
        <c:axId val="701605088"/>
        <c:scaling>
          <c:orientation val="minMax"/>
        </c:scaling>
        <c:delete val="0"/>
        <c:axPos val="l"/>
        <c:numFmt formatCode="0.00_ " sourceLinked="1"/>
        <c:majorTickMark val="out"/>
        <c:minorTickMark val="none"/>
        <c:tickLblPos val="nextTo"/>
        <c:spPr>
          <a:noFill/>
          <a:ln w="12700">
            <a:solidFill>
              <a:srgbClr val="000000"/>
            </a:solidFill>
            <a:prstDash val="solid"/>
          </a:ln>
          <a:effectLst/>
        </c:spPr>
        <c:txPr>
          <a:bodyPr rot="-60000000" spcFirstLastPara="1" vertOverflow="ellipsis" vert="horz" wrap="square" anchor="ctr" anchorCtr="1"/>
          <a:lstStyle/>
          <a:p>
            <a:pPr>
              <a:defRPr lang="zh-CN" sz="800" b="0" i="0" u="none" strike="noStrike" kern="1200" baseline="0">
                <a:solidFill>
                  <a:srgbClr val="000000"/>
                </a:solidFill>
                <a:latin typeface="Arial" panose="020B0604020202020204" pitchFamily="2"/>
                <a:ea typeface="Arial" panose="020B0604020202020204" pitchFamily="2"/>
                <a:cs typeface="Arial" panose="020B0604020202020204" pitchFamily="2"/>
              </a:defRPr>
            </a:pPr>
            <a:endParaRPr lang="zh-CN"/>
          </a:p>
        </c:txPr>
        <c:crossAx val="722310336"/>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25400" cap="flat" cmpd="sng" algn="ctr">
      <a:noFill/>
      <a:round/>
    </a:ln>
    <a:effectLst/>
  </c:spPr>
  <c:txPr>
    <a:bodyPr/>
    <a:lstStyle/>
    <a:p>
      <a:pPr>
        <a:defRPr lang="zh-CN"/>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5"/>
    </mc:Choice>
    <mc:Fallback>
      <c:style val="5"/>
    </mc:Fallback>
  </mc:AlternateContent>
  <c:chart>
    <c:autoTitleDeleted val="1"/>
    <c:plotArea>
      <c:layout/>
      <c:lineChart>
        <c:grouping val="standard"/>
        <c:varyColors val="0"/>
        <c:ser>
          <c:idx val="0"/>
          <c:order val="0"/>
          <c:tx>
            <c:strRef>
              <c:f>Sheet1!$K$1</c:f>
              <c:strCache>
                <c:ptCount val="1"/>
                <c:pt idx="0">
                  <c:v>东南沿海</c:v>
                </c:pt>
              </c:strCache>
            </c:strRef>
          </c:tx>
          <c:spPr>
            <a:ln w="28575" cap="rnd">
              <a:solidFill>
                <a:schemeClr val="accent3">
                  <a:shade val="76000"/>
                </a:schemeClr>
              </a:solidFill>
              <a:round/>
            </a:ln>
            <a:effectLst/>
          </c:spPr>
          <c:marker>
            <c:symbol val="none"/>
          </c:marker>
          <c:cat>
            <c:numRef>
              <c:f>Sheet1!$B$2:$B$11</c:f>
              <c:numCache>
                <c:formatCode>General</c:formatCode>
                <c:ptCount val="10"/>
                <c:pt idx="0">
                  <c:v>2011</c:v>
                </c:pt>
                <c:pt idx="1">
                  <c:v>2012</c:v>
                </c:pt>
                <c:pt idx="2">
                  <c:v>2013</c:v>
                </c:pt>
                <c:pt idx="3">
                  <c:v>2014</c:v>
                </c:pt>
                <c:pt idx="4">
                  <c:v>2015</c:v>
                </c:pt>
                <c:pt idx="5">
                  <c:v>2016</c:v>
                </c:pt>
                <c:pt idx="6">
                  <c:v>2017</c:v>
                </c:pt>
                <c:pt idx="7">
                  <c:v>2018</c:v>
                </c:pt>
                <c:pt idx="8">
                  <c:v>2019</c:v>
                </c:pt>
                <c:pt idx="9">
                  <c:v>2020</c:v>
                </c:pt>
              </c:numCache>
            </c:numRef>
          </c:cat>
          <c:val>
            <c:numRef>
              <c:f>Sheet1!$K$2:$K$11</c:f>
              <c:numCache>
                <c:formatCode>0.00_ </c:formatCode>
                <c:ptCount val="10"/>
                <c:pt idx="0">
                  <c:v>163.24423181758701</c:v>
                </c:pt>
                <c:pt idx="1">
                  <c:v>162.39459470552501</c:v>
                </c:pt>
                <c:pt idx="2">
                  <c:v>161.31874226567001</c:v>
                </c:pt>
                <c:pt idx="3">
                  <c:v>161.071166830192</c:v>
                </c:pt>
                <c:pt idx="4">
                  <c:v>160.018172706325</c:v>
                </c:pt>
                <c:pt idx="5">
                  <c:v>159.688142187805</c:v>
                </c:pt>
                <c:pt idx="6">
                  <c:v>159.597307751643</c:v>
                </c:pt>
                <c:pt idx="7">
                  <c:v>161.39378298010899</c:v>
                </c:pt>
                <c:pt idx="8">
                  <c:v>160.786692798638</c:v>
                </c:pt>
                <c:pt idx="9">
                  <c:v>161.75531582242499</c:v>
                </c:pt>
              </c:numCache>
            </c:numRef>
          </c:val>
          <c:smooth val="0"/>
          <c:extLst>
            <c:ext xmlns:c16="http://schemas.microsoft.com/office/drawing/2014/chart" uri="{C3380CC4-5D6E-409C-BE32-E72D297353CC}">
              <c16:uniqueId val="{00000000-73C2-4933-BC1F-B17B2EAE84B6}"/>
            </c:ext>
          </c:extLst>
        </c:ser>
        <c:dLbls>
          <c:showLegendKey val="0"/>
          <c:showVal val="0"/>
          <c:showCatName val="0"/>
          <c:showSerName val="0"/>
          <c:showPercent val="0"/>
          <c:showBubbleSize val="0"/>
        </c:dLbls>
        <c:marker val="1"/>
        <c:smooth val="0"/>
        <c:axId val="722291136"/>
        <c:axId val="728112432"/>
      </c:lineChart>
      <c:lineChart>
        <c:grouping val="standard"/>
        <c:varyColors val="0"/>
        <c:ser>
          <c:idx val="1"/>
          <c:order val="1"/>
          <c:tx>
            <c:strRef>
              <c:f>Sheet1!$L$1</c:f>
              <c:strCache>
                <c:ptCount val="1"/>
                <c:pt idx="0">
                  <c:v>西北内陆</c:v>
                </c:pt>
              </c:strCache>
            </c:strRef>
          </c:tx>
          <c:spPr>
            <a:ln w="28575" cap="rnd">
              <a:solidFill>
                <a:schemeClr val="accent3">
                  <a:tint val="77000"/>
                </a:schemeClr>
              </a:solidFill>
              <a:round/>
            </a:ln>
            <a:effectLst/>
          </c:spPr>
          <c:marker>
            <c:symbol val="none"/>
          </c:marker>
          <c:val>
            <c:numRef>
              <c:f>Sheet1!$L$2:$L$11</c:f>
              <c:numCache>
                <c:formatCode>0.00_ </c:formatCode>
                <c:ptCount val="10"/>
                <c:pt idx="0">
                  <c:v>40.462267103265198</c:v>
                </c:pt>
                <c:pt idx="1">
                  <c:v>39.324690707680702</c:v>
                </c:pt>
                <c:pt idx="2">
                  <c:v>38.252684270884799</c:v>
                </c:pt>
                <c:pt idx="3">
                  <c:v>37.611301451418598</c:v>
                </c:pt>
                <c:pt idx="4">
                  <c:v>37.035519589695298</c:v>
                </c:pt>
                <c:pt idx="5">
                  <c:v>36.839848320378401</c:v>
                </c:pt>
                <c:pt idx="6">
                  <c:v>35.9660601154986</c:v>
                </c:pt>
                <c:pt idx="7">
                  <c:v>35.298337036752301</c:v>
                </c:pt>
                <c:pt idx="8">
                  <c:v>34.915771248417499</c:v>
                </c:pt>
                <c:pt idx="9">
                  <c:v>34.452317732090698</c:v>
                </c:pt>
              </c:numCache>
            </c:numRef>
          </c:val>
          <c:smooth val="0"/>
          <c:extLst>
            <c:ext xmlns:c16="http://schemas.microsoft.com/office/drawing/2014/chart" uri="{C3380CC4-5D6E-409C-BE32-E72D297353CC}">
              <c16:uniqueId val="{00000001-73C2-4933-BC1F-B17B2EAE84B6}"/>
            </c:ext>
          </c:extLst>
        </c:ser>
        <c:dLbls>
          <c:showLegendKey val="0"/>
          <c:showVal val="0"/>
          <c:showCatName val="0"/>
          <c:showSerName val="0"/>
          <c:showPercent val="0"/>
          <c:showBubbleSize val="0"/>
        </c:dLbls>
        <c:marker val="1"/>
        <c:smooth val="0"/>
        <c:axId val="722296416"/>
        <c:axId val="728119872"/>
      </c:lineChart>
      <c:catAx>
        <c:axId val="722291136"/>
        <c:scaling>
          <c:orientation val="minMax"/>
        </c:scaling>
        <c:delete val="0"/>
        <c:axPos val="b"/>
        <c:numFmt formatCode="General" sourceLinked="1"/>
        <c:majorTickMark val="out"/>
        <c:minorTickMark val="none"/>
        <c:tickLblPos val="low"/>
        <c:spPr>
          <a:noFill/>
          <a:ln w="12700" cap="flat" cmpd="sng" algn="ctr">
            <a:solidFill>
              <a:srgbClr val="000000"/>
            </a:solidFill>
            <a:prstDash val="solid"/>
            <a:round/>
          </a:ln>
          <a:effectLst/>
        </c:spPr>
        <c:txPr>
          <a:bodyPr rot="-60000000" spcFirstLastPara="1" vertOverflow="ellipsis" vert="horz" wrap="square" anchor="ctr" anchorCtr="1"/>
          <a:lstStyle/>
          <a:p>
            <a:pPr>
              <a:defRPr lang="zh-CN" sz="800" b="0" i="0" u="none" strike="noStrike" kern="1200" baseline="0">
                <a:solidFill>
                  <a:srgbClr val="000000"/>
                </a:solidFill>
                <a:latin typeface="Arial" panose="020B0604020202020204" pitchFamily="2"/>
                <a:ea typeface="Arial" panose="020B0604020202020204" pitchFamily="2"/>
                <a:cs typeface="Arial" panose="020B0604020202020204" pitchFamily="2"/>
              </a:defRPr>
            </a:pPr>
            <a:endParaRPr lang="zh-CN"/>
          </a:p>
        </c:txPr>
        <c:crossAx val="728112432"/>
        <c:crosses val="autoZero"/>
        <c:auto val="1"/>
        <c:lblAlgn val="ctr"/>
        <c:lblOffset val="100"/>
        <c:noMultiLvlLbl val="0"/>
      </c:catAx>
      <c:valAx>
        <c:axId val="728112432"/>
        <c:scaling>
          <c:orientation val="minMax"/>
        </c:scaling>
        <c:delete val="0"/>
        <c:axPos val="l"/>
        <c:numFmt formatCode="0.00_ " sourceLinked="1"/>
        <c:majorTickMark val="out"/>
        <c:minorTickMark val="none"/>
        <c:tickLblPos val="nextTo"/>
        <c:spPr>
          <a:noFill/>
          <a:ln w="12700">
            <a:solidFill>
              <a:srgbClr val="000000"/>
            </a:solidFill>
            <a:prstDash val="solid"/>
          </a:ln>
          <a:effectLst/>
        </c:spPr>
        <c:txPr>
          <a:bodyPr rot="-60000000" spcFirstLastPara="1" vertOverflow="ellipsis" vert="horz" wrap="square" anchor="ctr" anchorCtr="1"/>
          <a:lstStyle/>
          <a:p>
            <a:pPr>
              <a:defRPr lang="zh-CN" sz="800" b="0" i="0" u="none" strike="noStrike" kern="1200" baseline="0">
                <a:solidFill>
                  <a:srgbClr val="000000"/>
                </a:solidFill>
                <a:latin typeface="Arial" panose="020B0604020202020204" pitchFamily="2"/>
                <a:ea typeface="Arial" panose="020B0604020202020204" pitchFamily="2"/>
                <a:cs typeface="Arial" panose="020B0604020202020204" pitchFamily="2"/>
              </a:defRPr>
            </a:pPr>
            <a:endParaRPr lang="zh-CN"/>
          </a:p>
        </c:txPr>
        <c:crossAx val="722291136"/>
        <c:crosses val="autoZero"/>
        <c:crossBetween val="midCat"/>
      </c:valAx>
      <c:catAx>
        <c:axId val="722296416"/>
        <c:scaling>
          <c:orientation val="minMax"/>
        </c:scaling>
        <c:delete val="1"/>
        <c:axPos val="b"/>
        <c:majorTickMark val="out"/>
        <c:minorTickMark val="none"/>
        <c:tickLblPos val="nextTo"/>
        <c:crossAx val="728119872"/>
        <c:crosses val="autoZero"/>
        <c:auto val="1"/>
        <c:lblAlgn val="ctr"/>
        <c:lblOffset val="100"/>
        <c:noMultiLvlLbl val="0"/>
      </c:catAx>
      <c:valAx>
        <c:axId val="728119872"/>
        <c:scaling>
          <c:orientation val="minMax"/>
        </c:scaling>
        <c:delete val="0"/>
        <c:axPos val="r"/>
        <c:numFmt formatCode="0.00_ " sourceLinked="1"/>
        <c:majorTickMark val="out"/>
        <c:minorTickMark val="none"/>
        <c:tickLblPos val="nextTo"/>
        <c:spPr>
          <a:noFill/>
          <a:ln w="12700">
            <a:solidFill>
              <a:srgbClr val="000000"/>
            </a:solidFill>
            <a:prstDash val="solid"/>
          </a:ln>
          <a:effectLst/>
        </c:spPr>
        <c:txPr>
          <a:bodyPr rot="-60000000" spcFirstLastPara="1" vertOverflow="ellipsis" vert="horz" wrap="square" anchor="ctr" anchorCtr="1"/>
          <a:lstStyle/>
          <a:p>
            <a:pPr>
              <a:defRPr lang="zh-CN" sz="800" b="0" i="0" u="none" strike="noStrike" kern="1200" baseline="0">
                <a:solidFill>
                  <a:srgbClr val="000000"/>
                </a:solidFill>
                <a:latin typeface="Arial" panose="020B0604020202020204" pitchFamily="2"/>
                <a:ea typeface="Arial" panose="020B0604020202020204" pitchFamily="2"/>
                <a:cs typeface="Arial" panose="020B0604020202020204" pitchFamily="2"/>
              </a:defRPr>
            </a:pPr>
            <a:endParaRPr lang="zh-CN"/>
          </a:p>
        </c:txPr>
        <c:crossAx val="722296416"/>
        <c:crosses val="max"/>
        <c:crossBetween val="between"/>
      </c:valAx>
      <c:spPr>
        <a:noFill/>
        <a:ln>
          <a:noFill/>
        </a:ln>
        <a:effectLst/>
      </c:spPr>
    </c:plotArea>
    <c:legend>
      <c:legendPos val="t"/>
      <c:overlay val="0"/>
      <c:spPr>
        <a:noFill/>
        <a:ln w="25400">
          <a:noFill/>
        </a:ln>
        <a:effectLst/>
      </c:spPr>
      <c:txPr>
        <a:bodyPr rot="0" spcFirstLastPara="1" vertOverflow="ellipsis" vert="horz" wrap="square" anchor="ctr" anchorCtr="1"/>
        <a:lstStyle/>
        <a:p>
          <a:pPr>
            <a:defRPr lang="zh-CN" sz="800" b="0" i="0" u="none" strike="noStrike" kern="1200" baseline="0">
              <a:solidFill>
                <a:srgbClr val="000000"/>
              </a:solidFill>
              <a:latin typeface="Arial" panose="020B0604020202020204" pitchFamily="2" charset="0"/>
              <a:ea typeface="黑体" panose="02010609060101010101" charset="-122"/>
              <a:cs typeface="Arial" panose="020B0604020202020204" pitchFamily="2" charset="0"/>
            </a:defRPr>
          </a:pPr>
          <a:endParaRPr lang="zh-CN"/>
        </a:p>
      </c:txPr>
    </c:legend>
    <c:plotVisOnly val="1"/>
    <c:dispBlanksAs val="gap"/>
    <c:showDLblsOverMax val="0"/>
  </c:chart>
  <c:spPr>
    <a:solidFill>
      <a:schemeClr val="bg1"/>
    </a:solidFill>
    <a:ln w="25400" cap="flat" cmpd="sng" algn="ctr">
      <a:noFill/>
      <a:round/>
    </a:ln>
    <a:effectLst/>
  </c:spPr>
  <c:txPr>
    <a:bodyPr/>
    <a:lstStyle/>
    <a:p>
      <a:pPr>
        <a:defRPr lang="zh-CN"/>
      </a:pPr>
      <a:endParaRPr lang="zh-C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5"/>
    </mc:Choice>
    <mc:Fallback>
      <c:style val="5"/>
    </mc:Fallback>
  </mc:AlternateContent>
  <c:chart>
    <c:autoTitleDeleted val="1"/>
    <c:plotArea>
      <c:layout/>
      <c:lineChart>
        <c:grouping val="stacked"/>
        <c:varyColors val="0"/>
        <c:ser>
          <c:idx val="0"/>
          <c:order val="0"/>
          <c:tx>
            <c:strRef>
              <c:f>Sheet1!$N$1</c:f>
              <c:strCache>
                <c:ptCount val="1"/>
                <c:pt idx="0">
                  <c:v>上海</c:v>
                </c:pt>
              </c:strCache>
            </c:strRef>
          </c:tx>
          <c:spPr>
            <a:ln w="28575" cap="rnd">
              <a:solidFill>
                <a:schemeClr val="accent3">
                  <a:shade val="45000"/>
                </a:schemeClr>
              </a:solidFill>
              <a:round/>
            </a:ln>
            <a:effectLst/>
          </c:spPr>
          <c:marker>
            <c:symbol val="none"/>
          </c:marker>
          <c:cat>
            <c:numRef>
              <c:f>Sheet1!$B$3:$B$11</c:f>
              <c:numCache>
                <c:formatCode>General</c:formatCode>
                <c:ptCount val="9"/>
                <c:pt idx="0">
                  <c:v>2012</c:v>
                </c:pt>
                <c:pt idx="1">
                  <c:v>2013</c:v>
                </c:pt>
                <c:pt idx="2">
                  <c:v>2014</c:v>
                </c:pt>
                <c:pt idx="3">
                  <c:v>2015</c:v>
                </c:pt>
                <c:pt idx="4">
                  <c:v>2016</c:v>
                </c:pt>
                <c:pt idx="5">
                  <c:v>2017</c:v>
                </c:pt>
                <c:pt idx="6">
                  <c:v>2018</c:v>
                </c:pt>
                <c:pt idx="7">
                  <c:v>2019</c:v>
                </c:pt>
                <c:pt idx="8">
                  <c:v>2020</c:v>
                </c:pt>
              </c:numCache>
            </c:numRef>
          </c:cat>
          <c:val>
            <c:numRef>
              <c:f>Sheet1!$N$2:$N$10</c:f>
              <c:numCache>
                <c:formatCode>0.00%</c:formatCode>
                <c:ptCount val="9"/>
                <c:pt idx="0">
                  <c:v>-1.35395120071657E-3</c:v>
                </c:pt>
                <c:pt idx="1">
                  <c:v>-6.53099404432289E-3</c:v>
                </c:pt>
                <c:pt idx="2">
                  <c:v>2.4439963601701198E-3</c:v>
                </c:pt>
                <c:pt idx="3">
                  <c:v>-4.7832842974980796E-3</c:v>
                </c:pt>
                <c:pt idx="4">
                  <c:v>2.9898130183194601E-3</c:v>
                </c:pt>
                <c:pt idx="5">
                  <c:v>5.0606221907363302E-3</c:v>
                </c:pt>
                <c:pt idx="6">
                  <c:v>2.8307107104453399E-2</c:v>
                </c:pt>
                <c:pt idx="7">
                  <c:v>-4.43788040798698E-4</c:v>
                </c:pt>
                <c:pt idx="8">
                  <c:v>2.3953516885962801E-2</c:v>
                </c:pt>
              </c:numCache>
            </c:numRef>
          </c:val>
          <c:smooth val="0"/>
          <c:extLst>
            <c:ext xmlns:c16="http://schemas.microsoft.com/office/drawing/2014/chart" uri="{C3380CC4-5D6E-409C-BE32-E72D297353CC}">
              <c16:uniqueId val="{00000000-D8C3-4556-B67F-014C9AF1EAD9}"/>
            </c:ext>
          </c:extLst>
        </c:ser>
        <c:ser>
          <c:idx val="1"/>
          <c:order val="1"/>
          <c:tx>
            <c:strRef>
              <c:f>Sheet1!$O$1</c:f>
              <c:strCache>
                <c:ptCount val="1"/>
                <c:pt idx="0">
                  <c:v>江苏</c:v>
                </c:pt>
              </c:strCache>
            </c:strRef>
          </c:tx>
          <c:spPr>
            <a:ln w="28575" cap="rnd">
              <a:solidFill>
                <a:schemeClr val="accent3">
                  <a:shade val="61000"/>
                </a:schemeClr>
              </a:solidFill>
              <a:round/>
            </a:ln>
            <a:effectLst/>
          </c:spPr>
          <c:marker>
            <c:symbol val="none"/>
          </c:marker>
          <c:cat>
            <c:numRef>
              <c:f>Sheet1!$B$3:$B$11</c:f>
              <c:numCache>
                <c:formatCode>General</c:formatCode>
                <c:ptCount val="9"/>
                <c:pt idx="0">
                  <c:v>2012</c:v>
                </c:pt>
                <c:pt idx="1">
                  <c:v>2013</c:v>
                </c:pt>
                <c:pt idx="2">
                  <c:v>2014</c:v>
                </c:pt>
                <c:pt idx="3">
                  <c:v>2015</c:v>
                </c:pt>
                <c:pt idx="4">
                  <c:v>2016</c:v>
                </c:pt>
                <c:pt idx="5">
                  <c:v>2017</c:v>
                </c:pt>
                <c:pt idx="6">
                  <c:v>2018</c:v>
                </c:pt>
                <c:pt idx="7">
                  <c:v>2019</c:v>
                </c:pt>
                <c:pt idx="8">
                  <c:v>2020</c:v>
                </c:pt>
              </c:numCache>
            </c:numRef>
          </c:cat>
          <c:val>
            <c:numRef>
              <c:f>Sheet1!$O$2:$O$10</c:f>
              <c:numCache>
                <c:formatCode>0.00%</c:formatCode>
                <c:ptCount val="9"/>
                <c:pt idx="0">
                  <c:v>-6.6635758904192198E-3</c:v>
                </c:pt>
                <c:pt idx="1">
                  <c:v>-1.8689448543182099E-3</c:v>
                </c:pt>
                <c:pt idx="2">
                  <c:v>-4.0247107327847599E-3</c:v>
                </c:pt>
                <c:pt idx="3">
                  <c:v>-3.65532675295466E-3</c:v>
                </c:pt>
                <c:pt idx="4">
                  <c:v>-3.3380396476791999E-3</c:v>
                </c:pt>
                <c:pt idx="5">
                  <c:v>-8.2020606690291797E-4</c:v>
                </c:pt>
                <c:pt idx="6">
                  <c:v>-9.2701673752415599E-5</c:v>
                </c:pt>
                <c:pt idx="7">
                  <c:v>-3.9585302956169901E-3</c:v>
                </c:pt>
                <c:pt idx="8">
                  <c:v>-3.59853939164356E-3</c:v>
                </c:pt>
              </c:numCache>
            </c:numRef>
          </c:val>
          <c:smooth val="0"/>
          <c:extLst>
            <c:ext xmlns:c16="http://schemas.microsoft.com/office/drawing/2014/chart" uri="{C3380CC4-5D6E-409C-BE32-E72D297353CC}">
              <c16:uniqueId val="{00000001-D8C3-4556-B67F-014C9AF1EAD9}"/>
            </c:ext>
          </c:extLst>
        </c:ser>
        <c:ser>
          <c:idx val="2"/>
          <c:order val="2"/>
          <c:tx>
            <c:strRef>
              <c:f>Sheet1!$P$1</c:f>
              <c:strCache>
                <c:ptCount val="1"/>
                <c:pt idx="0">
                  <c:v>浙江</c:v>
                </c:pt>
              </c:strCache>
            </c:strRef>
          </c:tx>
          <c:spPr>
            <a:ln w="28575" cap="rnd">
              <a:solidFill>
                <a:schemeClr val="accent3">
                  <a:shade val="76000"/>
                </a:schemeClr>
              </a:solidFill>
              <a:round/>
            </a:ln>
            <a:effectLst/>
          </c:spPr>
          <c:marker>
            <c:symbol val="none"/>
          </c:marker>
          <c:cat>
            <c:numRef>
              <c:f>Sheet1!$B$3:$B$11</c:f>
              <c:numCache>
                <c:formatCode>General</c:formatCode>
                <c:ptCount val="9"/>
                <c:pt idx="0">
                  <c:v>2012</c:v>
                </c:pt>
                <c:pt idx="1">
                  <c:v>2013</c:v>
                </c:pt>
                <c:pt idx="2">
                  <c:v>2014</c:v>
                </c:pt>
                <c:pt idx="3">
                  <c:v>2015</c:v>
                </c:pt>
                <c:pt idx="4">
                  <c:v>2016</c:v>
                </c:pt>
                <c:pt idx="5">
                  <c:v>2017</c:v>
                </c:pt>
                <c:pt idx="6">
                  <c:v>2018</c:v>
                </c:pt>
                <c:pt idx="7">
                  <c:v>2019</c:v>
                </c:pt>
                <c:pt idx="8">
                  <c:v>2020</c:v>
                </c:pt>
              </c:numCache>
            </c:numRef>
          </c:cat>
          <c:val>
            <c:numRef>
              <c:f>Sheet1!$P$2:$P$10</c:f>
              <c:numCache>
                <c:formatCode>0.00%</c:formatCode>
                <c:ptCount val="9"/>
                <c:pt idx="0">
                  <c:v>-4.3245590196615601E-3</c:v>
                </c:pt>
                <c:pt idx="1">
                  <c:v>-7.02258635926367E-3</c:v>
                </c:pt>
                <c:pt idx="2">
                  <c:v>-4.7408876118018002E-3</c:v>
                </c:pt>
                <c:pt idx="3">
                  <c:v>-1.0527049743797401E-2</c:v>
                </c:pt>
                <c:pt idx="4">
                  <c:v>-6.6732199922729897E-3</c:v>
                </c:pt>
                <c:pt idx="5">
                  <c:v>-6.8358841662921098E-3</c:v>
                </c:pt>
                <c:pt idx="6">
                  <c:v>-3.7140605038477E-3</c:v>
                </c:pt>
                <c:pt idx="7">
                  <c:v>-6.9078510751398002E-3</c:v>
                </c:pt>
                <c:pt idx="8">
                  <c:v>-1.8330857524636701E-2</c:v>
                </c:pt>
              </c:numCache>
            </c:numRef>
          </c:val>
          <c:smooth val="0"/>
          <c:extLst>
            <c:ext xmlns:c16="http://schemas.microsoft.com/office/drawing/2014/chart" uri="{C3380CC4-5D6E-409C-BE32-E72D297353CC}">
              <c16:uniqueId val="{00000002-D8C3-4556-B67F-014C9AF1EAD9}"/>
            </c:ext>
          </c:extLst>
        </c:ser>
        <c:ser>
          <c:idx val="3"/>
          <c:order val="3"/>
          <c:tx>
            <c:strRef>
              <c:f>Sheet1!$Q$1</c:f>
              <c:strCache>
                <c:ptCount val="1"/>
                <c:pt idx="0">
                  <c:v>安徽</c:v>
                </c:pt>
              </c:strCache>
            </c:strRef>
          </c:tx>
          <c:spPr>
            <a:ln w="28575" cap="rnd">
              <a:solidFill>
                <a:schemeClr val="accent3">
                  <a:shade val="92000"/>
                </a:schemeClr>
              </a:solidFill>
              <a:round/>
            </a:ln>
            <a:effectLst/>
          </c:spPr>
          <c:marker>
            <c:symbol val="none"/>
          </c:marker>
          <c:cat>
            <c:numRef>
              <c:f>Sheet1!$B$3:$B$11</c:f>
              <c:numCache>
                <c:formatCode>General</c:formatCode>
                <c:ptCount val="9"/>
                <c:pt idx="0">
                  <c:v>2012</c:v>
                </c:pt>
                <c:pt idx="1">
                  <c:v>2013</c:v>
                </c:pt>
                <c:pt idx="2">
                  <c:v>2014</c:v>
                </c:pt>
                <c:pt idx="3">
                  <c:v>2015</c:v>
                </c:pt>
                <c:pt idx="4">
                  <c:v>2016</c:v>
                </c:pt>
                <c:pt idx="5">
                  <c:v>2017</c:v>
                </c:pt>
                <c:pt idx="6">
                  <c:v>2018</c:v>
                </c:pt>
                <c:pt idx="7">
                  <c:v>2019</c:v>
                </c:pt>
                <c:pt idx="8">
                  <c:v>2020</c:v>
                </c:pt>
              </c:numCache>
            </c:numRef>
          </c:cat>
          <c:val>
            <c:numRef>
              <c:f>Sheet1!$Q$2:$Q$10</c:f>
              <c:numCache>
                <c:formatCode>0.00%</c:formatCode>
                <c:ptCount val="9"/>
                <c:pt idx="0">
                  <c:v>-1.5990479737130501E-2</c:v>
                </c:pt>
                <c:pt idx="1">
                  <c:v>-1.37618302962688E-2</c:v>
                </c:pt>
                <c:pt idx="2">
                  <c:v>-4.2921033813549904E-3</c:v>
                </c:pt>
                <c:pt idx="3">
                  <c:v>-9.7514677919275893E-3</c:v>
                </c:pt>
                <c:pt idx="4">
                  <c:v>-7.8406202165693904E-3</c:v>
                </c:pt>
                <c:pt idx="5">
                  <c:v>-7.1353354312216899E-3</c:v>
                </c:pt>
                <c:pt idx="6">
                  <c:v>1.0989595362933501E-3</c:v>
                </c:pt>
                <c:pt idx="7">
                  <c:v>-8.9291423501474104E-3</c:v>
                </c:pt>
                <c:pt idx="8">
                  <c:v>4.2407945203282197E-3</c:v>
                </c:pt>
              </c:numCache>
            </c:numRef>
          </c:val>
          <c:smooth val="0"/>
          <c:extLst>
            <c:ext xmlns:c16="http://schemas.microsoft.com/office/drawing/2014/chart" uri="{C3380CC4-5D6E-409C-BE32-E72D297353CC}">
              <c16:uniqueId val="{00000003-D8C3-4556-B67F-014C9AF1EAD9}"/>
            </c:ext>
          </c:extLst>
        </c:ser>
        <c:ser>
          <c:idx val="4"/>
          <c:order val="4"/>
          <c:tx>
            <c:strRef>
              <c:f>Sheet1!$R$1</c:f>
              <c:strCache>
                <c:ptCount val="1"/>
                <c:pt idx="0">
                  <c:v>内蒙古</c:v>
                </c:pt>
              </c:strCache>
            </c:strRef>
          </c:tx>
          <c:spPr>
            <a:ln w="28575" cap="rnd">
              <a:solidFill>
                <a:schemeClr val="accent3">
                  <a:tint val="93000"/>
                </a:schemeClr>
              </a:solidFill>
              <a:round/>
            </a:ln>
            <a:effectLst/>
          </c:spPr>
          <c:marker>
            <c:symbol val="none"/>
          </c:marker>
          <c:cat>
            <c:numRef>
              <c:f>Sheet1!$B$3:$B$11</c:f>
              <c:numCache>
                <c:formatCode>General</c:formatCode>
                <c:ptCount val="9"/>
                <c:pt idx="0">
                  <c:v>2012</c:v>
                </c:pt>
                <c:pt idx="1">
                  <c:v>2013</c:v>
                </c:pt>
                <c:pt idx="2">
                  <c:v>2014</c:v>
                </c:pt>
                <c:pt idx="3">
                  <c:v>2015</c:v>
                </c:pt>
                <c:pt idx="4">
                  <c:v>2016</c:v>
                </c:pt>
                <c:pt idx="5">
                  <c:v>2017</c:v>
                </c:pt>
                <c:pt idx="6">
                  <c:v>2018</c:v>
                </c:pt>
                <c:pt idx="7">
                  <c:v>2019</c:v>
                </c:pt>
                <c:pt idx="8">
                  <c:v>2020</c:v>
                </c:pt>
              </c:numCache>
            </c:numRef>
          </c:cat>
          <c:val>
            <c:numRef>
              <c:f>Sheet1!$R$2:$R$10</c:f>
              <c:numCache>
                <c:formatCode>0.00%</c:formatCode>
                <c:ptCount val="9"/>
                <c:pt idx="0">
                  <c:v>-1.1597658382849801E-2</c:v>
                </c:pt>
                <c:pt idx="1">
                  <c:v>-1.0794090229665701E-2</c:v>
                </c:pt>
                <c:pt idx="2">
                  <c:v>-1.12109751153762E-2</c:v>
                </c:pt>
                <c:pt idx="3">
                  <c:v>-9.6378257771971808E-3</c:v>
                </c:pt>
                <c:pt idx="4">
                  <c:v>-7.5790612927181299E-3</c:v>
                </c:pt>
                <c:pt idx="5">
                  <c:v>-9.5564526381934894E-3</c:v>
                </c:pt>
                <c:pt idx="6">
                  <c:v>-2.5723680576452999E-2</c:v>
                </c:pt>
                <c:pt idx="7">
                  <c:v>-1.34109161520439E-2</c:v>
                </c:pt>
                <c:pt idx="8">
                  <c:v>-9.9038898761065804E-3</c:v>
                </c:pt>
              </c:numCache>
            </c:numRef>
          </c:val>
          <c:smooth val="0"/>
          <c:extLst>
            <c:ext xmlns:c16="http://schemas.microsoft.com/office/drawing/2014/chart" uri="{C3380CC4-5D6E-409C-BE32-E72D297353CC}">
              <c16:uniqueId val="{00000004-D8C3-4556-B67F-014C9AF1EAD9}"/>
            </c:ext>
          </c:extLst>
        </c:ser>
        <c:ser>
          <c:idx val="5"/>
          <c:order val="5"/>
          <c:tx>
            <c:strRef>
              <c:f>Sheet1!$S$1</c:f>
              <c:strCache>
                <c:ptCount val="1"/>
                <c:pt idx="0">
                  <c:v>甘肃</c:v>
                </c:pt>
              </c:strCache>
            </c:strRef>
          </c:tx>
          <c:spPr>
            <a:ln w="28575" cap="rnd">
              <a:solidFill>
                <a:schemeClr val="accent3">
                  <a:tint val="77000"/>
                </a:schemeClr>
              </a:solidFill>
              <a:round/>
            </a:ln>
            <a:effectLst/>
          </c:spPr>
          <c:marker>
            <c:symbol val="none"/>
          </c:marker>
          <c:cat>
            <c:numRef>
              <c:f>Sheet1!$B$3:$B$11</c:f>
              <c:numCache>
                <c:formatCode>General</c:formatCode>
                <c:ptCount val="9"/>
                <c:pt idx="0">
                  <c:v>2012</c:v>
                </c:pt>
                <c:pt idx="1">
                  <c:v>2013</c:v>
                </c:pt>
                <c:pt idx="2">
                  <c:v>2014</c:v>
                </c:pt>
                <c:pt idx="3">
                  <c:v>2015</c:v>
                </c:pt>
                <c:pt idx="4">
                  <c:v>2016</c:v>
                </c:pt>
                <c:pt idx="5">
                  <c:v>2017</c:v>
                </c:pt>
                <c:pt idx="6">
                  <c:v>2018</c:v>
                </c:pt>
                <c:pt idx="7">
                  <c:v>2019</c:v>
                </c:pt>
                <c:pt idx="8">
                  <c:v>2020</c:v>
                </c:pt>
              </c:numCache>
            </c:numRef>
          </c:cat>
          <c:val>
            <c:numRef>
              <c:f>Sheet1!$S$2:$S$10</c:f>
              <c:numCache>
                <c:formatCode>0.00%</c:formatCode>
                <c:ptCount val="9"/>
                <c:pt idx="0">
                  <c:v>-2.3976930066805801E-2</c:v>
                </c:pt>
                <c:pt idx="1">
                  <c:v>-1.8824474027308399E-2</c:v>
                </c:pt>
                <c:pt idx="2">
                  <c:v>-1.40380832721915E-2</c:v>
                </c:pt>
                <c:pt idx="3">
                  <c:v>-7.9473998409310704E-3</c:v>
                </c:pt>
                <c:pt idx="4">
                  <c:v>1.25936268113302E-3</c:v>
                </c:pt>
                <c:pt idx="5">
                  <c:v>-1.56377648981488E-2</c:v>
                </c:pt>
                <c:pt idx="6">
                  <c:v>-1.51751924936133E-2</c:v>
                </c:pt>
                <c:pt idx="7">
                  <c:v>-3.40653942389102E-3</c:v>
                </c:pt>
                <c:pt idx="8">
                  <c:v>-1.51357214285583E-2</c:v>
                </c:pt>
              </c:numCache>
            </c:numRef>
          </c:val>
          <c:smooth val="0"/>
          <c:extLst>
            <c:ext xmlns:c16="http://schemas.microsoft.com/office/drawing/2014/chart" uri="{C3380CC4-5D6E-409C-BE32-E72D297353CC}">
              <c16:uniqueId val="{00000005-D8C3-4556-B67F-014C9AF1EAD9}"/>
            </c:ext>
          </c:extLst>
        </c:ser>
        <c:ser>
          <c:idx val="6"/>
          <c:order val="6"/>
          <c:tx>
            <c:strRef>
              <c:f>Sheet1!$T$1</c:f>
              <c:strCache>
                <c:ptCount val="1"/>
                <c:pt idx="0">
                  <c:v>宁夏</c:v>
                </c:pt>
              </c:strCache>
            </c:strRef>
          </c:tx>
          <c:spPr>
            <a:ln w="28575" cap="rnd">
              <a:solidFill>
                <a:schemeClr val="accent3">
                  <a:tint val="62000"/>
                </a:schemeClr>
              </a:solidFill>
              <a:round/>
            </a:ln>
            <a:effectLst/>
          </c:spPr>
          <c:marker>
            <c:symbol val="none"/>
          </c:marker>
          <c:cat>
            <c:numRef>
              <c:f>Sheet1!$B$3:$B$11</c:f>
              <c:numCache>
                <c:formatCode>General</c:formatCode>
                <c:ptCount val="9"/>
                <c:pt idx="0">
                  <c:v>2012</c:v>
                </c:pt>
                <c:pt idx="1">
                  <c:v>2013</c:v>
                </c:pt>
                <c:pt idx="2">
                  <c:v>2014</c:v>
                </c:pt>
                <c:pt idx="3">
                  <c:v>2015</c:v>
                </c:pt>
                <c:pt idx="4">
                  <c:v>2016</c:v>
                </c:pt>
                <c:pt idx="5">
                  <c:v>2017</c:v>
                </c:pt>
                <c:pt idx="6">
                  <c:v>2018</c:v>
                </c:pt>
                <c:pt idx="7">
                  <c:v>2019</c:v>
                </c:pt>
                <c:pt idx="8">
                  <c:v>2020</c:v>
                </c:pt>
              </c:numCache>
            </c:numRef>
          </c:cat>
          <c:val>
            <c:numRef>
              <c:f>Sheet1!$T$2:$T$10</c:f>
              <c:numCache>
                <c:formatCode>0.00%</c:formatCode>
                <c:ptCount val="9"/>
                <c:pt idx="0">
                  <c:v>-2.2453665818831701E-2</c:v>
                </c:pt>
                <c:pt idx="1">
                  <c:v>-3.2869227633786198E-2</c:v>
                </c:pt>
                <c:pt idx="2">
                  <c:v>-1.9704629063132799E-2</c:v>
                </c:pt>
                <c:pt idx="3">
                  <c:v>-3.6687263392775102E-2</c:v>
                </c:pt>
                <c:pt idx="4">
                  <c:v>-1.08877285669989E-2</c:v>
                </c:pt>
                <c:pt idx="5">
                  <c:v>-6.7581322505175803E-2</c:v>
                </c:pt>
                <c:pt idx="6">
                  <c:v>-4.1243745587535997E-2</c:v>
                </c:pt>
                <c:pt idx="7">
                  <c:v>-2.9363927443778502E-2</c:v>
                </c:pt>
                <c:pt idx="8">
                  <c:v>-1.99856503432909E-2</c:v>
                </c:pt>
              </c:numCache>
            </c:numRef>
          </c:val>
          <c:smooth val="0"/>
          <c:extLst>
            <c:ext xmlns:c16="http://schemas.microsoft.com/office/drawing/2014/chart" uri="{C3380CC4-5D6E-409C-BE32-E72D297353CC}">
              <c16:uniqueId val="{00000006-D8C3-4556-B67F-014C9AF1EAD9}"/>
            </c:ext>
          </c:extLst>
        </c:ser>
        <c:ser>
          <c:idx val="7"/>
          <c:order val="7"/>
          <c:tx>
            <c:strRef>
              <c:f>Sheet1!$U$1</c:f>
              <c:strCache>
                <c:ptCount val="1"/>
                <c:pt idx="0">
                  <c:v>新疆</c:v>
                </c:pt>
              </c:strCache>
            </c:strRef>
          </c:tx>
          <c:spPr>
            <a:ln w="28575" cap="rnd">
              <a:solidFill>
                <a:schemeClr val="accent3">
                  <a:tint val="46000"/>
                </a:schemeClr>
              </a:solidFill>
              <a:round/>
            </a:ln>
            <a:effectLst/>
          </c:spPr>
          <c:marker>
            <c:symbol val="none"/>
          </c:marker>
          <c:cat>
            <c:numRef>
              <c:f>Sheet1!$B$3:$B$11</c:f>
              <c:numCache>
                <c:formatCode>General</c:formatCode>
                <c:ptCount val="9"/>
                <c:pt idx="0">
                  <c:v>2012</c:v>
                </c:pt>
                <c:pt idx="1">
                  <c:v>2013</c:v>
                </c:pt>
                <c:pt idx="2">
                  <c:v>2014</c:v>
                </c:pt>
                <c:pt idx="3">
                  <c:v>2015</c:v>
                </c:pt>
                <c:pt idx="4">
                  <c:v>2016</c:v>
                </c:pt>
                <c:pt idx="5">
                  <c:v>2017</c:v>
                </c:pt>
                <c:pt idx="6">
                  <c:v>2018</c:v>
                </c:pt>
                <c:pt idx="7">
                  <c:v>2019</c:v>
                </c:pt>
                <c:pt idx="8">
                  <c:v>2020</c:v>
                </c:pt>
              </c:numCache>
            </c:numRef>
          </c:cat>
          <c:val>
            <c:numRef>
              <c:f>Sheet1!$U$2:$U$10</c:f>
              <c:numCache>
                <c:formatCode>0.00%</c:formatCode>
                <c:ptCount val="9"/>
                <c:pt idx="0">
                  <c:v>-5.1936402256776502E-2</c:v>
                </c:pt>
                <c:pt idx="1">
                  <c:v>-5.0445251090517097E-2</c:v>
                </c:pt>
                <c:pt idx="2">
                  <c:v>-2.3795522605684401E-2</c:v>
                </c:pt>
                <c:pt idx="3">
                  <c:v>-1.5713717915777501E-2</c:v>
                </c:pt>
                <c:pt idx="4">
                  <c:v>-1.1506668917500301E-2</c:v>
                </c:pt>
                <c:pt idx="5">
                  <c:v>-1.42003787689579E-2</c:v>
                </c:pt>
                <c:pt idx="6">
                  <c:v>-1.58003135345774E-3</c:v>
                </c:pt>
                <c:pt idx="7">
                  <c:v>-9.1798302269520092E-3</c:v>
                </c:pt>
                <c:pt idx="8">
                  <c:v>-7.2569963875266401E-3</c:v>
                </c:pt>
              </c:numCache>
            </c:numRef>
          </c:val>
          <c:smooth val="0"/>
          <c:extLst>
            <c:ext xmlns:c16="http://schemas.microsoft.com/office/drawing/2014/chart" uri="{C3380CC4-5D6E-409C-BE32-E72D297353CC}">
              <c16:uniqueId val="{00000007-D8C3-4556-B67F-014C9AF1EAD9}"/>
            </c:ext>
          </c:extLst>
        </c:ser>
        <c:dLbls>
          <c:showLegendKey val="0"/>
          <c:showVal val="0"/>
          <c:showCatName val="0"/>
          <c:showSerName val="0"/>
          <c:showPercent val="0"/>
          <c:showBubbleSize val="0"/>
        </c:dLbls>
        <c:smooth val="0"/>
        <c:axId val="662842912"/>
        <c:axId val="701582272"/>
      </c:lineChart>
      <c:catAx>
        <c:axId val="662842912"/>
        <c:scaling>
          <c:orientation val="minMax"/>
        </c:scaling>
        <c:delete val="0"/>
        <c:axPos val="b"/>
        <c:numFmt formatCode="General" sourceLinked="1"/>
        <c:majorTickMark val="out"/>
        <c:minorTickMark val="none"/>
        <c:tickLblPos val="low"/>
        <c:spPr>
          <a:noFill/>
          <a:ln w="12700" cap="flat" cmpd="sng" algn="ctr">
            <a:solidFill>
              <a:srgbClr val="000000"/>
            </a:solidFill>
            <a:prstDash val="solid"/>
            <a:round/>
          </a:ln>
          <a:effectLst/>
        </c:spPr>
        <c:txPr>
          <a:bodyPr rot="-60000000" spcFirstLastPara="1" vertOverflow="ellipsis" vert="horz" wrap="square" anchor="ctr" anchorCtr="1"/>
          <a:lstStyle/>
          <a:p>
            <a:pPr>
              <a:defRPr lang="zh-CN" sz="800" b="0" i="0" u="none" strike="noStrike" kern="1200" baseline="0">
                <a:solidFill>
                  <a:srgbClr val="000000"/>
                </a:solidFill>
                <a:latin typeface="Arial" panose="020B0604020202020204" pitchFamily="2"/>
                <a:ea typeface="Arial" panose="020B0604020202020204" pitchFamily="2"/>
                <a:cs typeface="Arial" panose="020B0604020202020204" pitchFamily="2"/>
              </a:defRPr>
            </a:pPr>
            <a:endParaRPr lang="zh-CN"/>
          </a:p>
        </c:txPr>
        <c:crossAx val="701582272"/>
        <c:crosses val="autoZero"/>
        <c:auto val="1"/>
        <c:lblAlgn val="ctr"/>
        <c:lblOffset val="100"/>
        <c:noMultiLvlLbl val="0"/>
      </c:catAx>
      <c:valAx>
        <c:axId val="701582272"/>
        <c:scaling>
          <c:orientation val="minMax"/>
        </c:scaling>
        <c:delete val="0"/>
        <c:axPos val="l"/>
        <c:numFmt formatCode="0.00%" sourceLinked="1"/>
        <c:majorTickMark val="out"/>
        <c:minorTickMark val="none"/>
        <c:tickLblPos val="nextTo"/>
        <c:spPr>
          <a:noFill/>
          <a:ln w="12700">
            <a:solidFill>
              <a:srgbClr val="000000"/>
            </a:solidFill>
            <a:prstDash val="solid"/>
          </a:ln>
          <a:effectLst/>
        </c:spPr>
        <c:txPr>
          <a:bodyPr rot="-60000000" spcFirstLastPara="1" vertOverflow="ellipsis" vert="horz" wrap="square" anchor="ctr" anchorCtr="1"/>
          <a:lstStyle/>
          <a:p>
            <a:pPr>
              <a:defRPr lang="zh-CN" sz="800" b="0" i="0" u="none" strike="noStrike" kern="1200" baseline="0">
                <a:solidFill>
                  <a:srgbClr val="000000"/>
                </a:solidFill>
                <a:latin typeface="Arial" panose="020B0604020202020204" pitchFamily="2"/>
                <a:ea typeface="Arial" panose="020B0604020202020204" pitchFamily="2"/>
                <a:cs typeface="Arial" panose="020B0604020202020204" pitchFamily="2"/>
              </a:defRPr>
            </a:pPr>
            <a:endParaRPr lang="zh-CN"/>
          </a:p>
        </c:txPr>
        <c:crossAx val="662842912"/>
        <c:crosses val="autoZero"/>
        <c:crossBetween val="midCat"/>
      </c:valAx>
      <c:spPr>
        <a:noFill/>
        <a:ln>
          <a:noFill/>
        </a:ln>
        <a:effectLst/>
      </c:spPr>
    </c:plotArea>
    <c:legend>
      <c:legendPos val="t"/>
      <c:overlay val="0"/>
      <c:spPr>
        <a:noFill/>
        <a:ln w="25400">
          <a:noFill/>
        </a:ln>
        <a:effectLst/>
      </c:spPr>
      <c:txPr>
        <a:bodyPr rot="0" spcFirstLastPara="1" vertOverflow="ellipsis" vert="horz" wrap="square" anchor="ctr" anchorCtr="1"/>
        <a:lstStyle/>
        <a:p>
          <a:pPr>
            <a:defRPr lang="zh-CN" sz="800" b="0" i="0" u="none" strike="noStrike" kern="1200" baseline="0">
              <a:solidFill>
                <a:srgbClr val="000000"/>
              </a:solidFill>
              <a:latin typeface="Arial" panose="020B0604020202020204" pitchFamily="2" charset="0"/>
              <a:ea typeface="黑体" panose="02010609060101010101" charset="-122"/>
              <a:cs typeface="Arial" panose="020B0604020202020204" pitchFamily="2" charset="0"/>
            </a:defRPr>
          </a:pPr>
          <a:endParaRPr lang="zh-CN"/>
        </a:p>
      </c:txPr>
    </c:legend>
    <c:plotVisOnly val="1"/>
    <c:dispBlanksAs val="zero"/>
    <c:showDLblsOverMax val="0"/>
  </c:chart>
  <c:spPr>
    <a:solidFill>
      <a:schemeClr val="bg1"/>
    </a:solidFill>
    <a:ln w="25400" cap="flat" cmpd="sng" algn="ctr">
      <a:no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withinLinear" id="16">
  <a:schemeClr val="accent3"/>
</cs:colorStyle>
</file>

<file path=word/charts/colors2.xml><?xml version="1.0" encoding="utf-8"?>
<cs:colorStyle xmlns:cs="http://schemas.microsoft.com/office/drawing/2012/chartStyle" xmlns:a="http://schemas.openxmlformats.org/drawingml/2006/main" meth="withinLinear" id="16">
  <a:schemeClr val="accent3"/>
</cs:colorStyle>
</file>

<file path=word/charts/colors3.xml><?xml version="1.0" encoding="utf-8"?>
<cs:colorStyle xmlns:cs="http://schemas.microsoft.com/office/drawing/2012/chartStyle" xmlns:a="http://schemas.openxmlformats.org/drawingml/2006/main" meth="withinLinear" id="16">
  <a:schemeClr val="accent3"/>
</cs:colorStyle>
</file>

<file path=word/charts/colors4.xml><?xml version="1.0" encoding="utf-8"?>
<cs:colorStyle xmlns:cs="http://schemas.microsoft.com/office/drawing/2012/chartStyle" xmlns:a="http://schemas.openxmlformats.org/drawingml/2006/main" meth="withinLinear" id="16">
  <a:schemeClr val="accent3"/>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2019">
  <a:themeElements>
    <a:clrScheme name="自定义 4">
      <a:dk1>
        <a:srgbClr val="000000"/>
      </a:dk1>
      <a:lt1>
        <a:srgbClr val="FFFFFF"/>
      </a:lt1>
      <a:dk2>
        <a:srgbClr val="44546A"/>
      </a:dk2>
      <a:lt2>
        <a:srgbClr val="E7E6E6"/>
      </a:lt2>
      <a:accent1>
        <a:srgbClr val="85A299"/>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WPS2019">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2019">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21</Pages>
  <Words>7907</Words>
  <Characters>11229</Characters>
  <Application>Microsoft Office Word</Application>
  <DocSecurity>0</DocSecurity>
  <Lines>591</Lines>
  <Paragraphs>617</Paragraphs>
  <ScaleCrop>false</ScaleCrop>
  <Company/>
  <LinksUpToDate>false</LinksUpToDate>
  <CharactersWithSpaces>18519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咕咕</dc:creator>
  <cp:lastModifiedBy>翊扬 王</cp:lastModifiedBy>
  <cp:revision>122</cp:revision>
  <cp:lastPrinted>2023-12-31T01:53:00Z</cp:lastPrinted>
  <dcterms:created xsi:type="dcterms:W3CDTF">2023-12-27T15:40:00Z</dcterms:created>
  <dcterms:modified xsi:type="dcterms:W3CDTF">2023-12-31T01:55:00Z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233D0F0B91904A839805C8A516201A1E_12</vt:lpwstr>
  </property>
  <property fmtid="{D5CDD505-2E9C-101B-9397-08002B2CF9AE}" pid="4" name="BD_Doc_Temp_ID">
    <vt:lpwstr>45d469c2-9b12-4174-a1d2-fbc627bfa387</vt:lpwstr>
  </property>
  <property fmtid="{D5CDD505-2E9C-101B-9397-08002B2CF9AE}" pid="5" name="BD_Document_Page_Count">
    <vt:lpwstr>21</vt:lpwstr>
  </property>
</Properties>
</file>