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20" w:type="dxa"/>
        <w:tblLook w:val="04A0"/>
      </w:tblPr>
      <w:tblGrid>
        <w:gridCol w:w="2296"/>
        <w:gridCol w:w="7524"/>
      </w:tblGrid>
      <w:tr w:rsidR="006F5509" w:rsidRPr="006F5509" w:rsidTr="006F5509">
        <w:trPr>
          <w:trHeight w:val="300"/>
        </w:trPr>
        <w:tc>
          <w:tcPr>
            <w:tcW w:w="2260" w:type="dxa"/>
            <w:tcBorders>
              <w:top w:val="nil"/>
              <w:left w:val="nil"/>
              <w:bottom w:val="nil"/>
              <w:right w:val="nil"/>
            </w:tcBorders>
            <w:shd w:val="clear" w:color="auto" w:fill="auto"/>
            <w:noWrap/>
            <w:hideMark/>
          </w:tcPr>
          <w:p w:rsidR="006F5509" w:rsidRPr="006F5509" w:rsidRDefault="006F5509" w:rsidP="006F5509">
            <w:pPr>
              <w:spacing w:after="0" w:line="240" w:lineRule="auto"/>
              <w:rPr>
                <w:rFonts w:ascii="Calibri" w:eastAsia="Times New Roman" w:hAnsi="Calibri" w:cs="Times New Roman"/>
                <w:color w:val="000000"/>
                <w:lang w:eastAsia="en-IN"/>
              </w:rPr>
            </w:pPr>
            <w:proofErr w:type="spellStart"/>
            <w:r w:rsidRPr="006F5509">
              <w:rPr>
                <w:rFonts w:ascii="Calibri" w:eastAsia="Times New Roman" w:hAnsi="Calibri" w:cs="Times New Roman"/>
                <w:color w:val="000000"/>
                <w:lang w:eastAsia="en-IN"/>
              </w:rPr>
              <w:t>Fund_Name</w:t>
            </w:r>
            <w:proofErr w:type="spellEnd"/>
            <w:r>
              <w:rPr>
                <w:rFonts w:ascii="Calibri" w:eastAsia="Times New Roman" w:hAnsi="Calibri" w:cs="Times New Roman"/>
                <w:color w:val="000000"/>
                <w:lang w:eastAsia="en-IN"/>
              </w:rPr>
              <w:t>:</w:t>
            </w:r>
          </w:p>
        </w:tc>
        <w:tc>
          <w:tcPr>
            <w:tcW w:w="7560" w:type="dxa"/>
            <w:tcBorders>
              <w:top w:val="nil"/>
              <w:left w:val="nil"/>
              <w:bottom w:val="nil"/>
              <w:right w:val="nil"/>
            </w:tcBorders>
            <w:shd w:val="clear" w:color="auto" w:fill="auto"/>
            <w:hideMark/>
          </w:tcPr>
          <w:p w:rsidR="006F5509" w:rsidRPr="006F5509" w:rsidRDefault="00802B10" w:rsidP="006F5509">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Name of the </w:t>
            </w:r>
            <w:r w:rsidR="006F5509" w:rsidRPr="006F5509">
              <w:rPr>
                <w:rFonts w:ascii="Calibri" w:eastAsia="Times New Roman" w:hAnsi="Calibri" w:cs="Times New Roman"/>
                <w:color w:val="000000"/>
                <w:lang w:eastAsia="en-IN"/>
              </w:rPr>
              <w:t>Mutual Fund</w:t>
            </w:r>
            <w:r>
              <w:rPr>
                <w:rFonts w:ascii="Calibri" w:eastAsia="Times New Roman" w:hAnsi="Calibri" w:cs="Times New Roman"/>
                <w:color w:val="000000"/>
                <w:lang w:eastAsia="en-IN"/>
              </w:rPr>
              <w:t xml:space="preserve"> (The product name)</w:t>
            </w:r>
          </w:p>
        </w:tc>
      </w:tr>
      <w:tr w:rsidR="006F5509" w:rsidRPr="006F5509" w:rsidTr="006F5509">
        <w:trPr>
          <w:trHeight w:val="300"/>
        </w:trPr>
        <w:tc>
          <w:tcPr>
            <w:tcW w:w="2260" w:type="dxa"/>
            <w:tcBorders>
              <w:top w:val="nil"/>
              <w:left w:val="nil"/>
              <w:bottom w:val="nil"/>
              <w:right w:val="nil"/>
            </w:tcBorders>
            <w:shd w:val="clear" w:color="auto" w:fill="auto"/>
            <w:noWrap/>
            <w:hideMark/>
          </w:tcPr>
          <w:p w:rsidR="006F5509" w:rsidRPr="006F5509" w:rsidRDefault="006F5509" w:rsidP="006F5509">
            <w:pPr>
              <w:spacing w:after="0" w:line="240" w:lineRule="auto"/>
              <w:rPr>
                <w:rFonts w:ascii="Calibri" w:eastAsia="Times New Roman" w:hAnsi="Calibri" w:cs="Times New Roman"/>
                <w:color w:val="000000"/>
                <w:lang w:eastAsia="en-IN"/>
              </w:rPr>
            </w:pPr>
            <w:proofErr w:type="spellStart"/>
            <w:r w:rsidRPr="006F5509">
              <w:rPr>
                <w:rFonts w:ascii="Calibri" w:eastAsia="Times New Roman" w:hAnsi="Calibri" w:cs="Times New Roman"/>
                <w:color w:val="000000"/>
                <w:lang w:eastAsia="en-IN"/>
              </w:rPr>
              <w:t>Fund_Family</w:t>
            </w:r>
            <w:proofErr w:type="spellEnd"/>
            <w:r>
              <w:rPr>
                <w:rFonts w:ascii="Calibri" w:eastAsia="Times New Roman" w:hAnsi="Calibri" w:cs="Times New Roman"/>
                <w:color w:val="000000"/>
                <w:lang w:eastAsia="en-IN"/>
              </w:rPr>
              <w:t>:</w:t>
            </w:r>
          </w:p>
        </w:tc>
        <w:tc>
          <w:tcPr>
            <w:tcW w:w="7560" w:type="dxa"/>
            <w:tcBorders>
              <w:top w:val="nil"/>
              <w:left w:val="nil"/>
              <w:bottom w:val="nil"/>
              <w:right w:val="nil"/>
            </w:tcBorders>
            <w:shd w:val="clear" w:color="auto" w:fill="auto"/>
            <w:hideMark/>
          </w:tcPr>
          <w:p w:rsidR="006F5509" w:rsidRPr="006F5509" w:rsidRDefault="006F5509" w:rsidP="006F5509">
            <w:pPr>
              <w:spacing w:after="0" w:line="240" w:lineRule="auto"/>
              <w:rPr>
                <w:rFonts w:ascii="Calibri" w:eastAsia="Times New Roman" w:hAnsi="Calibri" w:cs="Times New Roman"/>
                <w:color w:val="000000"/>
                <w:lang w:eastAsia="en-IN"/>
              </w:rPr>
            </w:pPr>
            <w:r w:rsidRPr="006F5509">
              <w:rPr>
                <w:rFonts w:ascii="Calibri" w:eastAsia="Times New Roman" w:hAnsi="Calibri" w:cs="Times New Roman"/>
                <w:color w:val="000000"/>
                <w:lang w:eastAsia="en-IN"/>
              </w:rPr>
              <w:t>Name of the Fund House</w:t>
            </w:r>
          </w:p>
        </w:tc>
      </w:tr>
      <w:tr w:rsidR="006F5509" w:rsidRPr="006F5509" w:rsidTr="006F5509">
        <w:trPr>
          <w:trHeight w:val="600"/>
        </w:trPr>
        <w:tc>
          <w:tcPr>
            <w:tcW w:w="2260" w:type="dxa"/>
            <w:tcBorders>
              <w:top w:val="nil"/>
              <w:left w:val="nil"/>
              <w:bottom w:val="nil"/>
              <w:right w:val="nil"/>
            </w:tcBorders>
            <w:shd w:val="clear" w:color="auto" w:fill="auto"/>
            <w:noWrap/>
            <w:hideMark/>
          </w:tcPr>
          <w:p w:rsidR="006F5509" w:rsidRPr="006F5509" w:rsidRDefault="006F5509" w:rsidP="006F5509">
            <w:pPr>
              <w:spacing w:after="0" w:line="240" w:lineRule="auto"/>
              <w:rPr>
                <w:rFonts w:ascii="Calibri" w:eastAsia="Times New Roman" w:hAnsi="Calibri" w:cs="Times New Roman"/>
                <w:color w:val="000000"/>
                <w:lang w:eastAsia="en-IN"/>
              </w:rPr>
            </w:pPr>
            <w:proofErr w:type="spellStart"/>
            <w:r w:rsidRPr="006F5509">
              <w:rPr>
                <w:rFonts w:ascii="Calibri" w:eastAsia="Times New Roman" w:hAnsi="Calibri" w:cs="Times New Roman"/>
                <w:color w:val="000000"/>
                <w:lang w:eastAsia="en-IN"/>
              </w:rPr>
              <w:t>Fund_Class</w:t>
            </w:r>
            <w:proofErr w:type="spellEnd"/>
            <w:r>
              <w:rPr>
                <w:rFonts w:ascii="Calibri" w:eastAsia="Times New Roman" w:hAnsi="Calibri" w:cs="Times New Roman"/>
                <w:color w:val="000000"/>
                <w:lang w:eastAsia="en-IN"/>
              </w:rPr>
              <w:t>:</w:t>
            </w:r>
          </w:p>
        </w:tc>
        <w:tc>
          <w:tcPr>
            <w:tcW w:w="7560" w:type="dxa"/>
            <w:tcBorders>
              <w:top w:val="nil"/>
              <w:left w:val="nil"/>
              <w:bottom w:val="nil"/>
              <w:right w:val="nil"/>
            </w:tcBorders>
            <w:shd w:val="clear" w:color="auto" w:fill="auto"/>
            <w:hideMark/>
          </w:tcPr>
          <w:p w:rsidR="006F5509" w:rsidRPr="006F5509" w:rsidRDefault="006F5509" w:rsidP="00802B10">
            <w:pPr>
              <w:spacing w:after="0" w:line="240" w:lineRule="auto"/>
              <w:rPr>
                <w:rFonts w:ascii="Calibri" w:eastAsia="Times New Roman" w:hAnsi="Calibri" w:cs="Times New Roman"/>
                <w:color w:val="000000"/>
                <w:lang w:eastAsia="en-IN"/>
              </w:rPr>
            </w:pPr>
            <w:r w:rsidRPr="006F5509">
              <w:rPr>
                <w:rFonts w:ascii="Calibri" w:eastAsia="Times New Roman" w:hAnsi="Calibri" w:cs="Times New Roman"/>
                <w:color w:val="000000"/>
                <w:lang w:eastAsia="en-IN"/>
              </w:rPr>
              <w:t>Fund belong</w:t>
            </w:r>
            <w:r w:rsidR="00802B10">
              <w:rPr>
                <w:rFonts w:ascii="Calibri" w:eastAsia="Times New Roman" w:hAnsi="Calibri" w:cs="Times New Roman"/>
                <w:color w:val="000000"/>
                <w:lang w:eastAsia="en-IN"/>
              </w:rPr>
              <w:t>s</w:t>
            </w:r>
            <w:r w:rsidRPr="006F5509">
              <w:rPr>
                <w:rFonts w:ascii="Calibri" w:eastAsia="Times New Roman" w:hAnsi="Calibri" w:cs="Times New Roman"/>
                <w:color w:val="000000"/>
                <w:lang w:eastAsia="en-IN"/>
              </w:rPr>
              <w:t xml:space="preserve"> to which class or sector (</w:t>
            </w:r>
            <w:proofErr w:type="gramStart"/>
            <w:r w:rsidRPr="006F5509">
              <w:rPr>
                <w:rFonts w:ascii="Calibri" w:eastAsia="Times New Roman" w:hAnsi="Calibri" w:cs="Times New Roman"/>
                <w:color w:val="000000"/>
                <w:lang w:eastAsia="en-IN"/>
              </w:rPr>
              <w:t>like :</w:t>
            </w:r>
            <w:proofErr w:type="gramEnd"/>
            <w:r w:rsidRPr="006F5509">
              <w:rPr>
                <w:rFonts w:ascii="Calibri" w:eastAsia="Times New Roman" w:hAnsi="Calibri" w:cs="Times New Roman"/>
                <w:color w:val="000000"/>
                <w:lang w:eastAsia="en-IN"/>
              </w:rPr>
              <w:t xml:space="preserve"> Large cap,</w:t>
            </w:r>
            <w:r w:rsidR="00802B10">
              <w:rPr>
                <w:rFonts w:ascii="Calibri" w:eastAsia="Times New Roman" w:hAnsi="Calibri" w:cs="Times New Roman"/>
                <w:color w:val="000000"/>
                <w:lang w:eastAsia="en-IN"/>
              </w:rPr>
              <w:t xml:space="preserve"> </w:t>
            </w:r>
            <w:r w:rsidRPr="006F5509">
              <w:rPr>
                <w:rFonts w:ascii="Calibri" w:eastAsia="Times New Roman" w:hAnsi="Calibri" w:cs="Times New Roman"/>
                <w:color w:val="000000"/>
                <w:lang w:eastAsia="en-IN"/>
              </w:rPr>
              <w:t>Mid Cap or small cap,</w:t>
            </w:r>
            <w:r w:rsidR="00802B10">
              <w:rPr>
                <w:rFonts w:ascii="Calibri" w:eastAsia="Times New Roman" w:hAnsi="Calibri" w:cs="Times New Roman"/>
                <w:color w:val="000000"/>
                <w:lang w:eastAsia="en-IN"/>
              </w:rPr>
              <w:t xml:space="preserve"> or</w:t>
            </w:r>
            <w:r w:rsidRPr="006F5509">
              <w:rPr>
                <w:rFonts w:ascii="Calibri" w:eastAsia="Times New Roman" w:hAnsi="Calibri" w:cs="Times New Roman"/>
                <w:color w:val="000000"/>
                <w:lang w:eastAsia="en-IN"/>
              </w:rPr>
              <w:t xml:space="preserve"> sector like FMCG, </w:t>
            </w:r>
            <w:proofErr w:type="spellStart"/>
            <w:r w:rsidRPr="006F5509">
              <w:rPr>
                <w:rFonts w:ascii="Calibri" w:eastAsia="Times New Roman" w:hAnsi="Calibri" w:cs="Times New Roman"/>
                <w:color w:val="000000"/>
                <w:lang w:eastAsia="en-IN"/>
              </w:rPr>
              <w:t>Pharma</w:t>
            </w:r>
            <w:proofErr w:type="spellEnd"/>
            <w:r w:rsidRPr="006F5509">
              <w:rPr>
                <w:rFonts w:ascii="Calibri" w:eastAsia="Times New Roman" w:hAnsi="Calibri" w:cs="Times New Roman"/>
                <w:color w:val="000000"/>
                <w:lang w:eastAsia="en-IN"/>
              </w:rPr>
              <w:t>, Technology</w:t>
            </w:r>
            <w:r w:rsidR="00802B10">
              <w:rPr>
                <w:rFonts w:ascii="Calibri" w:eastAsia="Times New Roman" w:hAnsi="Calibri" w:cs="Times New Roman"/>
                <w:color w:val="000000"/>
                <w:lang w:eastAsia="en-IN"/>
              </w:rPr>
              <w:t>,</w:t>
            </w:r>
            <w:r w:rsidRPr="006F5509">
              <w:rPr>
                <w:rFonts w:ascii="Calibri" w:eastAsia="Times New Roman" w:hAnsi="Calibri" w:cs="Times New Roman"/>
                <w:color w:val="000000"/>
                <w:lang w:eastAsia="en-IN"/>
              </w:rPr>
              <w:t xml:space="preserve"> Banking</w:t>
            </w:r>
            <w:r w:rsidR="00802B10">
              <w:rPr>
                <w:rFonts w:ascii="Calibri" w:eastAsia="Times New Roman" w:hAnsi="Calibri" w:cs="Times New Roman"/>
                <w:color w:val="000000"/>
                <w:lang w:eastAsia="en-IN"/>
              </w:rPr>
              <w:t xml:space="preserve"> an</w:t>
            </w:r>
            <w:r w:rsidRPr="006F5509">
              <w:rPr>
                <w:rFonts w:ascii="Calibri" w:eastAsia="Times New Roman" w:hAnsi="Calibri" w:cs="Times New Roman"/>
                <w:color w:val="000000"/>
                <w:lang w:eastAsia="en-IN"/>
              </w:rPr>
              <w:t>d Finance</w:t>
            </w:r>
            <w:r w:rsidR="00802B10">
              <w:rPr>
                <w:rFonts w:ascii="Calibri" w:eastAsia="Times New Roman" w:hAnsi="Calibri" w:cs="Times New Roman"/>
                <w:color w:val="000000"/>
                <w:lang w:eastAsia="en-IN"/>
              </w:rPr>
              <w:t>,</w:t>
            </w:r>
            <w:r w:rsidRPr="006F5509">
              <w:rPr>
                <w:rFonts w:ascii="Calibri" w:eastAsia="Times New Roman" w:hAnsi="Calibri" w:cs="Times New Roman"/>
                <w:color w:val="000000"/>
                <w:lang w:eastAsia="en-IN"/>
              </w:rPr>
              <w:t xml:space="preserve"> etc.)</w:t>
            </w:r>
          </w:p>
        </w:tc>
      </w:tr>
      <w:tr w:rsidR="006F5509" w:rsidRPr="006F5509" w:rsidTr="006F5509">
        <w:trPr>
          <w:trHeight w:val="1500"/>
        </w:trPr>
        <w:tc>
          <w:tcPr>
            <w:tcW w:w="2260" w:type="dxa"/>
            <w:tcBorders>
              <w:top w:val="nil"/>
              <w:left w:val="nil"/>
              <w:bottom w:val="nil"/>
              <w:right w:val="nil"/>
            </w:tcBorders>
            <w:shd w:val="clear" w:color="auto" w:fill="auto"/>
            <w:noWrap/>
            <w:hideMark/>
          </w:tcPr>
          <w:p w:rsidR="006F5509" w:rsidRPr="006F5509" w:rsidRDefault="006F5509" w:rsidP="006F5509">
            <w:pPr>
              <w:spacing w:after="0" w:line="240" w:lineRule="auto"/>
              <w:rPr>
                <w:rFonts w:ascii="Calibri" w:eastAsia="Times New Roman" w:hAnsi="Calibri" w:cs="Times New Roman"/>
                <w:color w:val="000000"/>
                <w:lang w:eastAsia="en-IN"/>
              </w:rPr>
            </w:pPr>
            <w:r w:rsidRPr="006F5509">
              <w:rPr>
                <w:rFonts w:ascii="Calibri" w:eastAsia="Times New Roman" w:hAnsi="Calibri" w:cs="Times New Roman"/>
                <w:color w:val="000000"/>
                <w:lang w:eastAsia="en-IN"/>
              </w:rPr>
              <w:t>Plan</w:t>
            </w:r>
            <w:r>
              <w:rPr>
                <w:rFonts w:ascii="Calibri" w:eastAsia="Times New Roman" w:hAnsi="Calibri" w:cs="Times New Roman"/>
                <w:color w:val="000000"/>
                <w:lang w:eastAsia="en-IN"/>
              </w:rPr>
              <w:t>:</w:t>
            </w:r>
          </w:p>
        </w:tc>
        <w:tc>
          <w:tcPr>
            <w:tcW w:w="7560" w:type="dxa"/>
            <w:tcBorders>
              <w:top w:val="nil"/>
              <w:left w:val="nil"/>
              <w:bottom w:val="nil"/>
              <w:right w:val="nil"/>
            </w:tcBorders>
            <w:shd w:val="clear" w:color="auto" w:fill="auto"/>
            <w:hideMark/>
          </w:tcPr>
          <w:p w:rsidR="006F5509" w:rsidRDefault="006F5509" w:rsidP="006F5509">
            <w:pPr>
              <w:spacing w:after="0" w:line="240" w:lineRule="auto"/>
              <w:rPr>
                <w:rFonts w:ascii="Calibri" w:eastAsia="Times New Roman" w:hAnsi="Calibri" w:cs="Times New Roman"/>
                <w:color w:val="000000"/>
                <w:lang w:eastAsia="en-IN"/>
              </w:rPr>
            </w:pPr>
            <w:r w:rsidRPr="006F5509">
              <w:rPr>
                <w:rFonts w:ascii="Calibri" w:eastAsia="Times New Roman" w:hAnsi="Calibri" w:cs="Times New Roman"/>
                <w:color w:val="000000"/>
                <w:lang w:eastAsia="en-IN"/>
              </w:rPr>
              <w:t>Regular / Direct (Direct: Mutual fund direct plans are those where AMC</w:t>
            </w:r>
            <w:r w:rsidR="00802B10">
              <w:rPr>
                <w:rFonts w:ascii="Calibri" w:eastAsia="Times New Roman" w:hAnsi="Calibri" w:cs="Times New Roman"/>
                <w:color w:val="000000"/>
                <w:lang w:eastAsia="en-IN"/>
              </w:rPr>
              <w:t xml:space="preserve"> (Mutual F</w:t>
            </w:r>
            <w:r w:rsidRPr="006F5509">
              <w:rPr>
                <w:rFonts w:ascii="Calibri" w:eastAsia="Times New Roman" w:hAnsi="Calibri" w:cs="Times New Roman"/>
                <w:color w:val="000000"/>
                <w:lang w:eastAsia="en-IN"/>
              </w:rPr>
              <w:t>und House</w:t>
            </w:r>
            <w:r w:rsidR="00802B10">
              <w:rPr>
                <w:rFonts w:ascii="Calibri" w:eastAsia="Times New Roman" w:hAnsi="Calibri" w:cs="Times New Roman"/>
                <w:color w:val="000000"/>
                <w:lang w:eastAsia="en-IN"/>
              </w:rPr>
              <w:t>)</w:t>
            </w:r>
            <w:r w:rsidRPr="006F5509">
              <w:rPr>
                <w:rFonts w:ascii="Calibri" w:eastAsia="Times New Roman" w:hAnsi="Calibri" w:cs="Times New Roman"/>
                <w:color w:val="000000"/>
                <w:lang w:eastAsia="en-IN"/>
              </w:rPr>
              <w:t xml:space="preserve"> do</w:t>
            </w:r>
            <w:r w:rsidR="00802B10">
              <w:rPr>
                <w:rFonts w:ascii="Calibri" w:eastAsia="Times New Roman" w:hAnsi="Calibri" w:cs="Times New Roman"/>
                <w:color w:val="000000"/>
                <w:lang w:eastAsia="en-IN"/>
              </w:rPr>
              <w:t>es</w:t>
            </w:r>
            <w:r w:rsidRPr="006F5509">
              <w:rPr>
                <w:rFonts w:ascii="Calibri" w:eastAsia="Times New Roman" w:hAnsi="Calibri" w:cs="Times New Roman"/>
                <w:color w:val="000000"/>
                <w:lang w:eastAsia="en-IN"/>
              </w:rPr>
              <w:t xml:space="preserve"> not charge </w:t>
            </w:r>
            <w:r w:rsidR="00802B10">
              <w:rPr>
                <w:rFonts w:ascii="Calibri" w:eastAsia="Times New Roman" w:hAnsi="Calibri" w:cs="Times New Roman"/>
                <w:color w:val="000000"/>
                <w:lang w:eastAsia="en-IN"/>
              </w:rPr>
              <w:t xml:space="preserve">the customer for </w:t>
            </w:r>
            <w:r w:rsidRPr="006F5509">
              <w:rPr>
                <w:rFonts w:ascii="Calibri" w:eastAsia="Times New Roman" w:hAnsi="Calibri" w:cs="Times New Roman"/>
                <w:color w:val="000000"/>
                <w:lang w:eastAsia="en-IN"/>
              </w:rPr>
              <w:t xml:space="preserve">distributor expenses </w:t>
            </w:r>
            <w:r w:rsidR="00802B10">
              <w:rPr>
                <w:rFonts w:ascii="Calibri" w:eastAsia="Times New Roman" w:hAnsi="Calibri" w:cs="Times New Roman"/>
                <w:color w:val="000000"/>
                <w:lang w:eastAsia="en-IN"/>
              </w:rPr>
              <w:t xml:space="preserve">, </w:t>
            </w:r>
            <w:r w:rsidRPr="006F5509">
              <w:rPr>
                <w:rFonts w:ascii="Calibri" w:eastAsia="Times New Roman" w:hAnsi="Calibri" w:cs="Times New Roman"/>
                <w:color w:val="000000"/>
                <w:lang w:eastAsia="en-IN"/>
              </w:rPr>
              <w:t>trail fees</w:t>
            </w:r>
            <w:r w:rsidR="00802B10">
              <w:rPr>
                <w:rFonts w:ascii="Calibri" w:eastAsia="Times New Roman" w:hAnsi="Calibri" w:cs="Times New Roman"/>
                <w:color w:val="000000"/>
                <w:lang w:eastAsia="en-IN"/>
              </w:rPr>
              <w:t>, transaction charges ;</w:t>
            </w:r>
            <w:r w:rsidRPr="006F5509">
              <w:rPr>
                <w:rFonts w:ascii="Calibri" w:eastAsia="Times New Roman" w:hAnsi="Calibri" w:cs="Times New Roman"/>
                <w:color w:val="000000"/>
                <w:lang w:eastAsia="en-IN"/>
              </w:rPr>
              <w:t xml:space="preserve"> Regular: </w:t>
            </w:r>
            <w:r w:rsidR="00802B10">
              <w:rPr>
                <w:rFonts w:ascii="Calibri" w:eastAsia="Times New Roman" w:hAnsi="Calibri" w:cs="Times New Roman"/>
                <w:color w:val="000000"/>
                <w:lang w:eastAsia="en-IN"/>
              </w:rPr>
              <w:t xml:space="preserve">Under </w:t>
            </w:r>
            <w:r w:rsidRPr="006F5509">
              <w:rPr>
                <w:rFonts w:ascii="Calibri" w:eastAsia="Times New Roman" w:hAnsi="Calibri" w:cs="Times New Roman"/>
                <w:color w:val="000000"/>
                <w:lang w:eastAsia="en-IN"/>
              </w:rPr>
              <w:t>Regular Plan</w:t>
            </w:r>
            <w:r w:rsidR="00802B10">
              <w:rPr>
                <w:rFonts w:ascii="Calibri" w:eastAsia="Times New Roman" w:hAnsi="Calibri" w:cs="Times New Roman"/>
                <w:color w:val="000000"/>
                <w:lang w:eastAsia="en-IN"/>
              </w:rPr>
              <w:t>,</w:t>
            </w:r>
            <w:r w:rsidRPr="006F5509">
              <w:rPr>
                <w:rFonts w:ascii="Calibri" w:eastAsia="Times New Roman" w:hAnsi="Calibri" w:cs="Times New Roman"/>
                <w:color w:val="000000"/>
                <w:lang w:eastAsia="en-IN"/>
              </w:rPr>
              <w:t xml:space="preserve"> Mutual Fund </w:t>
            </w:r>
            <w:r w:rsidR="00802B10">
              <w:rPr>
                <w:rFonts w:ascii="Calibri" w:eastAsia="Times New Roman" w:hAnsi="Calibri" w:cs="Times New Roman"/>
                <w:color w:val="000000"/>
                <w:lang w:eastAsia="en-IN"/>
              </w:rPr>
              <w:t xml:space="preserve">House </w:t>
            </w:r>
            <w:r w:rsidRPr="006F5509">
              <w:rPr>
                <w:rFonts w:ascii="Calibri" w:eastAsia="Times New Roman" w:hAnsi="Calibri" w:cs="Times New Roman"/>
                <w:color w:val="000000"/>
                <w:lang w:eastAsia="en-IN"/>
              </w:rPr>
              <w:t xml:space="preserve">pays </w:t>
            </w:r>
            <w:r w:rsidR="00802B10">
              <w:rPr>
                <w:rFonts w:ascii="Calibri" w:eastAsia="Times New Roman" w:hAnsi="Calibri" w:cs="Times New Roman"/>
                <w:color w:val="000000"/>
                <w:lang w:eastAsia="en-IN"/>
              </w:rPr>
              <w:t>the</w:t>
            </w:r>
            <w:r w:rsidRPr="006F5509">
              <w:rPr>
                <w:rFonts w:ascii="Calibri" w:eastAsia="Times New Roman" w:hAnsi="Calibri" w:cs="Times New Roman"/>
                <w:color w:val="000000"/>
                <w:lang w:eastAsia="en-IN"/>
              </w:rPr>
              <w:t xml:space="preserve"> broker </w:t>
            </w:r>
            <w:r w:rsidR="00802B10">
              <w:rPr>
                <w:rFonts w:ascii="Calibri" w:eastAsia="Times New Roman" w:hAnsi="Calibri" w:cs="Times New Roman"/>
                <w:color w:val="000000"/>
                <w:lang w:eastAsia="en-IN"/>
              </w:rPr>
              <w:t>a certain</w:t>
            </w:r>
            <w:r w:rsidRPr="006F5509">
              <w:rPr>
                <w:rFonts w:ascii="Calibri" w:eastAsia="Times New Roman" w:hAnsi="Calibri" w:cs="Times New Roman"/>
                <w:color w:val="000000"/>
                <w:lang w:eastAsia="en-IN"/>
              </w:rPr>
              <w:t xml:space="preserve"> percentage of commission </w:t>
            </w:r>
            <w:r w:rsidR="00802B10">
              <w:rPr>
                <w:rFonts w:ascii="Calibri" w:eastAsia="Times New Roman" w:hAnsi="Calibri" w:cs="Times New Roman"/>
                <w:color w:val="000000"/>
                <w:lang w:eastAsia="en-IN"/>
              </w:rPr>
              <w:t>which is hidden to customer</w:t>
            </w:r>
            <w:r w:rsidRPr="006F5509">
              <w:rPr>
                <w:rFonts w:ascii="Calibri" w:eastAsia="Times New Roman" w:hAnsi="Calibri" w:cs="Times New Roman"/>
                <w:color w:val="000000"/>
                <w:lang w:eastAsia="en-IN"/>
              </w:rPr>
              <w:t xml:space="preserve">)  </w:t>
            </w:r>
          </w:p>
          <w:p w:rsidR="00802B10" w:rsidRPr="006F5509" w:rsidRDefault="00802B10" w:rsidP="006F5509">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(AMC – Asset Management Company) ; Direct plan has been introduced from Jan 2013 in India</w:t>
            </w:r>
          </w:p>
        </w:tc>
      </w:tr>
      <w:tr w:rsidR="006F5509" w:rsidRPr="006F5509" w:rsidTr="006F5509">
        <w:trPr>
          <w:trHeight w:val="3000"/>
        </w:trPr>
        <w:tc>
          <w:tcPr>
            <w:tcW w:w="2260" w:type="dxa"/>
            <w:tcBorders>
              <w:top w:val="nil"/>
              <w:left w:val="nil"/>
              <w:bottom w:val="nil"/>
              <w:right w:val="nil"/>
            </w:tcBorders>
            <w:shd w:val="clear" w:color="auto" w:fill="auto"/>
            <w:noWrap/>
            <w:hideMark/>
          </w:tcPr>
          <w:p w:rsidR="006F5509" w:rsidRPr="006F5509" w:rsidRDefault="006F5509" w:rsidP="006F5509">
            <w:pPr>
              <w:spacing w:after="0" w:line="240" w:lineRule="auto"/>
              <w:rPr>
                <w:rFonts w:ascii="Calibri" w:eastAsia="Times New Roman" w:hAnsi="Calibri" w:cs="Times New Roman"/>
                <w:color w:val="000000"/>
                <w:lang w:eastAsia="en-IN"/>
              </w:rPr>
            </w:pPr>
            <w:r w:rsidRPr="006F5509">
              <w:rPr>
                <w:rFonts w:ascii="Calibri" w:eastAsia="Times New Roman" w:hAnsi="Calibri" w:cs="Times New Roman"/>
                <w:color w:val="000000"/>
                <w:lang w:eastAsia="en-IN"/>
              </w:rPr>
              <w:t>Options</w:t>
            </w:r>
            <w:r>
              <w:rPr>
                <w:rFonts w:ascii="Calibri" w:eastAsia="Times New Roman" w:hAnsi="Calibri" w:cs="Times New Roman"/>
                <w:color w:val="000000"/>
                <w:lang w:eastAsia="en-IN"/>
              </w:rPr>
              <w:t>:</w:t>
            </w:r>
          </w:p>
        </w:tc>
        <w:tc>
          <w:tcPr>
            <w:tcW w:w="7560" w:type="dxa"/>
            <w:tcBorders>
              <w:top w:val="nil"/>
              <w:left w:val="nil"/>
              <w:bottom w:val="nil"/>
              <w:right w:val="nil"/>
            </w:tcBorders>
            <w:shd w:val="clear" w:color="auto" w:fill="auto"/>
            <w:hideMark/>
          </w:tcPr>
          <w:p w:rsidR="0098432B" w:rsidRDefault="006F5509" w:rsidP="0098432B">
            <w:pPr>
              <w:spacing w:after="0" w:line="240" w:lineRule="auto"/>
              <w:rPr>
                <w:rFonts w:ascii="Calibri" w:eastAsia="Times New Roman" w:hAnsi="Calibri" w:cs="Times New Roman"/>
                <w:color w:val="000000"/>
                <w:lang w:eastAsia="en-IN"/>
              </w:rPr>
            </w:pPr>
            <w:r w:rsidRPr="006F5509">
              <w:rPr>
                <w:rFonts w:ascii="Calibri" w:eastAsia="Times New Roman" w:hAnsi="Calibri" w:cs="Times New Roman"/>
                <w:color w:val="000000"/>
                <w:lang w:eastAsia="en-IN"/>
              </w:rPr>
              <w:t>In Mutual fund there are two options Growth and Dividend</w:t>
            </w:r>
            <w:r w:rsidR="0098432B">
              <w:rPr>
                <w:rFonts w:ascii="Calibri" w:eastAsia="Times New Roman" w:hAnsi="Calibri" w:cs="Times New Roman"/>
                <w:color w:val="000000"/>
                <w:lang w:eastAsia="en-IN"/>
              </w:rPr>
              <w:t xml:space="preserve">. </w:t>
            </w:r>
          </w:p>
          <w:p w:rsidR="006F5509" w:rsidRPr="006F5509" w:rsidRDefault="006F5509" w:rsidP="0098432B">
            <w:pPr>
              <w:spacing w:after="0" w:line="240" w:lineRule="auto"/>
              <w:rPr>
                <w:rFonts w:ascii="Calibri" w:eastAsia="Times New Roman" w:hAnsi="Calibri" w:cs="Times New Roman"/>
                <w:color w:val="000000"/>
                <w:lang w:eastAsia="en-IN"/>
              </w:rPr>
            </w:pPr>
            <w:r w:rsidRPr="006F5509">
              <w:rPr>
                <w:rFonts w:ascii="Calibri" w:eastAsia="Times New Roman" w:hAnsi="Calibri" w:cs="Times New Roman"/>
                <w:color w:val="000000"/>
                <w:lang w:eastAsia="en-IN"/>
              </w:rPr>
              <w:t xml:space="preserve">In the growth option, profits made by the scheme are invested back into it. This results in the net asset value (NAV) of the scheme rising over time. When the scheme gains, the NAV rises and in case of a loss, it goes down. The only option to realise the profit in the growth option is to sell or redeem </w:t>
            </w:r>
            <w:r w:rsidR="0098432B">
              <w:rPr>
                <w:rFonts w:ascii="Calibri" w:eastAsia="Times New Roman" w:hAnsi="Calibri" w:cs="Times New Roman"/>
                <w:color w:val="000000"/>
                <w:lang w:eastAsia="en-IN"/>
              </w:rPr>
              <w:t>the</w:t>
            </w:r>
            <w:r w:rsidRPr="006F5509">
              <w:rPr>
                <w:rFonts w:ascii="Calibri" w:eastAsia="Times New Roman" w:hAnsi="Calibri" w:cs="Times New Roman"/>
                <w:color w:val="000000"/>
                <w:lang w:eastAsia="en-IN"/>
              </w:rPr>
              <w:t xml:space="preserve"> investments. The dividend option does not re-invest the profits made by the fund. </w:t>
            </w:r>
            <w:r w:rsidR="0098432B">
              <w:rPr>
                <w:rFonts w:ascii="Calibri" w:eastAsia="Times New Roman" w:hAnsi="Calibri" w:cs="Times New Roman"/>
                <w:color w:val="000000"/>
                <w:lang w:eastAsia="en-IN"/>
              </w:rPr>
              <w:t>A certain amount of p</w:t>
            </w:r>
            <w:r w:rsidRPr="006F5509">
              <w:rPr>
                <w:rFonts w:ascii="Calibri" w:eastAsia="Times New Roman" w:hAnsi="Calibri" w:cs="Times New Roman"/>
                <w:color w:val="000000"/>
                <w:lang w:eastAsia="en-IN"/>
              </w:rPr>
              <w:t xml:space="preserve">rofit </w:t>
            </w:r>
            <w:r w:rsidR="0098432B">
              <w:rPr>
                <w:rFonts w:ascii="Calibri" w:eastAsia="Times New Roman" w:hAnsi="Calibri" w:cs="Times New Roman"/>
                <w:color w:val="000000"/>
                <w:lang w:eastAsia="en-IN"/>
              </w:rPr>
              <w:t>(as</w:t>
            </w:r>
            <w:r w:rsidRPr="006F5509">
              <w:rPr>
                <w:rFonts w:ascii="Calibri" w:eastAsia="Times New Roman" w:hAnsi="Calibri" w:cs="Times New Roman"/>
                <w:color w:val="000000"/>
                <w:lang w:eastAsia="en-IN"/>
              </w:rPr>
              <w:t xml:space="preserve"> dividend</w:t>
            </w:r>
            <w:r w:rsidR="0098432B">
              <w:rPr>
                <w:rFonts w:ascii="Calibri" w:eastAsia="Times New Roman" w:hAnsi="Calibri" w:cs="Times New Roman"/>
                <w:color w:val="000000"/>
                <w:lang w:eastAsia="en-IN"/>
              </w:rPr>
              <w:t xml:space="preserve">) is </w:t>
            </w:r>
            <w:r w:rsidRPr="006F5509">
              <w:rPr>
                <w:rFonts w:ascii="Calibri" w:eastAsia="Times New Roman" w:hAnsi="Calibri" w:cs="Times New Roman"/>
                <w:color w:val="000000"/>
                <w:lang w:eastAsia="en-IN"/>
              </w:rPr>
              <w:t>distributed</w:t>
            </w:r>
            <w:r w:rsidR="0098432B">
              <w:rPr>
                <w:rFonts w:ascii="Calibri" w:eastAsia="Times New Roman" w:hAnsi="Calibri" w:cs="Times New Roman"/>
                <w:color w:val="000000"/>
                <w:lang w:eastAsia="en-IN"/>
              </w:rPr>
              <w:t xml:space="preserve"> (shared)</w:t>
            </w:r>
            <w:r w:rsidRPr="006F5509">
              <w:rPr>
                <w:rFonts w:ascii="Calibri" w:eastAsia="Times New Roman" w:hAnsi="Calibri" w:cs="Times New Roman"/>
                <w:color w:val="000000"/>
                <w:lang w:eastAsia="en-IN"/>
              </w:rPr>
              <w:t xml:space="preserve"> to the investor from time to time. The amount and frequency of dividends is</w:t>
            </w:r>
            <w:r w:rsidR="0098432B">
              <w:rPr>
                <w:rFonts w:ascii="Calibri" w:eastAsia="Times New Roman" w:hAnsi="Calibri" w:cs="Times New Roman"/>
                <w:color w:val="000000"/>
                <w:lang w:eastAsia="en-IN"/>
              </w:rPr>
              <w:t xml:space="preserve"> not fixed and</w:t>
            </w:r>
            <w:r w:rsidRPr="006F5509">
              <w:rPr>
                <w:rFonts w:ascii="Calibri" w:eastAsia="Times New Roman" w:hAnsi="Calibri" w:cs="Times New Roman"/>
                <w:color w:val="000000"/>
                <w:lang w:eastAsia="en-IN"/>
              </w:rPr>
              <w:t xml:space="preserve"> never guaranteed. Dividends are declared only when the scheme makes a profit and it is at the discretion of the fund manager. The dividend is paid from the NAV of the unit.</w:t>
            </w:r>
          </w:p>
        </w:tc>
      </w:tr>
      <w:tr w:rsidR="006F5509" w:rsidRPr="006F5509" w:rsidTr="006F5509">
        <w:trPr>
          <w:trHeight w:val="900"/>
        </w:trPr>
        <w:tc>
          <w:tcPr>
            <w:tcW w:w="2260" w:type="dxa"/>
            <w:tcBorders>
              <w:top w:val="nil"/>
              <w:left w:val="nil"/>
              <w:bottom w:val="nil"/>
              <w:right w:val="nil"/>
            </w:tcBorders>
            <w:shd w:val="clear" w:color="auto" w:fill="auto"/>
            <w:noWrap/>
            <w:hideMark/>
          </w:tcPr>
          <w:p w:rsidR="006F5509" w:rsidRPr="006F5509" w:rsidRDefault="006F5509" w:rsidP="006F5509">
            <w:pPr>
              <w:spacing w:after="0" w:line="240" w:lineRule="auto"/>
              <w:rPr>
                <w:rFonts w:ascii="Calibri" w:eastAsia="Times New Roman" w:hAnsi="Calibri" w:cs="Times New Roman"/>
                <w:color w:val="000000"/>
                <w:lang w:eastAsia="en-IN"/>
              </w:rPr>
            </w:pPr>
            <w:proofErr w:type="spellStart"/>
            <w:r w:rsidRPr="006F5509">
              <w:rPr>
                <w:rFonts w:ascii="Calibri" w:eastAsia="Times New Roman" w:hAnsi="Calibri" w:cs="Times New Roman"/>
                <w:color w:val="000000"/>
                <w:lang w:eastAsia="en-IN"/>
              </w:rPr>
              <w:t>Riskometer</w:t>
            </w:r>
            <w:proofErr w:type="spellEnd"/>
            <w:r>
              <w:rPr>
                <w:rFonts w:ascii="Calibri" w:eastAsia="Times New Roman" w:hAnsi="Calibri" w:cs="Times New Roman"/>
                <w:color w:val="000000"/>
                <w:lang w:eastAsia="en-IN"/>
              </w:rPr>
              <w:t>:</w:t>
            </w:r>
          </w:p>
        </w:tc>
        <w:tc>
          <w:tcPr>
            <w:tcW w:w="7560" w:type="dxa"/>
            <w:tcBorders>
              <w:top w:val="nil"/>
              <w:left w:val="nil"/>
              <w:bottom w:val="nil"/>
              <w:right w:val="nil"/>
            </w:tcBorders>
            <w:shd w:val="clear" w:color="auto" w:fill="auto"/>
            <w:hideMark/>
          </w:tcPr>
          <w:p w:rsidR="006F5509" w:rsidRPr="006F5509" w:rsidRDefault="006F5509" w:rsidP="0098432B">
            <w:pPr>
              <w:spacing w:after="0" w:line="240" w:lineRule="auto"/>
              <w:rPr>
                <w:rFonts w:ascii="Calibri" w:eastAsia="Times New Roman" w:hAnsi="Calibri" w:cs="Times New Roman"/>
                <w:color w:val="000000"/>
                <w:lang w:eastAsia="en-IN"/>
              </w:rPr>
            </w:pPr>
            <w:r w:rsidRPr="006F5509">
              <w:rPr>
                <w:rFonts w:ascii="Calibri" w:eastAsia="Times New Roman" w:hAnsi="Calibri" w:cs="Times New Roman"/>
                <w:color w:val="000000"/>
                <w:lang w:eastAsia="en-IN"/>
              </w:rPr>
              <w:t>This feature will help cu</w:t>
            </w:r>
            <w:r>
              <w:rPr>
                <w:rFonts w:ascii="Calibri" w:eastAsia="Times New Roman" w:hAnsi="Calibri" w:cs="Times New Roman"/>
                <w:color w:val="000000"/>
                <w:lang w:eastAsia="en-IN"/>
              </w:rPr>
              <w:t>s</w:t>
            </w:r>
            <w:r w:rsidRPr="006F5509">
              <w:rPr>
                <w:rFonts w:ascii="Calibri" w:eastAsia="Times New Roman" w:hAnsi="Calibri" w:cs="Times New Roman"/>
                <w:color w:val="000000"/>
                <w:lang w:eastAsia="en-IN"/>
              </w:rPr>
              <w:t xml:space="preserve">tomer assess risks associated </w:t>
            </w:r>
            <w:r w:rsidR="0098432B">
              <w:rPr>
                <w:rFonts w:ascii="Calibri" w:eastAsia="Times New Roman" w:hAnsi="Calibri" w:cs="Times New Roman"/>
                <w:color w:val="000000"/>
                <w:lang w:eastAsia="en-IN"/>
              </w:rPr>
              <w:t xml:space="preserve">with a particular fund that has been </w:t>
            </w:r>
            <w:r w:rsidRPr="006F5509">
              <w:rPr>
                <w:rFonts w:ascii="Calibri" w:eastAsia="Times New Roman" w:hAnsi="Calibri" w:cs="Times New Roman"/>
                <w:color w:val="000000"/>
                <w:lang w:eastAsia="en-IN"/>
              </w:rPr>
              <w:t>b</w:t>
            </w:r>
            <w:r w:rsidR="0098432B">
              <w:rPr>
                <w:rFonts w:ascii="Calibri" w:eastAsia="Times New Roman" w:hAnsi="Calibri" w:cs="Times New Roman"/>
                <w:color w:val="000000"/>
                <w:lang w:eastAsia="en-IN"/>
              </w:rPr>
              <w:t>ought by the customer</w:t>
            </w:r>
            <w:r w:rsidRPr="006F5509">
              <w:rPr>
                <w:rFonts w:ascii="Calibri" w:eastAsia="Times New Roman" w:hAnsi="Calibri" w:cs="Times New Roman"/>
                <w:color w:val="000000"/>
                <w:lang w:eastAsia="en-IN"/>
              </w:rPr>
              <w:t>. (Here</w:t>
            </w:r>
            <w:r w:rsidR="0098432B">
              <w:rPr>
                <w:rFonts w:ascii="Calibri" w:eastAsia="Times New Roman" w:hAnsi="Calibri" w:cs="Times New Roman"/>
                <w:color w:val="000000"/>
                <w:lang w:eastAsia="en-IN"/>
              </w:rPr>
              <w:t xml:space="preserve"> -</w:t>
            </w:r>
            <w:r w:rsidRPr="006F5509">
              <w:rPr>
                <w:rFonts w:ascii="Calibri" w:eastAsia="Times New Roman" w:hAnsi="Calibri" w:cs="Times New Roman"/>
                <w:color w:val="000000"/>
                <w:lang w:eastAsia="en-IN"/>
              </w:rPr>
              <w:t xml:space="preserve"> H means High risk, MH means Moderately High Risk, ML - Moderately Low</w:t>
            </w:r>
            <w:r w:rsidR="0098432B">
              <w:rPr>
                <w:rFonts w:ascii="Calibri" w:eastAsia="Times New Roman" w:hAnsi="Calibri" w:cs="Times New Roman"/>
                <w:color w:val="000000"/>
                <w:lang w:eastAsia="en-IN"/>
              </w:rPr>
              <w:t xml:space="preserve"> Risk</w:t>
            </w:r>
            <w:r w:rsidRPr="006F5509">
              <w:rPr>
                <w:rFonts w:ascii="Calibri" w:eastAsia="Times New Roman" w:hAnsi="Calibri" w:cs="Times New Roman"/>
                <w:color w:val="000000"/>
                <w:lang w:eastAsia="en-IN"/>
              </w:rPr>
              <w:t>)</w:t>
            </w:r>
          </w:p>
        </w:tc>
      </w:tr>
      <w:tr w:rsidR="006F5509" w:rsidRPr="006F5509" w:rsidTr="006F5509">
        <w:trPr>
          <w:trHeight w:val="3000"/>
        </w:trPr>
        <w:tc>
          <w:tcPr>
            <w:tcW w:w="2260" w:type="dxa"/>
            <w:tcBorders>
              <w:top w:val="nil"/>
              <w:left w:val="nil"/>
              <w:bottom w:val="nil"/>
              <w:right w:val="nil"/>
            </w:tcBorders>
            <w:shd w:val="clear" w:color="auto" w:fill="auto"/>
            <w:noWrap/>
            <w:hideMark/>
          </w:tcPr>
          <w:p w:rsidR="006F5509" w:rsidRPr="006F5509" w:rsidRDefault="006F5509" w:rsidP="006F5509">
            <w:pPr>
              <w:spacing w:after="0" w:line="240" w:lineRule="auto"/>
              <w:rPr>
                <w:rFonts w:ascii="Calibri" w:eastAsia="Times New Roman" w:hAnsi="Calibri" w:cs="Times New Roman"/>
                <w:color w:val="000000"/>
                <w:lang w:eastAsia="en-IN"/>
              </w:rPr>
            </w:pPr>
            <w:r w:rsidRPr="006F5509">
              <w:rPr>
                <w:rFonts w:ascii="Calibri" w:eastAsia="Times New Roman" w:hAnsi="Calibri" w:cs="Times New Roman"/>
                <w:color w:val="000000"/>
                <w:lang w:eastAsia="en-IN"/>
              </w:rPr>
              <w:t>CRISIL_MF_RANK</w:t>
            </w:r>
            <w:r>
              <w:rPr>
                <w:rFonts w:ascii="Calibri" w:eastAsia="Times New Roman" w:hAnsi="Calibri" w:cs="Times New Roman"/>
                <w:color w:val="000000"/>
                <w:lang w:eastAsia="en-IN"/>
              </w:rPr>
              <w:t>:</w:t>
            </w:r>
          </w:p>
        </w:tc>
        <w:tc>
          <w:tcPr>
            <w:tcW w:w="7560" w:type="dxa"/>
            <w:tcBorders>
              <w:top w:val="nil"/>
              <w:left w:val="nil"/>
              <w:bottom w:val="nil"/>
              <w:right w:val="nil"/>
            </w:tcBorders>
            <w:shd w:val="clear" w:color="auto" w:fill="auto"/>
            <w:hideMark/>
          </w:tcPr>
          <w:p w:rsidR="006F5509" w:rsidRPr="006F5509" w:rsidRDefault="006F5509" w:rsidP="0090148B">
            <w:pPr>
              <w:spacing w:after="0" w:line="240" w:lineRule="auto"/>
              <w:rPr>
                <w:rFonts w:ascii="Calibri" w:eastAsia="Times New Roman" w:hAnsi="Calibri" w:cs="Times New Roman"/>
                <w:color w:val="000000"/>
                <w:lang w:eastAsia="en-IN"/>
              </w:rPr>
            </w:pPr>
            <w:r w:rsidRPr="006F5509">
              <w:rPr>
                <w:rFonts w:ascii="Calibri" w:eastAsia="Times New Roman" w:hAnsi="Calibri" w:cs="Times New Roman"/>
                <w:color w:val="000000"/>
                <w:lang w:eastAsia="en-IN"/>
              </w:rPr>
              <w:t xml:space="preserve">CMFR </w:t>
            </w:r>
            <w:r w:rsidR="0098432B">
              <w:rPr>
                <w:rFonts w:ascii="Calibri" w:eastAsia="Times New Roman" w:hAnsi="Calibri" w:cs="Times New Roman"/>
                <w:color w:val="000000"/>
                <w:lang w:eastAsia="en-IN"/>
              </w:rPr>
              <w:t xml:space="preserve">is a metric to measure risk. It </w:t>
            </w:r>
            <w:r w:rsidRPr="006F5509">
              <w:rPr>
                <w:rFonts w:ascii="Calibri" w:eastAsia="Times New Roman" w:hAnsi="Calibri" w:cs="Times New Roman"/>
                <w:color w:val="000000"/>
                <w:lang w:eastAsia="en-IN"/>
              </w:rPr>
              <w:t xml:space="preserve">covers various categories </w:t>
            </w:r>
            <w:r w:rsidR="0090148B">
              <w:rPr>
                <w:rFonts w:ascii="Calibri" w:eastAsia="Times New Roman" w:hAnsi="Calibri" w:cs="Times New Roman"/>
                <w:color w:val="000000"/>
                <w:lang w:eastAsia="en-IN"/>
              </w:rPr>
              <w:t xml:space="preserve">of assets as </w:t>
            </w:r>
            <w:r w:rsidRPr="006F5509">
              <w:rPr>
                <w:rFonts w:ascii="Calibri" w:eastAsia="Times New Roman" w:hAnsi="Calibri" w:cs="Times New Roman"/>
                <w:color w:val="000000"/>
                <w:lang w:eastAsia="en-IN"/>
              </w:rPr>
              <w:t xml:space="preserve">equity, debt and hybrid asset classes. Unlike most other ranking models, which </w:t>
            </w:r>
            <w:r w:rsidR="0090148B">
              <w:rPr>
                <w:rFonts w:ascii="Calibri" w:eastAsia="Times New Roman" w:hAnsi="Calibri" w:cs="Times New Roman"/>
                <w:color w:val="000000"/>
                <w:lang w:eastAsia="en-IN"/>
              </w:rPr>
              <w:t>are based purely on returns or N</w:t>
            </w:r>
            <w:r w:rsidRPr="006F5509">
              <w:rPr>
                <w:rFonts w:ascii="Calibri" w:eastAsia="Times New Roman" w:hAnsi="Calibri" w:cs="Times New Roman"/>
                <w:color w:val="000000"/>
                <w:lang w:eastAsia="en-IN"/>
              </w:rPr>
              <w:t xml:space="preserve">et </w:t>
            </w:r>
            <w:r w:rsidR="0090148B">
              <w:rPr>
                <w:rFonts w:ascii="Calibri" w:eastAsia="Times New Roman" w:hAnsi="Calibri" w:cs="Times New Roman"/>
                <w:color w:val="000000"/>
                <w:lang w:eastAsia="en-IN"/>
              </w:rPr>
              <w:t>A</w:t>
            </w:r>
            <w:r w:rsidRPr="006F5509">
              <w:rPr>
                <w:rFonts w:ascii="Calibri" w:eastAsia="Times New Roman" w:hAnsi="Calibri" w:cs="Times New Roman"/>
                <w:color w:val="000000"/>
                <w:lang w:eastAsia="en-IN"/>
              </w:rPr>
              <w:t xml:space="preserve">sset </w:t>
            </w:r>
            <w:r w:rsidR="0090148B">
              <w:rPr>
                <w:rFonts w:ascii="Calibri" w:eastAsia="Times New Roman" w:hAnsi="Calibri" w:cs="Times New Roman"/>
                <w:color w:val="000000"/>
                <w:lang w:eastAsia="en-IN"/>
              </w:rPr>
              <w:t>V</w:t>
            </w:r>
            <w:r w:rsidRPr="006F5509">
              <w:rPr>
                <w:rFonts w:ascii="Calibri" w:eastAsia="Times New Roman" w:hAnsi="Calibri" w:cs="Times New Roman"/>
                <w:color w:val="000000"/>
                <w:lang w:eastAsia="en-IN"/>
              </w:rPr>
              <w:t xml:space="preserve">alue (NAV), CMFR uses a combination of NAV and portfolio-based attributes for evaluation. This provides a single point analysis of mutual funds, taking into consideration </w:t>
            </w:r>
            <w:r w:rsidR="0090148B">
              <w:rPr>
                <w:rFonts w:ascii="Calibri" w:eastAsia="Times New Roman" w:hAnsi="Calibri" w:cs="Times New Roman"/>
                <w:color w:val="000000"/>
                <w:lang w:eastAsia="en-IN"/>
              </w:rPr>
              <w:t xml:space="preserve">of </w:t>
            </w:r>
            <w:r w:rsidRPr="006F5509">
              <w:rPr>
                <w:rFonts w:ascii="Calibri" w:eastAsia="Times New Roman" w:hAnsi="Calibri" w:cs="Times New Roman"/>
                <w:color w:val="000000"/>
                <w:lang w:eastAsia="en-IN"/>
              </w:rPr>
              <w:t>key parameters such as risk-adjusted returns, asset concentration, liquidity and asset quality. The ranks are assigned on a scale of 1 to 5, with CRISIL Fund Rank 1 indicating 'very good performance'. In any peer group, the top 10 percentile of funds are ranked as CRISIL Fund Rank 1 and the next 20 percentile as CRISIL Fund Rank 2. For further details, please check the ranking methodology document.</w:t>
            </w:r>
            <w:r w:rsidR="00165EBA">
              <w:rPr>
                <w:rFonts w:ascii="Calibri" w:eastAsia="Times New Roman" w:hAnsi="Calibri" w:cs="Times New Roman"/>
                <w:color w:val="000000"/>
                <w:lang w:eastAsia="en-IN"/>
              </w:rPr>
              <w:t xml:space="preserve"> Here NR means not rated.</w:t>
            </w:r>
            <w:bookmarkStart w:id="0" w:name="_GoBack"/>
            <w:bookmarkEnd w:id="0"/>
          </w:p>
        </w:tc>
      </w:tr>
      <w:tr w:rsidR="006F5509" w:rsidRPr="006F5509" w:rsidTr="006F5509">
        <w:trPr>
          <w:trHeight w:val="300"/>
        </w:trPr>
        <w:tc>
          <w:tcPr>
            <w:tcW w:w="2260" w:type="dxa"/>
            <w:tcBorders>
              <w:top w:val="nil"/>
              <w:left w:val="nil"/>
              <w:bottom w:val="nil"/>
              <w:right w:val="nil"/>
            </w:tcBorders>
            <w:shd w:val="clear" w:color="auto" w:fill="auto"/>
            <w:noWrap/>
            <w:hideMark/>
          </w:tcPr>
          <w:p w:rsidR="006F5509" w:rsidRPr="006F5509" w:rsidRDefault="006F5509" w:rsidP="006F5509">
            <w:pPr>
              <w:spacing w:after="0" w:line="240" w:lineRule="auto"/>
              <w:rPr>
                <w:rFonts w:ascii="Calibri" w:eastAsia="Times New Roman" w:hAnsi="Calibri" w:cs="Times New Roman"/>
                <w:color w:val="000000"/>
                <w:lang w:eastAsia="en-IN"/>
              </w:rPr>
            </w:pPr>
            <w:proofErr w:type="spellStart"/>
            <w:r w:rsidRPr="006F5509">
              <w:rPr>
                <w:rFonts w:ascii="Calibri" w:eastAsia="Times New Roman" w:hAnsi="Calibri" w:cs="Times New Roman"/>
                <w:color w:val="000000"/>
                <w:lang w:eastAsia="en-IN"/>
              </w:rPr>
              <w:t>Sector_Allocation_size</w:t>
            </w:r>
            <w:proofErr w:type="spellEnd"/>
            <w:r>
              <w:rPr>
                <w:rFonts w:ascii="Calibri" w:eastAsia="Times New Roman" w:hAnsi="Calibri" w:cs="Times New Roman"/>
                <w:color w:val="000000"/>
                <w:lang w:eastAsia="en-IN"/>
              </w:rPr>
              <w:t>:</w:t>
            </w:r>
          </w:p>
        </w:tc>
        <w:tc>
          <w:tcPr>
            <w:tcW w:w="7560" w:type="dxa"/>
            <w:tcBorders>
              <w:top w:val="nil"/>
              <w:left w:val="nil"/>
              <w:bottom w:val="nil"/>
              <w:right w:val="nil"/>
            </w:tcBorders>
            <w:shd w:val="clear" w:color="auto" w:fill="auto"/>
            <w:hideMark/>
          </w:tcPr>
          <w:p w:rsidR="006F5509" w:rsidRPr="006F5509" w:rsidRDefault="006F5509" w:rsidP="0098432B">
            <w:pPr>
              <w:spacing w:after="0" w:line="240" w:lineRule="auto"/>
              <w:rPr>
                <w:rFonts w:ascii="Calibri" w:eastAsia="Times New Roman" w:hAnsi="Calibri" w:cs="Times New Roman"/>
                <w:color w:val="000000"/>
                <w:lang w:eastAsia="en-IN"/>
              </w:rPr>
            </w:pPr>
            <w:r w:rsidRPr="006F5509">
              <w:rPr>
                <w:rFonts w:ascii="Calibri" w:eastAsia="Times New Roman" w:hAnsi="Calibri" w:cs="Times New Roman"/>
                <w:color w:val="000000"/>
                <w:lang w:eastAsia="en-IN"/>
              </w:rPr>
              <w:t>Approximate number of Sectors in Sector allocation Table</w:t>
            </w:r>
            <w:r w:rsidR="0098432B">
              <w:rPr>
                <w:rFonts w:ascii="Calibri" w:eastAsia="Times New Roman" w:hAnsi="Calibri" w:cs="Times New Roman"/>
                <w:color w:val="000000"/>
                <w:lang w:eastAsia="en-IN"/>
              </w:rPr>
              <w:t>. Generally names of the top 10 sectors are listed</w:t>
            </w:r>
          </w:p>
        </w:tc>
      </w:tr>
      <w:tr w:rsidR="006F5509" w:rsidRPr="006F5509" w:rsidTr="006F5509">
        <w:trPr>
          <w:trHeight w:val="300"/>
        </w:trPr>
        <w:tc>
          <w:tcPr>
            <w:tcW w:w="2260" w:type="dxa"/>
            <w:tcBorders>
              <w:top w:val="nil"/>
              <w:left w:val="nil"/>
              <w:bottom w:val="nil"/>
              <w:right w:val="nil"/>
            </w:tcBorders>
            <w:shd w:val="clear" w:color="auto" w:fill="auto"/>
            <w:noWrap/>
            <w:hideMark/>
          </w:tcPr>
          <w:p w:rsidR="006F5509" w:rsidRPr="006F5509" w:rsidRDefault="006F5509" w:rsidP="006F5509">
            <w:pPr>
              <w:spacing w:after="0" w:line="240" w:lineRule="auto"/>
              <w:rPr>
                <w:rFonts w:ascii="Calibri" w:eastAsia="Times New Roman" w:hAnsi="Calibri" w:cs="Times New Roman"/>
                <w:color w:val="000000"/>
                <w:lang w:eastAsia="en-IN"/>
              </w:rPr>
            </w:pPr>
            <w:r w:rsidRPr="006F5509">
              <w:rPr>
                <w:rFonts w:ascii="Calibri" w:eastAsia="Times New Roman" w:hAnsi="Calibri" w:cs="Times New Roman"/>
                <w:color w:val="000000"/>
                <w:lang w:eastAsia="en-IN"/>
              </w:rPr>
              <w:t>Sector*_Name</w:t>
            </w:r>
            <w:r>
              <w:rPr>
                <w:rFonts w:ascii="Calibri" w:eastAsia="Times New Roman" w:hAnsi="Calibri" w:cs="Times New Roman"/>
                <w:color w:val="000000"/>
                <w:lang w:eastAsia="en-IN"/>
              </w:rPr>
              <w:t>:</w:t>
            </w:r>
          </w:p>
        </w:tc>
        <w:tc>
          <w:tcPr>
            <w:tcW w:w="7560" w:type="dxa"/>
            <w:tcBorders>
              <w:top w:val="nil"/>
              <w:left w:val="nil"/>
              <w:bottom w:val="nil"/>
              <w:right w:val="nil"/>
            </w:tcBorders>
            <w:shd w:val="clear" w:color="auto" w:fill="auto"/>
            <w:hideMark/>
          </w:tcPr>
          <w:p w:rsidR="006F5509" w:rsidRPr="006F5509" w:rsidRDefault="006F5509" w:rsidP="006F5509">
            <w:pPr>
              <w:spacing w:after="0" w:line="240" w:lineRule="auto"/>
              <w:rPr>
                <w:rFonts w:ascii="Calibri" w:eastAsia="Times New Roman" w:hAnsi="Calibri" w:cs="Times New Roman"/>
                <w:color w:val="000000"/>
                <w:lang w:eastAsia="en-IN"/>
              </w:rPr>
            </w:pPr>
            <w:r w:rsidRPr="006F5509">
              <w:rPr>
                <w:rFonts w:ascii="Calibri" w:eastAsia="Times New Roman" w:hAnsi="Calibri" w:cs="Times New Roman"/>
                <w:color w:val="000000"/>
                <w:lang w:eastAsia="en-IN"/>
              </w:rPr>
              <w:t>Name of the sectors in which MF is invested</w:t>
            </w:r>
          </w:p>
        </w:tc>
      </w:tr>
      <w:tr w:rsidR="006F5509" w:rsidRPr="006F5509" w:rsidTr="006F5509">
        <w:trPr>
          <w:trHeight w:val="300"/>
        </w:trPr>
        <w:tc>
          <w:tcPr>
            <w:tcW w:w="2260" w:type="dxa"/>
            <w:tcBorders>
              <w:top w:val="nil"/>
              <w:left w:val="nil"/>
              <w:bottom w:val="nil"/>
              <w:right w:val="nil"/>
            </w:tcBorders>
            <w:shd w:val="clear" w:color="auto" w:fill="auto"/>
            <w:noWrap/>
            <w:hideMark/>
          </w:tcPr>
          <w:p w:rsidR="006F5509" w:rsidRPr="006F5509" w:rsidRDefault="006F5509" w:rsidP="006F5509">
            <w:pPr>
              <w:spacing w:after="0" w:line="240" w:lineRule="auto"/>
              <w:rPr>
                <w:rFonts w:ascii="Calibri" w:eastAsia="Times New Roman" w:hAnsi="Calibri" w:cs="Times New Roman"/>
                <w:color w:val="000000"/>
                <w:lang w:eastAsia="en-IN"/>
              </w:rPr>
            </w:pPr>
            <w:r w:rsidRPr="006F5509">
              <w:rPr>
                <w:rFonts w:ascii="Calibri" w:eastAsia="Times New Roman" w:hAnsi="Calibri" w:cs="Times New Roman"/>
                <w:color w:val="000000"/>
                <w:lang w:eastAsia="en-IN"/>
              </w:rPr>
              <w:t>Sector*_Percentage</w:t>
            </w:r>
            <w:r>
              <w:rPr>
                <w:rFonts w:ascii="Calibri" w:eastAsia="Times New Roman" w:hAnsi="Calibri" w:cs="Times New Roman"/>
                <w:color w:val="000000"/>
                <w:lang w:eastAsia="en-IN"/>
              </w:rPr>
              <w:t>:</w:t>
            </w:r>
          </w:p>
        </w:tc>
        <w:tc>
          <w:tcPr>
            <w:tcW w:w="7560" w:type="dxa"/>
            <w:tcBorders>
              <w:top w:val="nil"/>
              <w:left w:val="nil"/>
              <w:bottom w:val="nil"/>
              <w:right w:val="nil"/>
            </w:tcBorders>
            <w:shd w:val="clear" w:color="auto" w:fill="auto"/>
            <w:hideMark/>
          </w:tcPr>
          <w:p w:rsidR="006F5509" w:rsidRDefault="006F5509" w:rsidP="006F5509">
            <w:pPr>
              <w:spacing w:after="0" w:line="240" w:lineRule="auto"/>
              <w:rPr>
                <w:rFonts w:ascii="Calibri" w:eastAsia="Times New Roman" w:hAnsi="Calibri" w:cs="Times New Roman"/>
                <w:color w:val="000000"/>
                <w:lang w:eastAsia="en-IN"/>
              </w:rPr>
            </w:pPr>
            <w:r w:rsidRPr="006F5509">
              <w:rPr>
                <w:rFonts w:ascii="Calibri" w:eastAsia="Times New Roman" w:hAnsi="Calibri" w:cs="Times New Roman"/>
                <w:color w:val="000000"/>
                <w:lang w:eastAsia="en-IN"/>
              </w:rPr>
              <w:t>Percentage of investment for each sector in Sector allocation table</w:t>
            </w:r>
          </w:p>
          <w:p w:rsidR="002A370D" w:rsidRDefault="002A370D" w:rsidP="006F5509">
            <w:pPr>
              <w:spacing w:after="0" w:line="240" w:lineRule="auto"/>
              <w:rPr>
                <w:rFonts w:ascii="Calibri" w:eastAsia="Times New Roman" w:hAnsi="Calibri" w:cs="Times New Roman"/>
                <w:color w:val="000000"/>
                <w:lang w:eastAsia="en-IN"/>
              </w:rPr>
            </w:pPr>
          </w:p>
          <w:p w:rsidR="002A370D" w:rsidRPr="006F5509" w:rsidRDefault="002A370D" w:rsidP="006F5509">
            <w:pPr>
              <w:spacing w:after="0" w:line="240" w:lineRule="auto"/>
              <w:rPr>
                <w:rFonts w:ascii="Calibri" w:eastAsia="Times New Roman" w:hAnsi="Calibri" w:cs="Times New Roman"/>
                <w:color w:val="000000"/>
                <w:lang w:eastAsia="en-IN"/>
              </w:rPr>
            </w:pPr>
          </w:p>
        </w:tc>
      </w:tr>
      <w:tr w:rsidR="002A370D" w:rsidRPr="006F5509" w:rsidTr="006F5509">
        <w:trPr>
          <w:trHeight w:val="300"/>
        </w:trPr>
        <w:tc>
          <w:tcPr>
            <w:tcW w:w="2260" w:type="dxa"/>
            <w:tcBorders>
              <w:top w:val="nil"/>
              <w:left w:val="nil"/>
              <w:bottom w:val="nil"/>
              <w:right w:val="nil"/>
            </w:tcBorders>
            <w:shd w:val="clear" w:color="auto" w:fill="auto"/>
            <w:noWrap/>
          </w:tcPr>
          <w:p w:rsidR="002A370D" w:rsidRPr="006F5509" w:rsidRDefault="002A370D" w:rsidP="002A370D">
            <w:pPr>
              <w:spacing w:after="0" w:line="240" w:lineRule="auto"/>
              <w:rPr>
                <w:rFonts w:ascii="Calibri" w:eastAsia="Times New Roman" w:hAnsi="Calibri" w:cs="Times New Roman"/>
                <w:color w:val="000000"/>
                <w:lang w:eastAsia="en-IN"/>
              </w:rPr>
            </w:pPr>
            <w:proofErr w:type="spellStart"/>
            <w:r>
              <w:rPr>
                <w:rFonts w:ascii="Calibri" w:eastAsia="Times New Roman" w:hAnsi="Calibri" w:cs="Times New Roman"/>
                <w:color w:val="000000"/>
                <w:lang w:eastAsia="en-IN"/>
              </w:rPr>
              <w:t>Total_Percentage</w:t>
            </w:r>
            <w:proofErr w:type="spellEnd"/>
            <w:r>
              <w:rPr>
                <w:rFonts w:ascii="Calibri" w:eastAsia="Times New Roman" w:hAnsi="Calibri" w:cs="Times New Roman"/>
                <w:color w:val="000000"/>
                <w:lang w:eastAsia="en-IN"/>
              </w:rPr>
              <w:t>_ of_ Allocation</w:t>
            </w:r>
            <w:r w:rsidR="003E2A1C">
              <w:rPr>
                <w:rFonts w:ascii="Calibri" w:eastAsia="Times New Roman" w:hAnsi="Calibri" w:cs="Times New Roman"/>
                <w:color w:val="000000"/>
                <w:lang w:eastAsia="en-IN"/>
              </w:rPr>
              <w:t xml:space="preserve"> (this is a new column)</w:t>
            </w:r>
          </w:p>
        </w:tc>
        <w:tc>
          <w:tcPr>
            <w:tcW w:w="7560" w:type="dxa"/>
            <w:tcBorders>
              <w:top w:val="nil"/>
              <w:left w:val="nil"/>
              <w:bottom w:val="nil"/>
              <w:right w:val="nil"/>
            </w:tcBorders>
            <w:shd w:val="clear" w:color="auto" w:fill="auto"/>
          </w:tcPr>
          <w:p w:rsidR="002A370D" w:rsidRPr="006F5509" w:rsidRDefault="002A370D" w:rsidP="006F5509">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This the total % of allocation of the investment made into various sectors (</w:t>
            </w:r>
            <w:proofErr w:type="spellStart"/>
            <w:r>
              <w:rPr>
                <w:rFonts w:ascii="Calibri" w:eastAsia="Times New Roman" w:hAnsi="Calibri" w:cs="Times New Roman"/>
                <w:color w:val="000000"/>
                <w:lang w:eastAsia="en-IN"/>
              </w:rPr>
              <w:t>upto</w:t>
            </w:r>
            <w:proofErr w:type="spellEnd"/>
            <w:r>
              <w:rPr>
                <w:rFonts w:ascii="Calibri" w:eastAsia="Times New Roman" w:hAnsi="Calibri" w:cs="Times New Roman"/>
                <w:color w:val="000000"/>
                <w:lang w:eastAsia="en-IN"/>
              </w:rPr>
              <w:t xml:space="preserve"> top 10) </w:t>
            </w:r>
          </w:p>
        </w:tc>
      </w:tr>
    </w:tbl>
    <w:p w:rsidR="0028673F" w:rsidRDefault="0028673F"/>
    <w:sectPr w:rsidR="0028673F" w:rsidSect="006F65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MzA3BgIzc3NjSzMDAyUdpeDU4uLM/DyQAsNaAG+ruR0sAAAA"/>
  </w:docVars>
  <w:rsids>
    <w:rsidRoot w:val="006F5509"/>
    <w:rsid w:val="00165EBA"/>
    <w:rsid w:val="0028673F"/>
    <w:rsid w:val="002A370D"/>
    <w:rsid w:val="003E2A1C"/>
    <w:rsid w:val="006F5509"/>
    <w:rsid w:val="006F6536"/>
    <w:rsid w:val="00802B10"/>
    <w:rsid w:val="0090148B"/>
    <w:rsid w:val="009843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5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544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BiN-Work</dc:creator>
  <cp:lastModifiedBy>Debasish</cp:lastModifiedBy>
  <cp:revision>5</cp:revision>
  <dcterms:created xsi:type="dcterms:W3CDTF">2018-01-18T15:18:00Z</dcterms:created>
  <dcterms:modified xsi:type="dcterms:W3CDTF">2018-01-19T17:08:00Z</dcterms:modified>
</cp:coreProperties>
</file>