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软件工程课程设计小组工作总结报告</w:t>
      </w:r>
    </w:p>
    <w:p>
      <w:r>
        <w:t>组织方式：六人职责协作｜团队口吻</w:t>
      </w:r>
    </w:p>
    <w:p>
      <w:r>
        <w:t>项目：高校选课与成绩管理系统（Wylie College）</w:t>
        <w:br/>
        <w:t>文档日期：2026年10月11日</w:t>
      </w:r>
    </w:p>
    <w:p>
      <w:pPr>
        <w:pStyle w:val="Heading1"/>
      </w:pPr>
      <w:r>
        <w:t>1 项目背景</w:t>
      </w:r>
    </w:p>
    <w:p>
      <w:r>
        <w:t>我们围绕Wylie College课程注册场景完成高校选课与成绩管理系统。系统通过浏览器服务学生、教师与教务管理员，解决课程信息查询、学生注册、授课名单、历史成绩、人员维护及注册结束后结算通知的衔接问题。</w:t>
      </w:r>
    </w:p>
    <w:p>
      <w:r>
        <w:t>项目采用前后端分离、后端按领域模块组织、单MySQL业务库的方式，既保留权限、事务和失败恢复要求，也控制课程项目的实施与部署规模。外部目录保持只读，计费通过固定最终课表和金额通知完成对接验证。</w:t>
      </w:r>
    </w:p>
    <w:p>
      <w:pPr>
        <w:pStyle w:val="Heading1"/>
      </w:pPr>
      <w:r>
        <w:t>2 团队分工</w:t>
      </w:r>
    </w:p>
    <w:p>
      <w:r>
        <w:t>我们按A—F六人岗位组织工作：A负责需求与整体推进、版本资料及答辩协调，不承担主要编码；B负责总体架构、模块接口、设计与测试计划；C负责学生业务；D负责教师业务；E负责管理员业务；F负责公共前端、数据库实现、测试与运行说明。</w:t>
      </w:r>
    </w:p>
    <w:p>
      <w:r>
        <w:t>跨模块问题由业务负责人说明规则，B协调状态与接口，F配合实现验证，A组织交付整合。该分工描述岗位责任，个人提交量、工时和独立完成范围不依据公共源码自动推定。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062"/>
        <w:gridCol w:w="3062"/>
        <w:gridCol w:w="3062"/>
      </w:tblGrid>
      <w:tr>
        <w:tc>
          <w:tcPr>
            <w:tcW w:type="dxa" w:w="3062"/>
          </w:tcPr>
          <w:p>
            <w:pPr>
              <w:spacing w:line="264" w:lineRule="auto"/>
            </w:pPr>
            <w:r>
              <w:rPr>
                <w:sz w:val="18"/>
              </w:rPr>
              <w:t>成员</w:t>
            </w:r>
          </w:p>
        </w:tc>
        <w:tc>
          <w:tcPr>
            <w:tcW w:type="dxa" w:w="3062"/>
          </w:tcPr>
          <w:p>
            <w:pPr>
              <w:spacing w:line="264" w:lineRule="auto"/>
            </w:pPr>
            <w:r>
              <w:rPr>
                <w:sz w:val="18"/>
              </w:rPr>
              <w:t>方向</w:t>
            </w:r>
          </w:p>
        </w:tc>
        <w:tc>
          <w:tcPr>
            <w:tcW w:type="dxa" w:w="3062"/>
          </w:tcPr>
          <w:p>
            <w:pPr>
              <w:spacing w:line="264" w:lineRule="auto"/>
            </w:pPr>
            <w:r>
              <w:rPr>
                <w:sz w:val="18"/>
              </w:rPr>
              <w:t>交付关注点</w:t>
            </w:r>
          </w:p>
        </w:tc>
      </w:tr>
      <w:tr>
        <w:tc>
          <w:tcPr>
            <w:tcW w:type="dxa" w:w="3062"/>
          </w:tcPr>
          <w:p>
            <w:pPr>
              <w:spacing w:line="264" w:lineRule="auto"/>
            </w:pPr>
            <w:r>
              <w:rPr>
                <w:sz w:val="18"/>
              </w:rPr>
              <w:t>A</w:t>
            </w:r>
          </w:p>
        </w:tc>
        <w:tc>
          <w:tcPr>
            <w:tcW w:type="dxa" w:w="3062"/>
          </w:tcPr>
          <w:p>
            <w:pPr>
              <w:spacing w:line="264" w:lineRule="auto"/>
            </w:pPr>
            <w:r>
              <w:rPr>
                <w:sz w:val="18"/>
              </w:rPr>
              <w:t>项目负责人</w:t>
            </w:r>
          </w:p>
        </w:tc>
        <w:tc>
          <w:tcPr>
            <w:tcW w:type="dxa" w:w="3062"/>
          </w:tcPr>
          <w:p>
            <w:pPr>
              <w:spacing w:line="264" w:lineRule="auto"/>
            </w:pPr>
            <w:r>
              <w:rPr>
                <w:sz w:val="18"/>
              </w:rPr>
              <w:t>需求整理、进度协调、版本与交付管理、答辩组织</w:t>
            </w:r>
          </w:p>
        </w:tc>
      </w:tr>
      <w:tr>
        <w:tc>
          <w:tcPr>
            <w:tcW w:type="dxa" w:w="3062"/>
          </w:tcPr>
          <w:p>
            <w:pPr>
              <w:spacing w:line="264" w:lineRule="auto"/>
            </w:pPr>
            <w:r>
              <w:rPr>
                <w:sz w:val="18"/>
              </w:rPr>
              <w:t>B</w:t>
            </w:r>
          </w:p>
        </w:tc>
        <w:tc>
          <w:tcPr>
            <w:tcW w:type="dxa" w:w="3062"/>
          </w:tcPr>
          <w:p>
            <w:pPr>
              <w:spacing w:line="264" w:lineRule="auto"/>
            </w:pPr>
            <w:r>
              <w:rPr>
                <w:sz w:val="18"/>
              </w:rPr>
              <w:t>系统设计负责人</w:t>
            </w:r>
          </w:p>
        </w:tc>
        <w:tc>
          <w:tcPr>
            <w:tcW w:type="dxa" w:w="3062"/>
          </w:tcPr>
          <w:p>
            <w:pPr>
              <w:spacing w:line="264" w:lineRule="auto"/>
            </w:pPr>
            <w:r>
              <w:rPr>
                <w:sz w:val="18"/>
              </w:rPr>
              <w:t>总体架构、模块划分、接口设计、设计文档与测试计划</w:t>
            </w:r>
          </w:p>
        </w:tc>
      </w:tr>
      <w:tr>
        <w:tc>
          <w:tcPr>
            <w:tcW w:type="dxa" w:w="3062"/>
          </w:tcPr>
          <w:p>
            <w:pPr>
              <w:spacing w:line="264" w:lineRule="auto"/>
            </w:pPr>
            <w:r>
              <w:rPr>
                <w:sz w:val="18"/>
              </w:rPr>
              <w:t>C</w:t>
            </w:r>
          </w:p>
        </w:tc>
        <w:tc>
          <w:tcPr>
            <w:tcW w:type="dxa" w:w="3062"/>
          </w:tcPr>
          <w:p>
            <w:pPr>
              <w:spacing w:line="264" w:lineRule="auto"/>
            </w:pPr>
            <w:r>
              <w:rPr>
                <w:sz w:val="18"/>
              </w:rPr>
              <w:t>学生业务模块负责人</w:t>
            </w:r>
          </w:p>
        </w:tc>
        <w:tc>
          <w:tcPr>
            <w:tcW w:type="dxa" w:w="3062"/>
          </w:tcPr>
          <w:p>
            <w:pPr>
              <w:spacing w:line="264" w:lineRule="auto"/>
            </w:pPr>
            <w:r>
              <w:rPr>
                <w:sz w:val="18"/>
              </w:rPr>
              <w:t>登录业务对接、课程目录、主备选、正式提交、我的课表</w:t>
            </w:r>
          </w:p>
        </w:tc>
      </w:tr>
      <w:tr>
        <w:tc>
          <w:tcPr>
            <w:tcW w:type="dxa" w:w="3062"/>
          </w:tcPr>
          <w:p>
            <w:pPr>
              <w:spacing w:line="264" w:lineRule="auto"/>
            </w:pPr>
            <w:r>
              <w:rPr>
                <w:sz w:val="18"/>
              </w:rPr>
              <w:t>D</w:t>
            </w:r>
          </w:p>
        </w:tc>
        <w:tc>
          <w:tcPr>
            <w:tcW w:type="dxa" w:w="3062"/>
          </w:tcPr>
          <w:p>
            <w:pPr>
              <w:spacing w:line="264" w:lineRule="auto"/>
            </w:pPr>
            <w:r>
              <w:rPr>
                <w:sz w:val="18"/>
              </w:rPr>
              <w:t>教师业务模块负责人</w:t>
            </w:r>
          </w:p>
        </w:tc>
        <w:tc>
          <w:tcPr>
            <w:tcW w:type="dxa" w:w="3062"/>
          </w:tcPr>
          <w:p>
            <w:pPr>
              <w:spacing w:line="264" w:lineRule="auto"/>
            </w:pPr>
            <w:r>
              <w:rPr>
                <w:sz w:val="18"/>
              </w:rPr>
              <w:t>授课安排、正式名单、历史成绩录入与管理</w:t>
            </w:r>
          </w:p>
        </w:tc>
      </w:tr>
      <w:tr>
        <w:tc>
          <w:tcPr>
            <w:tcW w:type="dxa" w:w="3062"/>
          </w:tcPr>
          <w:p>
            <w:pPr>
              <w:spacing w:line="264" w:lineRule="auto"/>
            </w:pPr>
            <w:r>
              <w:rPr>
                <w:sz w:val="18"/>
              </w:rPr>
              <w:t>E</w:t>
            </w:r>
          </w:p>
        </w:tc>
        <w:tc>
          <w:tcPr>
            <w:tcW w:type="dxa" w:w="3062"/>
          </w:tcPr>
          <w:p>
            <w:pPr>
              <w:spacing w:line="264" w:lineRule="auto"/>
            </w:pPr>
            <w:r>
              <w:rPr>
                <w:sz w:val="18"/>
              </w:rPr>
              <w:t>管理员业务模块负责人</w:t>
            </w:r>
          </w:p>
        </w:tc>
        <w:tc>
          <w:tcPr>
            <w:tcW w:type="dxa" w:w="3062"/>
          </w:tcPr>
          <w:p>
            <w:pPr>
              <w:spacing w:line="264" w:lineRule="auto"/>
            </w:pPr>
            <w:r>
              <w:rPr>
                <w:sz w:val="18"/>
              </w:rPr>
              <w:t>人员管理、注册窗口与关闭、计费状态、操作记录</w:t>
            </w:r>
          </w:p>
        </w:tc>
      </w:tr>
      <w:tr>
        <w:tc>
          <w:tcPr>
            <w:tcW w:type="dxa" w:w="3062"/>
          </w:tcPr>
          <w:p>
            <w:pPr>
              <w:spacing w:line="264" w:lineRule="auto"/>
            </w:pPr>
            <w:r>
              <w:rPr>
                <w:sz w:val="18"/>
              </w:rPr>
              <w:t>F</w:t>
            </w:r>
          </w:p>
        </w:tc>
        <w:tc>
          <w:tcPr>
            <w:tcW w:type="dxa" w:w="3062"/>
          </w:tcPr>
          <w:p>
            <w:pPr>
              <w:spacing w:line="264" w:lineRule="auto"/>
            </w:pPr>
            <w:r>
              <w:rPr>
                <w:sz w:val="18"/>
              </w:rPr>
              <w:t>实现与测试负责人</w:t>
            </w:r>
          </w:p>
        </w:tc>
        <w:tc>
          <w:tcPr>
            <w:tcW w:type="dxa" w:w="3062"/>
          </w:tcPr>
          <w:p>
            <w:pPr>
              <w:spacing w:line="264" w:lineRule="auto"/>
            </w:pPr>
            <w:r>
              <w:rPr>
                <w:sz w:val="18"/>
              </w:rPr>
              <w:t>前端页面、数据库实现、测试执行、部署与运行说明</w:t>
            </w:r>
          </w:p>
        </w:tc>
      </w:tr>
    </w:tbl>
    <w:p>
      <w:pPr>
        <w:pStyle w:val="Heading1"/>
      </w:pPr>
      <w:r>
        <w:t>3 开发过程</w:t>
      </w:r>
    </w:p>
    <w:p>
      <w:r>
        <w:t>需求阶段梳理三角色、系统边界、核心用例和业务规则，明确主备选、草稿与正式结果、容量、先修、时间、历史成绩、逻辑删除及关闭计费。后续明确决定合并到需求主体，形成当前V2.0基线。</w:t>
      </w:r>
    </w:p>
    <w:p>
      <w:r>
        <w:t>设计阶段划分认证、目录、学生注册、教师业务、人员、关闭、计费和审计模块。页面处理交互，后端执行权威校验；数据库事务保持名额和名单、批次成绩、本地关闭结果一致，持久发送记录处理外部故障。</w:t>
      </w:r>
    </w:p>
    <w:p>
      <w:r>
        <w:t>实现阶段形成backend、frontend、mocks、scripts和tests目录，使用JDK 21、Spring Boot、Vue与TypeScript及MySQL 8.4。数据库迁移实际入口为V1__schema.sql，运行脚本组织初始化、启动停止、隔离排练与备份。</w:t>
      </w:r>
    </w:p>
    <w:p>
      <w:pPr>
        <w:pStyle w:val="Heading1"/>
      </w:pPr>
      <w:r>
        <w:t>4 迭代与版本整理</w:t>
      </w:r>
    </w:p>
    <w:p>
      <w:r>
        <w:t>基础工程与核心业务已进入2026年10月7日的本地Git提交，随后整理证据、修正清单自引用并形成v0.2.0-rc.1候选。仓库为master单分支，无配置远程地址；统一工具辅助提交身份不代表某个成员的独立代码贡献。</w:t>
      </w:r>
    </w:p>
    <w:p>
      <w:r>
        <w:t>候选阶段完善SQL目录分页、人员密码重置入口、未保存成绩保护、中文组件、测试等待与9秒目录调用预算，同时保留两次排练首次失败证据。</w:t>
      </w:r>
    </w:p>
    <w:p>
      <w:r>
        <w:t>10月10日正式整理统一需求、设计、测试计划V2.0及台账引用，修正端口和章节，创建独立最终副本。运行验证发现JAVA_HOME配置失效，修复JDK21识别与PATH回退后，本机构建和前后端健康检查通过。</w:t>
      </w:r>
    </w:p>
    <w:p>
      <w:r>
        <w:t>10月11日修复课程目录与课表共用列表问题，课表以本人注册结果和方案为来源；进一步增加正式课程教师与时间，并对没有地点数据的现状显示未提供。README添加首次验收入口，原运行步骤保留。这些副本变更以报告和清单哈希追踪，未新增历史仓库提交。</w:t>
      </w:r>
    </w:p>
    <w:p>
      <w:pPr>
        <w:pStyle w:val="Heading1"/>
      </w:pPr>
      <w:r>
        <w:t>5 系统完成情况</w:t>
      </w:r>
    </w:p>
    <w:p>
      <w:r>
        <w:t>现有系统已具备三角色导航与认证、课程目录、学生主备选和正式提交、本人课表与成绩查询、教师授课与名单及历史成绩、管理员人员与关闭计费状态、审计记录等功能。草稿不占席位，正式注册按规则校验，关闭与计费状态分别展示。</w:t>
      </w:r>
    </w:p>
    <w:p>
      <w:r>
        <w:t>注册开放由当前学期初始化状态和窗口配置提供，关闭后不提供常规重开；成绩限上一已完成学期，目录源只读。不存在上课地点数据库字段，因此地点列尚不能显示真实教室。真实支付、完整学籍管理和自动排课不属于交付范围。</w:t>
      </w:r>
    </w:p>
    <w:p>
      <w:r>
        <w:t>源码与运行说明能够在已验证的本机Windows环境构建和启动；这不等同于所有Windows环境兼容或真实学校外部系统联调已完成。</w:t>
      </w:r>
    </w:p>
    <w:p>
      <w:pPr>
        <w:pStyle w:val="Heading1"/>
      </w:pPr>
      <w:r>
        <w:t>6 测试与质量情况</w:t>
      </w:r>
    </w:p>
    <w:p>
      <w:r>
        <w:t>已有测试报告记录60个接口、页面及重启场景通过，另有7项算法单测、故障数据核对和隔离备份恢复。1212班分页与500独立会话短时负载支持限定条件下的规模检查；未完成完整预热和稳定测量、教师写入配比及2000多实例目标。</w:t>
      </w:r>
    </w:p>
    <w:p>
      <w:r>
        <w:t>158条计划用例保持72 PARTIAL、86 NOT_RUN，没有据自动场景数量将整条计划用例标为通过。完整变体、正式容量、连续7天可用性、真实外部环境、完整安全扫描及部分兼容范围仍需进一步验证。</w:t>
      </w:r>
    </w:p>
    <w:p>
      <w:r>
        <w:t>最新课表验证完成6项浏览器回归，并用真实学生账号核对4门正式课程教师与时间，课程目录仍显示12门，前后课表数据不变。真实学期关闭时按钮禁用；浏览器开放响应和提交拦截只检查前端请求，不计为后端真实写入测试。</w:t>
      </w:r>
    </w:p>
    <w:p>
      <w:r>
        <w:t>我们保留失败历史、适用构建、执行时间和未完成范围，按问题影响进行复测。后续成员交叉核验和现场结果需要单独记录，不能用文档整理代替。</w:t>
      </w:r>
    </w:p>
    <w:p>
      <w:pPr>
        <w:pStyle w:val="Heading1"/>
      </w:pPr>
      <w:r>
        <w:t>7 项目总结与后续工作</w:t>
      </w:r>
    </w:p>
    <w:p>
      <w:r>
        <w:t>本项目的主要工程经验是将需求、设计、代码、测试和交付资料关联起来。草稿与正式注册的区分、整份事务失败回退、历史权限保留和外部计费持久重试，是保持业务一致性的关键。</w:t>
      </w:r>
    </w:p>
    <w:p>
      <w:r>
        <w:t>项目仍有需要收尾的部分。10月12—13日安排关键未覆盖变体与条件核查，10月14—15日核对版本、运行入口和分模块讲解，10月16日按实际现场情况提交展示；这些安排不作为已经完成的记录。</w:t>
      </w:r>
    </w:p>
    <w:p>
      <w:r>
        <w:t>项目使用工具辅助文档、代码和自动验证，相关范围在既有工具辅助使用说明中保留。我们按现有职责组织个人汇报和系统说明，成员仍需依据真实工作核对实名信息、贡献与签名，并完成自主核心设计核验。</w:t>
      </w:r>
    </w:p>
    <w:p>
      <w:r>
        <w:t>我们不会把一次演示成功、短时样本或公共成果扩大成全量指标达标或个人独立完成。最终汇报以可定位的版本、文件、验证结果和真实剩余问题为依据。</w:t>
      </w:r>
    </w:p>
    <w:p>
      <w:pPr>
        <w:pStyle w:val="Heading1"/>
      </w:pPr>
      <w:r>
        <w:t>8 依据与关联资料</w:t>
      </w:r>
    </w:p>
    <w:p>
      <w:r>
        <w:t>需求、设计、测试计划V2.0；测试报告V0.2.0及台账V1.2；README、最终提交资料清单及各修改报告；历史Git日志与开发说明；工具辅助使用说明V1.0。当前开发计划及六份个人报告采用同一六人分工与测试口径。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30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软件工程课程设计 · 项目过程材料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312" w:lineRule="auto"/>
    </w:pPr>
    <w:rPr>
      <w:rFonts w:ascii="Calibri" w:hAnsi="Calibri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黑体"/>
      <w:b/>
      <w:bCs/>
      <w:color w:val="24374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黑体"/>
      <w:b/>
      <w:bCs/>
      <w:color w:val="24374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黑体"/>
      <w:color w:val="243746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40" w:line="312" w:lineRule="auto"/>
    </w:pPr>
    <w:rPr>
      <w:rFonts w:ascii="Calibri" w:hAnsi="Calibri" w:eastAsia="宋体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40" w:line="312" w:lineRule="auto"/>
      <w:contextualSpacing/>
    </w:pPr>
    <w:rPr>
      <w:rFonts w:ascii="Calibri" w:hAnsi="Calibri" w:eastAsia="宋体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软件工程课程设计小组工作总结报告</dc:title>
  <dc:subject>软件工程课程设计项目过程材料</dc:subject>
  <dc:creator>课程设计项目组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