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高校选课与成绩管理系统</w:t>
      </w:r>
    </w:p>
    <w:p>
      <w:pPr>
        <w:pStyle w:val="Title"/>
      </w:pPr>
      <w:r>
        <w:t>软件需求规格说明书</w:t>
      </w:r>
    </w:p>
    <w:p>
      <w:r>
        <w:t>版本：V2.0    日期：2026年10月10日</w:t>
      </w:r>
    </w:p>
    <w:p>
      <w:pPr>
        <w:pStyle w:val="Heading1"/>
      </w:pPr>
      <w:r>
        <w:t>1 引言</w:t>
      </w:r>
    </w:p>
    <w:p>
      <w:pPr>
        <w:pStyle w:val="Heading2"/>
      </w:pPr>
      <w:r>
        <w:t>1.1 项目背景</w:t>
      </w:r>
    </w:p>
    <w:p>
      <w:r>
        <w:t>Wylie College需要替换原有学生注册系统，通过校园网络提供课程注册与成绩管理。原课程目录继续提供基础信息，本系统对其只读；最终课表确定后向外部计费系统发送结算信息。</w:t>
      </w:r>
    </w:p>
    <w:p>
      <w:pPr>
        <w:pStyle w:val="Heading2"/>
      </w:pPr>
      <w:r>
        <w:t>1.2 项目目标</w:t>
      </w:r>
    </w:p>
    <w:p>
      <w:r>
        <w:t>支持课程查询、授课选择、学生选课、关闭注册、计费通知、成绩录入及查询的完整业务，保证权限、容量、先修、时间和失败恢复约束。</w:t>
      </w:r>
    </w:p>
    <w:p>
      <w:pPr>
        <w:pStyle w:val="Heading2"/>
      </w:pPr>
      <w:r>
        <w:t>1.3 文档范围</w:t>
      </w:r>
    </w:p>
    <w:p>
      <w:r>
        <w:t>本文规定功能、用例、业务规则、状态、数据、质量及验收要求，作为设计和测试依据；不规定存储表、接口路径、框架和并发机制。</w:t>
      </w:r>
    </w:p>
    <w:p>
      <w:pPr>
        <w:pStyle w:val="Heading1"/>
      </w:pPr>
      <w:r>
        <w:t>2 系统概述</w:t>
      </w:r>
    </w:p>
    <w:p>
      <w:pPr>
        <w:pStyle w:val="Heading2"/>
      </w:pPr>
      <w:r>
        <w:t>2.1 系统定位与边界</w:t>
      </w:r>
    </w:p>
    <w:p>
      <w:r>
        <w:t>系统采用桌面浏览器访问的Web形式，可在本机或校园局域网运行。课程项目使用独立模拟课程目录及计费服务，保留外部只读、接收确认和故障恢复边界。实际授课、注册人数及业务状态由本系统维护。</w:t>
      </w:r>
    </w:p>
    <w:p>
      <w:pPr>
        <w:pStyle w:val="Heading2"/>
      </w:pPr>
      <w:r>
        <w:t>2.2 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角色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业务权限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限制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学生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维护本人草稿及正式课表、增退课、查看本人上一已完成学期成绩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不得操作他人课表或成绩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教师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按资格选择本人授课、查看本人名单、录入原授课班历史成绩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不得操作他人授课或名单外成绩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教务管理员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人员维护、关闭注册、查看关闭及计费状态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无常规代选、代授课或录入成绩权限</w:t>
            </w:r>
          </w:p>
        </w:tc>
      </w:tr>
    </w:tbl>
    <w:p>
      <w:pPr>
        <w:pStyle w:val="Heading2"/>
      </w:pPr>
      <w:r>
        <w:t>2.3 业务范围</w:t>
      </w:r>
    </w:p>
    <w:p>
      <w:r>
        <w:t>范围包括身份认证、课程查询、草稿与正式选课、增退课、授课、名单与成绩、人员维护、关闭补位及计费。范围外包括门户管理、源目录编辑、真实支付退款、发票、自动排课、完整学籍人事、作业考勤、毕业审核及全部历史成绩查询。无自助账号注册及常规重新开放注册功能。</w:t>
      </w:r>
    </w:p>
    <w:p>
      <w:pPr>
        <w:pStyle w:val="Heading1"/>
      </w:pPr>
      <w:r>
        <w:t>3 功能需求</w:t>
      </w:r>
    </w:p>
    <w:p>
      <w:pPr>
        <w:pStyle w:val="Heading2"/>
      </w:pPr>
      <w:r>
        <w:t>3.1 学生功能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需求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验收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FR-04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查询当前学期开课班及课程、院系、教师、时间和先修信息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AC-03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FR-05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学生建立本人当前学期唯一活动课表，区分主选与有序备选，并维护选择顺序。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AC-04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FR-06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保存0—4主选、0—2备选的草稿，候选为SELECTED；草稿不占名额，不改变已有正式结果。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AC-04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正式提交校验数量、学生状态、先修、开放状态、容量、同课程重复及时间冲突；整份成功后形成ENROLLED结果并同步名单，失败保留原课表和名额。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AC-05、06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在允许期间调整本人选课，并同步处理名单及名额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AC-07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经确认删除本人课表，并移除已加入班级的关系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AC-07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查看本人当前课表，显示主备选、注册结果、取消原因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AC-04、07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FR-15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学生查询本人上一已完成学期成绩，无成绩时提示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AC-10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FR-25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构建课表期间课程变满，应在提交处理前通知；提交再校验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AC-06</w:t>
            </w:r>
          </w:p>
        </w:tc>
      </w:tr>
    </w:tbl>
    <w:p>
      <w:pPr>
        <w:pStyle w:val="Heading2"/>
      </w:pPr>
      <w:r>
        <w:t>3.2 教师功能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需求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验收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教师查询有资格教授的班及本人已有授课选择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AC-08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教师在允许期间选择或取消本人授课，检查人员状态、资格、单班教师占用和时间冲突；整份变更失败保留原安排，关闭后拒绝修改。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AC-08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教师查询本人授课班正式注册学生名单及已有成绩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AC-09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教师为上一已完成学期本人原授课班的名单学生录入、补录及覆盖合法成绩；省略或空值跳过，不清除旧值；任一非法项或并发冲突使整个批次不变。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AC-09</w:t>
            </w:r>
          </w:p>
        </w:tc>
      </w:tr>
    </w:tbl>
    <w:p>
      <w:pPr>
        <w:pStyle w:val="Heading2"/>
      </w:pPr>
      <w:r>
        <w:t>3.3 管理员功能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需求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验收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FR-16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管理员新增、按标识查询及修改学生，新增返回唯一标识；人员与对应账号共同成功或失败。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AC-11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FR-17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管理员查询并确认逻辑删除学生；OPEN/CLOSING当前有效选课关联未解除时拒绝，合法删除同步停用账号并保留历史。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AC-11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FR-18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管理员新增、按标识查询及修改教师，新增返回唯一标识；人员与对应账号共同成功或失败。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AC-11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FR-19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管理员查询并确认逻辑删除教师；OPEN/CLOSING当前授课关联未解除时拒绝，合法删除同步停用账号并保留历史归属。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AC-11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FR-20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管理员经确认关闭注册，单轮补位、停开、形成最终课表并计算学费；本地结果整体保存，失败恢复原状态。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AC-12、13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FR-23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向管理员展示关闭及计费状态，区分请求受理、本地完成和全部计费送达，待发送不得显示为已发送。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AC-14、15</w:t>
            </w:r>
          </w:p>
        </w:tc>
      </w:tr>
    </w:tbl>
    <w:p>
      <w:pPr>
        <w:pStyle w:val="Heading2"/>
      </w:pPr>
      <w:r>
        <w:t>3.4 公共与集成功能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需求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验收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校验用户名、密码及账号可用性，成功建立登录状态；失败允许重试或取消。使用初始密码的用户须先完成本人密码修改。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AC-01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根据角色展示可用导航，不因此替代服务端授权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AC-01、02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退出登录并使当前认证状态失效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AC-01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FR-21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只读取得课程目录完整快照；无可用快照时明确失败并终止依赖业务，开放期间不静默变更教学时间或先修依据。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AC-03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FR-22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发送固定最终课表与学费快照，持久保留发送记录；故障及重启后持续重试至明确接收确认，不重复收费。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AC-14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FR-24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课程和人员列表提供基本搜索、空结果和分页交互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AC-16</w:t>
            </w:r>
          </w:p>
        </w:tc>
      </w:tr>
    </w:tbl>
    <w:p>
      <w:pPr>
        <w:pStyle w:val="Heading2"/>
      </w:pPr>
      <w:r>
        <w:t>3.5 权限与交互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SEC-01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仅管理员维护人员；仅原授课教师录入相应成绩。学生不得修改他人课表，教师不得修改其他教师安排，成绩不向未授权用户披露。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SEC-02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依据已认证身份校验角色、对象归属和业务状态；不信任用户自行指定身份。直接请求同样受限，未授权操作默认拒绝。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SEC-03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未登录、失效、退出及停用账号不得执行受保护操作；管理员不得绕过业务约束。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UI-01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区分草稿、正式选课、备选和取消，保存草稿不得显示为正式选课成功。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UI-02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满员、先修失败、冲突、关闭及外部不可用分别提示；冲突指出课程，取消展示原因。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UI-03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删除和关闭须确认；处理中显示进度并防止重复点击，重复请求仍受业务防重约束。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UI-04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列表具有加载、空结果、失败及分页状态；未录入不得显示为F。</w:t>
            </w:r>
          </w:p>
        </w:tc>
      </w:tr>
    </w:tbl>
    <w:p>
      <w:pPr>
        <w:pStyle w:val="Heading1"/>
      </w:pPr>
      <w:r>
        <w:t>4 核心用例规约</w:t>
      </w:r>
    </w:p>
    <w:p>
      <w:pPr>
        <w:pStyle w:val="Heading2"/>
      </w:pPr>
      <w:r>
        <w:t>UC-01 登录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规约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参与者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三类用户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具有可用账号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基本流程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1. 输入凭据</w:t>
              <w:br/>
              <w:t>2. 系统验证身份和账号</w:t>
              <w:br/>
              <w:t>3. 初始密码先本人修改</w:t>
              <w:br/>
              <w:t>4. 进入对应功能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异常流程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错误凭据或停用账号拒绝，允许重试或取消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后置条件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成功建立登录状态，失败不建立状态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关联需求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FR-01—03</w:t>
            </w:r>
          </w:p>
        </w:tc>
      </w:tr>
    </w:tbl>
    <w:p>
      <w:pPr>
        <w:pStyle w:val="Heading2"/>
      </w:pPr>
      <w:r>
        <w:t>UC-02 创建、保存与提交选课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规约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参与者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学生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已登录、ENROLLED、当前学期配置有效且窗口开放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基本流程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1. 查询开课</w:t>
              <w:br/>
              <w:t>2. 编辑主备选</w:t>
              <w:br/>
              <w:t>3. 按需保存草稿</w:t>
              <w:br/>
              <w:t>4. 确认正式提交</w:t>
              <w:br/>
              <w:t>5. 校验整份方案</w:t>
              <w:br/>
              <w:t>6. 更新名单和名额并展示结果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异常流程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数量不符、满员、先修失败、冲突、过期或目录依据缺失时拒绝正式变更并保留原结果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后置条件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草稿不占名额；正式成功课表、名单、人数一致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关联需求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FR-04—07、10、25</w:t>
            </w:r>
          </w:p>
        </w:tc>
      </w:tr>
    </w:tbl>
    <w:p>
      <w:pPr>
        <w:pStyle w:val="Heading2"/>
      </w:pPr>
      <w:r>
        <w:t>UC-03 调整与删除课表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规约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参与者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学生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本人课表存在，注册及增退课窗口允许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基本流程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1. 展示课表</w:t>
              <w:br/>
              <w:t>2. 提出新增、移除或整份删除</w:t>
              <w:br/>
              <w:t>3. 删除确认</w:t>
              <w:br/>
              <w:t>4. 校验并同步保存</w:t>
              <w:br/>
              <w:t>5. 展示结果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异常流程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取消确认、窗口结束、关闭或并发冲突时不改变原有效结果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后置条件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合法退课或删除释放名额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关联需求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FR-08—10</w:t>
            </w:r>
          </w:p>
        </w:tc>
      </w:tr>
    </w:tbl>
    <w:p>
      <w:pPr>
        <w:pStyle w:val="Heading2"/>
      </w:pPr>
      <w:r>
        <w:t>UC-04 选择或取消授课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规约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参与者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已登录、注册开放；新增时为ON_DUTY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基本流程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1. 查看资格及安排</w:t>
              <w:br/>
              <w:t>2. 选择增减班级</w:t>
              <w:br/>
              <w:t>3. 检查资格、占用和时间</w:t>
              <w:br/>
              <w:t>4. 保存完整安排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异常流程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无资格、被占用、冲突或关闭时拒绝，原安排不变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后置条件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单班最多一教师，本人安排无冲突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关联需求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FR-11—12</w:t>
            </w:r>
          </w:p>
        </w:tc>
      </w:tr>
    </w:tbl>
    <w:p>
      <w:pPr>
        <w:pStyle w:val="Heading2"/>
      </w:pPr>
      <w:r>
        <w:t>UC-05 查看名单并提交成绩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规约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参与者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具有上一已完成学期原授课归属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基本流程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1. 选择本人历史班</w:t>
              <w:br/>
              <w:t>2. 查看名单和旧成绩</w:t>
              <w:br/>
              <w:t>3. 输入或跳过</w:t>
              <w:br/>
              <w:t>4. 验证批次</w:t>
              <w:br/>
              <w:t>5. 保存并反馈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异常流程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非法枚举、名单外学生、他人班级或任一项冲突使整个批次不变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后置条件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合法值保存，空值跳过，不清除旧成绩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关联需求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FR-13—14</w:t>
            </w:r>
          </w:p>
        </w:tc>
      </w:tr>
    </w:tbl>
    <w:p>
      <w:pPr>
        <w:pStyle w:val="Heading2"/>
      </w:pPr>
      <w:r>
        <w:t>UC-06 查看成绩单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规约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参与者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学生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已登录且账号可用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基本流程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1. 查询本人上一已完成学期</w:t>
              <w:br/>
              <w:t>2. 展示课程及成绩或未录入状态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异常流程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无成绩明确提示，访问他人成绩拒绝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后置条件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业务数据不变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关联需求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FR-15</w:t>
            </w:r>
          </w:p>
        </w:tc>
      </w:tr>
    </w:tbl>
    <w:p>
      <w:pPr>
        <w:pStyle w:val="Heading2"/>
      </w:pPr>
      <w:r>
        <w:t>UC-07 维护学生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规约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参与者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教务管理员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已认证并具有人员维护权限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基本流程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1. 选择新增、查询、修改或删除</w:t>
              <w:br/>
              <w:t>2. 验证资料</w:t>
              <w:br/>
              <w:t>3. 新增人员和账号</w:t>
              <w:br/>
              <w:t>4. 修改目标</w:t>
              <w:br/>
              <w:t>5. 确认后关联检查及逻辑删除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异常流程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非法字段、不存在、当前关联或保存失败时拒绝；取消不变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后置条件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标识唯一，账号关联有效，删除停用账号并保留历史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关联需求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FR-16—17</w:t>
            </w:r>
          </w:p>
        </w:tc>
      </w:tr>
    </w:tbl>
    <w:p>
      <w:pPr>
        <w:pStyle w:val="Heading2"/>
      </w:pPr>
      <w:r>
        <w:t>UC-08 维护教师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规约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参与者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教务管理员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已认证并具有人员维护权限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基本流程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1. 选择维护操作</w:t>
              <w:br/>
              <w:t>2. 输入教师资料及院系</w:t>
              <w:br/>
              <w:t>3. 新增人员和账号</w:t>
              <w:br/>
              <w:t>4. 查询并修改</w:t>
              <w:br/>
              <w:t>5. 确认后检查关联并逻辑删除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异常流程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非法资料、目标不存在或当前授课关联未解除时拒绝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后置条件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账号关联有效，历史授课及成绩归属保留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关联需求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FR-18—19</w:t>
            </w:r>
          </w:p>
        </w:tc>
      </w:tr>
    </w:tbl>
    <w:p>
      <w:pPr>
        <w:pStyle w:val="Heading2"/>
      </w:pPr>
      <w:r>
        <w:t>UC-09 关闭注册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规约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参与者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教务管理员、外部计费系统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前置条件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目标学期OPEN且管理员已登录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基本流程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1. 确认关闭</w:t>
              <w:br/>
              <w:t>2. 检查进行中的变更</w:t>
              <w:br/>
              <w:t>3. 确定正式参与范围</w:t>
              <w:br/>
              <w:t>4. 单轮补位</w:t>
              <w:br/>
              <w:t>5. 确定停开和最终课表</w:t>
              <w:br/>
              <w:t>6. 保存本地结算</w:t>
              <w:br/>
              <w:t>7. 关闭注册</w:t>
              <w:br/>
              <w:t>8. 持续发送并查询确认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异常流程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相关变更正在执行则本次不进行本地关闭；本地失败恢复原状态；外部失败保留已关闭结果并重试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后置条件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本地完成冻结选课和授课，计费确认独立可查，重复关闭不重算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关联需求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FR-20、22—23</w:t>
            </w:r>
          </w:p>
        </w:tc>
      </w:tr>
    </w:tbl>
    <w:p>
      <w:pPr>
        <w:pStyle w:val="Heading1"/>
      </w:pPr>
      <w:r>
        <w:t>5 业务规则与状态</w:t>
      </w:r>
    </w:p>
    <w:p>
      <w:pPr>
        <w:pStyle w:val="Heading2"/>
      </w:pPr>
      <w:r>
        <w:t>5.1 业务规则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规则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BR-01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草稿0—4主选、0—2备选；首次及删除后重建正式提交恰好4+2，后续增退课可不足；最终最多4门，关闭后可少于4。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BR-02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有效正式注册每班最多10人，关闭后成立班3—10人。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BR-03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全部先修须在此前已完成学期取得A/B/C/D；F/I/未录入或缺失不通过，不提供等价豁免。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BR-04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正式学生课程及教师安排分别无时间冲突，按实际日期、星期、教学周及时间交集判定；相邻不重叠不冲突。备选候选可冲突，激活结果不可冲突。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BR-05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注册和增退课窗口均包含开始、不包含结束；相关写入同时满足OPEN和窗口。关闭处理中及关闭后拒绝选课或授课变更，无常规重开。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BR-06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草稿与最近成功正式方案分别保存；保存草稿不改变正式结果，关闭不代为提交草稿。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BR-07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构建时发现满员应在继续提交处理前通知；提示不保留席位，正式提交再次校验。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BR-08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无教师班取消；有教师低人数班可参与补位，单轮结束仍少于3人则取消，不保留有效注册及费用。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BR-09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单轮有序补位：首次成功正式提交时间升序，再学生标识升序；修改不重置顺序，每个原始备选按顺序最多尝试一次；最终取消后不再补位。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BR-10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成绩仅A/B/C/D/F/I；省略或空值跳过，不清空旧值，有值可覆盖；整批成功或回退，任一冲突使全批不变。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BR-11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源目录只读，开放前完整快照冻结；开放期不静默改变教学时间或先修，实时授课关系、人数和状态以本系统有效结果为准。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BR-12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同学生同学期仅一活动课表，同班不重复选择，同课程不得多班同时正式注册；另一班可为备选。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BR-13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草稿和未激活备选不占名额，备选仅关闭时激活；主备选之间不得重复同一开课班。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BR-14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并发不得超员，退课同步释放，重试不重复占用。整份正式变更全部成功或回退；过期变更不得静默覆盖新结果。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BR-15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补位检查学生可用性、学期、教师、容量、先修、重复课程和时间。候选失败不改变旧席位；已有4席时仅替换最低优先未成立主选，已激活备选不再作为替换主选。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BR-16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重复关闭返回既有结果，不再次补位或结算；同学生同学期结算业务身份及内容固定，重发不重复收费。</w:t>
            </w:r>
          </w:p>
        </w:tc>
      </w:tr>
    </w:tbl>
    <w:p>
      <w:pPr>
        <w:pStyle w:val="Heading2"/>
      </w:pPr>
      <w:r>
        <w:t>5.2 人员、参与范围与结算</w:t>
      </w:r>
    </w:p>
    <w:p>
      <w:r>
        <w:t>学生ENROLLED/GRADUATED/SUSPENDED，仅ENROLLED可选课；其他未删除且账号可用学生可读本人历史成绩。教师ON_DUTY/ON_LEAVE/RETIRED，仅ON_DUTY可新增授课，其他仍可依原归属录历史成绩。账号ACTIVE/DISABLED独立于人员业务状态。</w:t>
      </w:r>
    </w:p>
    <w:p>
      <w:r>
        <w:t>所有人员逻辑删除；OPEN/CLOSING当前有效选课或授课关联未解除时拒绝删除，删除不自动退课。合法删除同步停用账号，保留历史课表、授课、成绩和结算。</w:t>
      </w:r>
    </w:p>
    <w:p>
      <w:r>
        <w:t>纯草稿、已删除课表及不可用学生不参与补位及新结算；曾提交后合法退至0门且仍可用的学生可按有效正式方案参与。补位时已有4成立班则停止；不足4席可加入；低人数班临时保留以允许达到3人；最终取消后不再补位。</w:t>
      </w:r>
    </w:p>
    <w:p>
      <w:r>
        <w:t>模拟费率每门最终有效课程1000.00 CNY。有效正式课表最终0门仍发送0金额及空课表；草稿或删除不结算。</w:t>
      </w:r>
    </w:p>
    <w:p>
      <w:r>
        <w:t>本地关闭失败整体恢复原有效状态；本地完成后外部发送失败不撤销关闭。发送持久、可恢复，持续重试至确认，受理不等于完成。</w:t>
      </w:r>
    </w:p>
    <w:p>
      <w:pPr>
        <w:pStyle w:val="Heading2"/>
      </w:pPr>
      <w:r>
        <w:t>5.3 状态定义及转换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对象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状态及含义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转换条件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学期注册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OPEN开放；CLOSING本地处理中；CLOSED已关闭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OPEN→CLOSING→CLOSED；本地失败恢复OPEN及原数据；无常规重开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教学进度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UPCOMING未开始；IN_PROGRESS进行中；COMPLETED完成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按学期教学进度确定，与注册状态分别管理；历史成绩目标必须COMPLETED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开课班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OPEN可按规则注册；CLOSED成立且名单冻结；CANCELLED停开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关闭后有教师且3—10人则成立，否则取消；满员由人数判断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课表项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SELECTED候选；ENROLLED正式；CANCELLED取消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提交或补位成功形成ENROLLED；退课删除撤销，停开保留取消原因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正式注册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ACTIVE有效；WITHDRAWN已退；CANCELLED停开取消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合法退课ACTIVE→WITHDRAWN，停开→CANCELLED；关闭后不得恢复ACTIVE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关闭任务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REQUESTED受理；RUNNING处理；BLOCKED_BUSY忙；FAILED_LOCAL本地失败；LOCAL_COMMITTED本地完成；COMPLETE全部确认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受理→处理→本地完成→全部确认；忙/本地失败可同任务重试；本地完成后只恢复发送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计费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PENDING待发；SENDING发送中；RETRYING重试；SENT确认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待发或重试→发送→确认；失败或中断恢复重试，不设永久失败次数上限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人员及账号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业务状态见5.2；账号ACTIVE/DISABLED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逻辑删除同步DISABLED并禁止登录，业务状态变化不删除历史</w:t>
            </w:r>
          </w:p>
        </w:tc>
      </w:tr>
    </w:tbl>
    <w:p>
      <w:pPr>
        <w:pStyle w:val="Heading1"/>
      </w:pPr>
      <w:r>
        <w:t>6 数据需求</w:t>
      </w:r>
    </w:p>
    <w:p>
      <w:pPr>
        <w:pStyle w:val="Heading2"/>
      </w:pPr>
      <w:r>
        <w:t>6.1 业务数据范围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业务对象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维护内容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账号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唯一标识、用户名、认证信息、角色、状态、人员关联及初始改密状态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学生及教师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唯一标识、姓名、生日、SSN、业务和删除状态；学生毕业日期、教师院系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学期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标识、教学日期、注册和增退课窗口、注册及教学状态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课程与开课班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稳定标识、课程院系、先修、所属学期、教学周日期时段、授课关联及注册人数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资格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预置教师与课程的授课资格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课表及注册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主备选类型及顺序、草稿和正式快照、首次提交时间、最终结果、原因及有效名单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成绩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学生、开课班、成绩、录入人和更新时间，固定历史归属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关闭与结算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目标学期、处理摘要、排序和补位结果；唯一计费身份、最终课表、金额币种、发送确认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审计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操作者、角色、时间、对象、动作、结果、原因和关联标识</w:t>
            </w:r>
          </w:p>
        </w:tc>
      </w:tr>
    </w:tbl>
    <w:p>
      <w:pPr>
        <w:pStyle w:val="Heading2"/>
      </w:pPr>
      <w:r>
        <w:t>6.2 字段与初始化约束</w:t>
      </w:r>
    </w:p>
    <w:p>
      <w:r>
        <w:t>人员姓名、生日、SSN、状态必填，教师院系必填，学生毕业日期可空。姓名去首尾空白后1—100字符；生日不晚于当前日期；SSN规范化9位数字，允许常见分隔符但不作为登录凭据；毕业日期不早于生日，计划日期可在未来。不得增加SSN唯一性或实名认证要求。</w:t>
      </w:r>
    </w:p>
    <w:p>
      <w:r>
        <w:t>初始化管理员、当前学期、上一已完成学期、窗口及课程级授课资格。当前上下文缺失、不唯一或上一学期未完成时明确失败，不任意取最新记录。时间按Asia/Shanghai解释，教学周范围须明确。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完整性要求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DATA-01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标识唯一、引用有效；重复请求不得创建重复注册、成绩或结算。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DATA-02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正式人数以ACTIVE有效名单为准，排除草稿、未激活备选和取消；课表、名单、计数、计费口径一致。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DATA-03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人员逻辑删除不得破坏历史课表、授课归属、成绩和已保存结算。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DATA-04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课程项目使用虚构数据，按角色最小展示敏感字段，认证秘密不进入公开资料或日志。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DATA-05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初始化覆盖当前及上一已完成学期；历史授课归属不得由当前注册安排推断。</w:t>
            </w:r>
          </w:p>
        </w:tc>
      </w:tr>
    </w:tbl>
    <w:p>
      <w:pPr>
        <w:pStyle w:val="Heading1"/>
      </w:pPr>
      <w:r>
        <w:t>7 非功能需求</w:t>
      </w:r>
    </w:p>
    <w:p>
      <w:pPr>
        <w:pStyle w:val="Heading2"/>
      </w:pPr>
      <w:r>
        <w:t>7.1 非功能需求目录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编号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NFR-01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共享中央业务数据环境支持最多2000同时活动用户。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NFR-02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单个本地服务节点支持最多500同时活动用户。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NFR-03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外部课程目录调用发起至返回或明确超时不超过10秒。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NFR-04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至少80%尝试事务在120秒内成功完成；失败和超时计入全部尝试分母。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NFR-05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并发不能突破每班10人，不得重复注册或造成人数与名单不一致。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NFR-06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7×24服务，连续7天含维护停机不超过10%；监测缺失单列UNKNOWN，不记正常服务。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NFR-07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选课、退课、授课、人员和成绩变更整体成功或失败，成功对应已保存结果；关闭与外部计费边界见5.2。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NFR-08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重启后恢复关闭和未确认计费；已本地完成不得再补位、重算或生成第二笔费用。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NFR-09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满足SEC权限；密码非明文存储，受保护请求鉴权，浏览器请求必要防护，错误日志不泄露秘密。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NFR-10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人员、成绩、关闭及计费失败审计记录操作者、时间、对象、结果、原因、关联标识；成绩保存旧新值，仅授权访问。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NFR-11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业务规则具有明确维护边界及独立核验能力，提供初始化、启动和数据重置说明，公开配置不含有效秘密。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NFR-12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桌面Chrome/Edge核心流程兼容；记录实际版本与视口，未验证移动端不列支持。</w:t>
            </w:r>
          </w:p>
        </w:tc>
      </w:tr>
    </w:tbl>
    <w:p>
      <w:pPr>
        <w:pStyle w:val="Heading2"/>
      </w:pPr>
      <w:r>
        <w:t>7.2 性能与可用性测量口径</w:t>
      </w:r>
    </w:p>
    <w:p>
      <w:r>
        <w:t>每用户思考10秒，读70%写30%；预热2分钟后稳定10分钟。课程查询40%、课表读取20%、成绩读取10%、正式提交15%、草稿5%、授课修改5%、成绩修改5%。使用实际活动会话和合法业务数据，不以账号总数或独立实例结果相加替代并发容量。异步关闭分别测受理、本地完成及全部送达，不以受理代替完成。</w:t>
      </w:r>
    </w:p>
    <w:p>
      <w:r>
        <w:t>可用性为完整连续7天窗口内已观察正常服务时长/窗口总时长，包含维护；缺失记录报告覆盖率和上下界，证据不足不得判完整周期通过。</w:t>
      </w:r>
    </w:p>
    <w:p>
      <w:pPr>
        <w:pStyle w:val="Heading1"/>
      </w:pPr>
      <w:r>
        <w:t>8 验收标准</w:t>
      </w:r>
    </w:p>
    <w:p>
      <w:pPr>
        <w:pStyle w:val="Heading2"/>
      </w:pPr>
      <w:r>
        <w:t>8.1 功能与业务验收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场景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通过条件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AC-01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三角色分别使用正确/错误凭据；退出后重用登录状态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三角色正确登录、错误拒绝，初始密码本人修改；停用及退出后不能继续执行受保护操作。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AC-02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学生改他人 ID；教师改他人班；管理员尝试录成绩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直接接口请求也拒绝，目标数据不变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AC-03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查询当前学期；模拟目录不可用/超时；检查源库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当前目录正确且源目录无写入；缺少可用完整快照时故障明确终止依赖业务，有冻结快照时不静默改变开放期依据，实时关联及人数正确。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AC-04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建立 4 主选2备选并保存；重新进入查看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不完整及4+2草稿类型顺序保存恢复，草稿和备选不占名额；编辑草稿不改正式结果。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AC-05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满足先修、开放、无冲突且有名额时提交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合法首次提交4+2、后续调整按规则完成，课表名单人数一致；重复不占双份，失败整体保持原结果。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AC-06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满员、先修失败、时间冲突及构建期间变满；9人班并发抢最后名额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失败原因明确；提交处理前通知满员；仅1个新注册成功，最终10人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AC-07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允许窗口增退课/删除，取消确认，窗口外或关闭后重试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合法增退课及删除同步名额，取消确认不变；窗口结束或关闭拒绝，失败整体回退；删除重建首次仍4+2。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AC-08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教师查资格、选/取消班；冲突、无资格、关闭后重试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合法安排保存；冲突指出班；无资格和关闭拒绝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AC-09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本班名单录合法、非法、留空、补录及覆盖成绩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原授课教师对上一已完成学期名单录入合法枚举；跳过不清空，有值覆盖；非法、名单外或任一并发冲突整批不变。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AC-10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查询本人上一已完成学期；无成绩；篡改身份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本人成绩正确、空数据明确，他人成绩不可访问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AC-11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人员新增/查询/修改/删除、取消、不存在和有关联删除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人员与账号共同成功或失败，字段合法且标识唯一；取消和不存在不误操作，当前关联删除拒绝，逻辑删除停用账号并保留历史。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AC-12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准备2人、3人、无教师及可替补班后关闭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最终有效班有教师且人数3—10；无教师及最终不足3人取消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AC-13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主选不足且有序备选含满员/冲突/可用项；重复关闭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稳定排序、备选顺序、临时低人数班、最低优先未成立主选替换及失败保留旧席位符合规则；已激活备选不替换，取消后不第二轮；重复关闭不重算。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AC-14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计费故障、超时已接收、恢复及重启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外部故障、超时已接收、恢复和重启保留固定内容并持续重试，一业务一次收费；最终空课表发0金额；外部失败不重新开放。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AC-15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关闭时有正在执行的选课；关闭本地失败及中断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相关变更进行中本次不执行本地关闭；关闭期间新写入拒绝，本地失败原结果不变；本地完成只恢复发送，受理/本地完成/全部送达可区分。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AC-16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搜索有结果/无结果，加载失败及分页；浏览器兼容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支持性界面可用，提示明确，版本和未支持范围记录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AC-17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在已记录环境和负载口径运行性能测试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按7.2规定500/2000实际负载验证NFR-01—05，记录配比、时长、成功/失败、延迟，达到容量与时间目标且不超员；未达不得判通过。</w:t>
            </w:r>
          </w:p>
        </w:tc>
      </w:tr>
    </w:tbl>
    <w:p>
      <w:pPr>
        <w:pStyle w:val="Heading2"/>
      </w:pPr>
      <w:r>
        <w:t>8.2 非功能验收与证据</w:t>
      </w:r>
    </w:p>
    <w:p>
      <w:r>
        <w:t>NFR-06采用完整7天观测及维护记录；NFR-07—08核对故障前后和重启结果；NFR-09验证安全权限与秘密保护；NFR-10验证审计；NFR-11复现初始化启动重置；NFR-12记录桌面兼容结果。测试记录包含需求、用例、输入、预期、实际、判定和证据；并发及计费不得仅凭截图判断。</w:t>
      </w:r>
    </w:p>
    <w:p>
      <w:pPr>
        <w:pStyle w:val="Heading2"/>
      </w:pPr>
      <w:r>
        <w:t>8.3 需求与测试追踪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需求编号</w:t>
            </w:r>
          </w:p>
        </w:tc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对应测试用例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FR-01</w:t>
            </w:r>
          </w:p>
        </w:tc>
        <w:tc>
          <w:tcPr>
            <w:tcW w:type="dxa" w:w="4320"/>
          </w:tcPr>
          <w:p>
            <w:r>
              <w:t>TC-AUTH-001, TC-AUTH-002, TC-AUTH-007, TC-AUTH-008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FR-02</w:t>
            </w:r>
          </w:p>
        </w:tc>
        <w:tc>
          <w:tcPr>
            <w:tcW w:type="dxa" w:w="4320"/>
          </w:tcPr>
          <w:p>
            <w:r>
              <w:t>TC-AUTH-001, TC-AUTH-008, TC-SEC-001, TC-UI-001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FR-03</w:t>
            </w:r>
          </w:p>
        </w:tc>
        <w:tc>
          <w:tcPr>
            <w:tcW w:type="dxa" w:w="4320"/>
          </w:tcPr>
          <w:p>
            <w:r>
              <w:t>TC-AUTH-003, TC-SEC-008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FR-04</w:t>
            </w:r>
          </w:p>
        </w:tc>
        <w:tc>
          <w:tcPr>
            <w:tcW w:type="dxa" w:w="4320"/>
          </w:tcPr>
          <w:p>
            <w:r>
              <w:t>TC-CAT-001, TC-CAT-002, TC-API-003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FR-05</w:t>
            </w:r>
          </w:p>
        </w:tc>
        <w:tc>
          <w:tcPr>
            <w:tcW w:type="dxa" w:w="4320"/>
          </w:tcPr>
          <w:p>
            <w:r>
              <w:t>TC-REG-001, TC-REG-002, TC-REG-004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FR-06</w:t>
            </w:r>
          </w:p>
        </w:tc>
        <w:tc>
          <w:tcPr>
            <w:tcW w:type="dxa" w:w="4320"/>
          </w:tcPr>
          <w:p>
            <w:r>
              <w:t>TC-REG-001, TC-REG-002, TC-REG-013, TC-UI-002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FR-07</w:t>
            </w:r>
          </w:p>
        </w:tc>
        <w:tc>
          <w:tcPr>
            <w:tcW w:type="dxa" w:w="4320"/>
          </w:tcPr>
          <w:p>
            <w:r>
              <w:t>TC-REG-003, TC-REG-005, TC-REG-006, TC-REG-007, TC-REG-008, TC-REG-009, TC-REG-010, TC-REG-015, TC-REG-016, TC-CON-001, TC-DB-007, TC-DB-008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FR-08</w:t>
            </w:r>
          </w:p>
        </w:tc>
        <w:tc>
          <w:tcPr>
            <w:tcW w:type="dxa" w:w="4320"/>
          </w:tcPr>
          <w:p>
            <w:r>
              <w:t>TC-REG-011, TC-REG-014, TC-REG-015, TC-CON-002, TC-CON-003, TC-DB-007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FR-09</w:t>
            </w:r>
          </w:p>
        </w:tc>
        <w:tc>
          <w:tcPr>
            <w:tcW w:type="dxa" w:w="4320"/>
          </w:tcPr>
          <w:p>
            <w:r>
              <w:t>TC-REG-012, TC-UI-004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FR-10</w:t>
            </w:r>
          </w:p>
        </w:tc>
        <w:tc>
          <w:tcPr>
            <w:tcW w:type="dxa" w:w="4320"/>
          </w:tcPr>
          <w:p>
            <w:r>
              <w:t>TC-REG-001, TC-REG-003, TC-REG-011, TC-REG-012, TC-REG-013, TC-UI-002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FR-11</w:t>
            </w:r>
          </w:p>
        </w:tc>
        <w:tc>
          <w:tcPr>
            <w:tcW w:type="dxa" w:w="4320"/>
          </w:tcPr>
          <w:p>
            <w:r>
              <w:t>TC-TEA-001, TC-TEA-002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FR-12</w:t>
            </w:r>
          </w:p>
        </w:tc>
        <w:tc>
          <w:tcPr>
            <w:tcW w:type="dxa" w:w="4320"/>
          </w:tcPr>
          <w:p>
            <w:r>
              <w:t>TC-TEA-001, TC-TEA-002, TC-TEA-003, TC-TEA-004, TC-TEA-005, TC-TEA-006, TC-CON-004, TC-CON-005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FR-13</w:t>
            </w:r>
          </w:p>
        </w:tc>
        <w:tc>
          <w:tcPr>
            <w:tcW w:type="dxa" w:w="4320"/>
          </w:tcPr>
          <w:p>
            <w:r>
              <w:t>TC-GRADE-001, TC-GRADE-008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FR-14</w:t>
            </w:r>
          </w:p>
        </w:tc>
        <w:tc>
          <w:tcPr>
            <w:tcW w:type="dxa" w:w="4320"/>
          </w:tcPr>
          <w:p>
            <w:r>
              <w:t>TC-GRADE-001, TC-GRADE-002, TC-GRADE-003, TC-GRADE-004, TC-GRADE-005, TC-GRADE-007, TC-GRADE-008, TC-UI-007, TC-API-004, TC-DB-009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FR-15</w:t>
            </w:r>
          </w:p>
        </w:tc>
        <w:tc>
          <w:tcPr>
            <w:tcW w:type="dxa" w:w="4320"/>
          </w:tcPr>
          <w:p>
            <w:r>
              <w:t>TC-GRADE-006, TC-GRADE-008, TC-PRIV-001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FR-16</w:t>
            </w:r>
          </w:p>
        </w:tc>
        <w:tc>
          <w:tcPr>
            <w:tcW w:type="dxa" w:w="4320"/>
          </w:tcPr>
          <w:p>
            <w:r>
              <w:t>TC-PEOPLE-001, TC-PEOPLE-002, TC-PEOPLE-007, TC-PEOPLE-008, TC-PEOPLE-009, TC-PEOPLE-010, TC-PEOPLE-011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FR-17</w:t>
            </w:r>
          </w:p>
        </w:tc>
        <w:tc>
          <w:tcPr>
            <w:tcW w:type="dxa" w:w="4320"/>
          </w:tcPr>
          <w:p>
            <w:r>
              <w:t>TC-PEOPLE-003, TC-PEOPLE-004, TC-PEOPLE-006, TC-PEOPLE-012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FR-18</w:t>
            </w:r>
          </w:p>
        </w:tc>
        <w:tc>
          <w:tcPr>
            <w:tcW w:type="dxa" w:w="4320"/>
          </w:tcPr>
          <w:p>
            <w:r>
              <w:t>TC-PEOPLE-001, TC-PEOPLE-002, TC-PEOPLE-007, TC-PEOPLE-008, TC-PEOPLE-009, TC-PEOPLE-010, TC-PEOPLE-011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FR-19</w:t>
            </w:r>
          </w:p>
        </w:tc>
        <w:tc>
          <w:tcPr>
            <w:tcW w:type="dxa" w:w="4320"/>
          </w:tcPr>
          <w:p>
            <w:r>
              <w:t>TC-PEOPLE-003, TC-PEOPLE-004, TC-PEOPLE-006, TC-PEOPLE-012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FR-20</w:t>
            </w:r>
          </w:p>
        </w:tc>
        <w:tc>
          <w:tcPr>
            <w:tcW w:type="dxa" w:w="4320"/>
          </w:tcPr>
          <w:p>
            <w:r>
              <w:t>TC-CLOSE-001, TC-CLOSE-002, TC-CLOSE-003, TC-CLOSE-004, TC-CLOSE-005, TC-CLOSE-006, TC-CLOSE-007, TC-CLOSE-008, TC-CLOSE-009, TC-CLOSE-010, TC-CLOSE-011, TC-CLOSE-012, TC-CON-006, TC-CON-007, TC-CON-009, TC-UI-009, TC-OPS-006, TC-PERF-008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FR-21</w:t>
            </w:r>
          </w:p>
        </w:tc>
        <w:tc>
          <w:tcPr>
            <w:tcW w:type="dxa" w:w="4320"/>
          </w:tcPr>
          <w:p>
            <w:r>
              <w:t>TC-CAT-003, TC-CAT-004, TC-CAT-005, TC-DB-006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FR-22</w:t>
            </w:r>
          </w:p>
        </w:tc>
        <w:tc>
          <w:tcPr>
            <w:tcW w:type="dxa" w:w="4320"/>
          </w:tcPr>
          <w:p>
            <w:r>
              <w:t>TC-BILL-001, TC-BILL-002, TC-BILL-003, TC-BILL-004, TC-BILL-005, TC-BILL-006, TC-BILL-007, TC-BILL-008, TC-BILL-009, TC-BILL-010, TC-BILL-011, TC-BILL-012, TC-PERF-009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FR-23</w:t>
            </w:r>
          </w:p>
        </w:tc>
        <w:tc>
          <w:tcPr>
            <w:tcW w:type="dxa" w:w="4320"/>
          </w:tcPr>
          <w:p>
            <w:r>
              <w:t>TC-CLOSE-001, TC-CLOSE-009, TC-BILL-001, TC-BILL-004, TC-BILL-009, TC-UI-005, TC-UI-009, TC-API-005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FR-24</w:t>
            </w:r>
          </w:p>
        </w:tc>
        <w:tc>
          <w:tcPr>
            <w:tcW w:type="dxa" w:w="4320"/>
          </w:tcPr>
          <w:p>
            <w:r>
              <w:t>TC-CAT-002, TC-PEOPLE-008, TC-UI-006, TC-UI-008, TC-API-003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FR-25</w:t>
            </w:r>
          </w:p>
        </w:tc>
        <w:tc>
          <w:tcPr>
            <w:tcW w:type="dxa" w:w="4320"/>
          </w:tcPr>
          <w:p>
            <w:r>
              <w:t>TC-CAT-006, TC-REG-010, TC-UI-003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BR-01</w:t>
            </w:r>
          </w:p>
        </w:tc>
        <w:tc>
          <w:tcPr>
            <w:tcW w:type="dxa" w:w="4320"/>
          </w:tcPr>
          <w:p>
            <w:r>
              <w:t>TC-REG-002, TC-REG-003, TC-REG-004, TC-REG-011, TC-CLOSE-006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BR-02</w:t>
            </w:r>
          </w:p>
        </w:tc>
        <w:tc>
          <w:tcPr>
            <w:tcW w:type="dxa" w:w="4320"/>
          </w:tcPr>
          <w:p>
            <w:r>
              <w:t>TC-REG-010, TC-CLOSE-003, TC-CLOSE-012, TC-CON-001, TC-DB-002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BR-03</w:t>
            </w:r>
          </w:p>
        </w:tc>
        <w:tc>
          <w:tcPr>
            <w:tcW w:type="dxa" w:w="4320"/>
          </w:tcPr>
          <w:p>
            <w:r>
              <w:t>TC-REG-006, TC-REG-007, TC-CLOSE-005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BR-04</w:t>
            </w:r>
          </w:p>
        </w:tc>
        <w:tc>
          <w:tcPr>
            <w:tcW w:type="dxa" w:w="4320"/>
          </w:tcPr>
          <w:p>
            <w:r>
              <w:t>TC-REG-008, TC-REG-009, TC-TEA-003, TC-CON-005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BR-05</w:t>
            </w:r>
          </w:p>
        </w:tc>
        <w:tc>
          <w:tcPr>
            <w:tcW w:type="dxa" w:w="4320"/>
          </w:tcPr>
          <w:p>
            <w:r>
              <w:t>TC-REG-014, TC-TEA-005, TC-CON-007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BR-06</w:t>
            </w:r>
          </w:p>
        </w:tc>
        <w:tc>
          <w:tcPr>
            <w:tcW w:type="dxa" w:w="4320"/>
          </w:tcPr>
          <w:p>
            <w:r>
              <w:t>TC-REG-001, TC-REG-013, TC-UI-002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BR-07</w:t>
            </w:r>
          </w:p>
        </w:tc>
        <w:tc>
          <w:tcPr>
            <w:tcW w:type="dxa" w:w="4320"/>
          </w:tcPr>
          <w:p>
            <w:r>
              <w:t>TC-CAT-006, TC-REG-010, TC-CON-001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BR-08</w:t>
            </w:r>
          </w:p>
        </w:tc>
        <w:tc>
          <w:tcPr>
            <w:tcW w:type="dxa" w:w="4320"/>
          </w:tcPr>
          <w:p>
            <w:r>
              <w:t>TC-CLOSE-002, TC-CLOSE-003, TC-CLOSE-012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BR-09</w:t>
            </w:r>
          </w:p>
        </w:tc>
        <w:tc>
          <w:tcPr>
            <w:tcW w:type="dxa" w:w="4320"/>
          </w:tcPr>
          <w:p>
            <w:r>
              <w:t>TC-CLOSE-005, TC-CLOSE-006, TC-CLOSE-007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BR-10</w:t>
            </w:r>
          </w:p>
        </w:tc>
        <w:tc>
          <w:tcPr>
            <w:tcW w:type="dxa" w:w="4320"/>
          </w:tcPr>
          <w:p>
            <w:r>
              <w:t>TC-GRADE-001, TC-GRADE-002, TC-GRADE-003, TC-GRADE-004, TC-API-004, TC-DB-009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BR-11</w:t>
            </w:r>
          </w:p>
        </w:tc>
        <w:tc>
          <w:tcPr>
            <w:tcW w:type="dxa" w:w="4320"/>
          </w:tcPr>
          <w:p>
            <w:r>
              <w:t>TC-CAT-003, TC-CAT-005, TC-TEA-001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BR-12</w:t>
            </w:r>
          </w:p>
        </w:tc>
        <w:tc>
          <w:tcPr>
            <w:tcW w:type="dxa" w:w="4320"/>
          </w:tcPr>
          <w:p>
            <w:r>
              <w:t>TC-REG-005, TC-REG-012, TC-REG-016, TC-DB-001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BR-13</w:t>
            </w:r>
          </w:p>
        </w:tc>
        <w:tc>
          <w:tcPr>
            <w:tcW w:type="dxa" w:w="4320"/>
          </w:tcPr>
          <w:p>
            <w:r>
              <w:t>TC-REG-001, TC-REG-003, TC-REG-005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BR-14</w:t>
            </w:r>
          </w:p>
        </w:tc>
        <w:tc>
          <w:tcPr>
            <w:tcW w:type="dxa" w:w="4320"/>
          </w:tcPr>
          <w:p>
            <w:r>
              <w:t>TC-REG-012, TC-REG-016, TC-CON-001, TC-CON-003, TC-DB-008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BR-15</w:t>
            </w:r>
          </w:p>
        </w:tc>
        <w:tc>
          <w:tcPr>
            <w:tcW w:type="dxa" w:w="4320"/>
          </w:tcPr>
          <w:p>
            <w:r>
              <w:t>TC-CLOSE-004, TC-CLOSE-005, TC-CLOSE-006, TC-CLOSE-012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BR-16</w:t>
            </w:r>
          </w:p>
        </w:tc>
        <w:tc>
          <w:tcPr>
            <w:tcW w:type="dxa" w:w="4320"/>
          </w:tcPr>
          <w:p>
            <w:r>
              <w:t>TC-CLOSE-009, TC-BILL-003, TC-BILL-007, TC-BILL-011, TC-CON-009, TC-DB-005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SEC-01</w:t>
            </w:r>
          </w:p>
        </w:tc>
        <w:tc>
          <w:tcPr>
            <w:tcW w:type="dxa" w:w="4320"/>
          </w:tcPr>
          <w:p>
            <w:r>
              <w:t>TC-GRADE-008, TC-SEC-001, TC-PRIV-001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SEC-02</w:t>
            </w:r>
          </w:p>
        </w:tc>
        <w:tc>
          <w:tcPr>
            <w:tcW w:type="dxa" w:w="4320"/>
          </w:tcPr>
          <w:p>
            <w:r>
              <w:t>TC-SEC-001, TC-SEC-002, TC-SEC-006, TC-PRIV-004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SEC-03</w:t>
            </w:r>
          </w:p>
        </w:tc>
        <w:tc>
          <w:tcPr>
            <w:tcW w:type="dxa" w:w="4320"/>
          </w:tcPr>
          <w:p>
            <w:r>
              <w:t>TC-AUTH-003, TC-AUTH-006, TC-AUTH-008, TC-PEOPLE-013, TC-SEC-008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DATA-01</w:t>
            </w:r>
          </w:p>
        </w:tc>
        <w:tc>
          <w:tcPr>
            <w:tcW w:type="dxa" w:w="4320"/>
          </w:tcPr>
          <w:p>
            <w:r>
              <w:t>TC-REG-016, TC-GRADE-005, TC-PEOPLE-001, TC-DB-001, TC-DB-004, TC-DB-005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DATA-02</w:t>
            </w:r>
          </w:p>
        </w:tc>
        <w:tc>
          <w:tcPr>
            <w:tcW w:type="dxa" w:w="4320"/>
          </w:tcPr>
          <w:p>
            <w:r>
              <w:t>TC-REG-001, TC-REG-013, TC-CLOSE-012, TC-DB-010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DATA-03</w:t>
            </w:r>
          </w:p>
        </w:tc>
        <w:tc>
          <w:tcPr>
            <w:tcW w:type="dxa" w:w="4320"/>
          </w:tcPr>
          <w:p>
            <w:r>
              <w:t>TC-PEOPLE-003, TC-PEOPLE-004, TC-PEOPLE-012, TC-BILL-012, TC-DB-004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DATA-04</w:t>
            </w:r>
          </w:p>
        </w:tc>
        <w:tc>
          <w:tcPr>
            <w:tcW w:type="dxa" w:w="4320"/>
          </w:tcPr>
          <w:p>
            <w:r>
              <w:t>TC-PEOPLE-010, TC-OPS-008, TC-PRIV-001, TC-PRIV-003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DATA-05</w:t>
            </w:r>
          </w:p>
        </w:tc>
        <w:tc>
          <w:tcPr>
            <w:tcW w:type="dxa" w:w="4320"/>
          </w:tcPr>
          <w:p>
            <w:r>
              <w:t>TC-GRADE-001, TC-GRADE-006, TC-GRADE-007, TC-OPS-001, TC-DB-006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NFR-01</w:t>
            </w:r>
          </w:p>
        </w:tc>
        <w:tc>
          <w:tcPr>
            <w:tcW w:type="dxa" w:w="4320"/>
          </w:tcPr>
          <w:p>
            <w:r>
              <w:t>TC-PERF-001, TC-PERF-002, TC-PERF-003, TC-PERF-004, TC-PERF-005, TC-PERF-006, TC-PERF-007, TC-PERF-008, TC-PERF-009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NFR-02</w:t>
            </w:r>
          </w:p>
        </w:tc>
        <w:tc>
          <w:tcPr>
            <w:tcW w:type="dxa" w:w="4320"/>
          </w:tcPr>
          <w:p>
            <w:r>
              <w:t>TC-PERF-001, TC-PERF-002, TC-PERF-003, TC-PERF-004, TC-PERF-005, TC-PERF-006, TC-PERF-007, TC-PERF-008, TC-PERF-009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NFR-03</w:t>
            </w:r>
          </w:p>
        </w:tc>
        <w:tc>
          <w:tcPr>
            <w:tcW w:type="dxa" w:w="4320"/>
          </w:tcPr>
          <w:p>
            <w:r>
              <w:t>TC-PERF-001, TC-PERF-002, TC-PERF-003, TC-PERF-004, TC-PERF-005, TC-PERF-006, TC-PERF-007, TC-PERF-008, TC-PERF-009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NFR-04</w:t>
            </w:r>
          </w:p>
        </w:tc>
        <w:tc>
          <w:tcPr>
            <w:tcW w:type="dxa" w:w="4320"/>
          </w:tcPr>
          <w:p>
            <w:r>
              <w:t>TC-PERF-001, TC-PERF-002, TC-PERF-003, TC-PERF-004, TC-PERF-005, TC-PERF-006, TC-PERF-007, TC-PERF-008, TC-PERF-009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NFR-05</w:t>
            </w:r>
          </w:p>
        </w:tc>
        <w:tc>
          <w:tcPr>
            <w:tcW w:type="dxa" w:w="4320"/>
          </w:tcPr>
          <w:p>
            <w:r>
              <w:t>TC-CON-001, TC-CON-002, TC-CON-003, TC-CON-004, TC-CON-005, TC-CON-006, TC-CON-007, TC-CON-008, TC-CON-009, TC-CON-010, TC-PERF-001, TC-PERF-002, TC-PERF-003, TC-PERF-004, TC-PERF-005, TC-PERF-006, TC-PERF-007, TC-PERF-008, TC-PERF-009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NFR-06</w:t>
            </w:r>
          </w:p>
        </w:tc>
        <w:tc>
          <w:tcPr>
            <w:tcW w:type="dxa" w:w="4320"/>
          </w:tcPr>
          <w:p>
            <w:r>
              <w:t>TC-AVAIL-001, TC-AVAIL-002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NFR-07</w:t>
            </w:r>
          </w:p>
        </w:tc>
        <w:tc>
          <w:tcPr>
            <w:tcW w:type="dxa" w:w="4320"/>
          </w:tcPr>
          <w:p>
            <w:r>
              <w:t>TC-CON-001, TC-CON-002, TC-CON-003, TC-CON-004, TC-CON-005, TC-CON-006, TC-CON-007, TC-CON-008, TC-CON-009, TC-CON-010, TC-OPS-001, TC-OPS-002, TC-OPS-003, TC-OPS-004, TC-OPS-005, TC-OPS-006, TC-OPS-007, TC-OPS-008, TC-OPS-009, TC-DB-001, TC-DB-002, TC-DB-003, TC-DB-004, TC-DB-005, TC-DB-006, TC-DB-007, TC-DB-008, TC-DB-009, TC-DB-010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NFR-08</w:t>
            </w:r>
          </w:p>
        </w:tc>
        <w:tc>
          <w:tcPr>
            <w:tcW w:type="dxa" w:w="4320"/>
          </w:tcPr>
          <w:p>
            <w:r>
              <w:t>TC-CON-001, TC-CON-002, TC-CON-003, TC-CON-004, TC-CON-005, TC-CON-006, TC-CON-007, TC-CON-008, TC-CON-009, TC-CON-010, TC-OPS-001, TC-OPS-002, TC-OPS-003, TC-OPS-004, TC-OPS-005, TC-OPS-006, TC-OPS-007, TC-OPS-008, TC-OPS-009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NFR-09</w:t>
            </w:r>
          </w:p>
        </w:tc>
        <w:tc>
          <w:tcPr>
            <w:tcW w:type="dxa" w:w="4320"/>
          </w:tcPr>
          <w:p>
            <w:r>
              <w:t>TC-SEC-001, TC-SEC-002, TC-SEC-003, TC-SEC-004, TC-SEC-005, TC-SEC-006, TC-SEC-007, TC-SEC-008, TC-API-001, TC-API-002, TC-API-003, TC-API-004, TC-API-005, TC-API-006, TC-API-007, TC-API-008, TC-PRIV-001, TC-PRIV-002, TC-PRIV-003, TC-PRIV-004, TC-PRIV-005, TC-CI-001, TC-CI-002, TC-CI-003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NFR-10</w:t>
            </w:r>
          </w:p>
        </w:tc>
        <w:tc>
          <w:tcPr>
            <w:tcW w:type="dxa" w:w="4320"/>
          </w:tcPr>
          <w:p>
            <w:r>
              <w:t>TC-SEC-001, TC-SEC-002, TC-SEC-003, TC-SEC-004, TC-SEC-005, TC-SEC-006, TC-SEC-007, TC-SEC-008, TC-OPS-001, TC-OPS-002, TC-OPS-003, TC-OPS-004, TC-OPS-005, TC-OPS-006, TC-OPS-007, TC-OPS-008, TC-OPS-009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NFR-11</w:t>
            </w:r>
          </w:p>
        </w:tc>
        <w:tc>
          <w:tcPr>
            <w:tcW w:type="dxa" w:w="4320"/>
          </w:tcPr>
          <w:p>
            <w:r>
              <w:t>TC-OPS-001, TC-OPS-002, TC-OPS-003, TC-OPS-004, TC-OPS-005, TC-OPS-006, TC-OPS-007, TC-OPS-008, TC-OPS-009, TC-API-001, TC-API-002, TC-API-003, TC-API-004, TC-API-005, TC-API-006, TC-API-007, TC-API-008, TC-CI-001, TC-CI-002, TC-CI-003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NFR-12</w:t>
            </w:r>
          </w:p>
        </w:tc>
        <w:tc>
          <w:tcPr>
            <w:tcW w:type="dxa" w:w="4320"/>
          </w:tcPr>
          <w:p>
            <w:r>
              <w:t>TC-UI-001, TC-UI-002, TC-UI-003, TC-UI-004, TC-UI-005, TC-UI-006, TC-UI-007, TC-UI-008, TC-UI-009, TC-COMP-001, TC-COMP-002, TC-COMP-003, TC-COMP-004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AC-01</w:t>
            </w:r>
          </w:p>
        </w:tc>
        <w:tc>
          <w:tcPr>
            <w:tcW w:type="dxa" w:w="4320"/>
          </w:tcPr>
          <w:p>
            <w:r>
              <w:t>TC-AUTH-001, TC-AUTH-002, TC-AUTH-003, TC-AUTH-007, TC-AUTH-008, TC-UI-001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AC-02</w:t>
            </w:r>
          </w:p>
        </w:tc>
        <w:tc>
          <w:tcPr>
            <w:tcW w:type="dxa" w:w="4320"/>
          </w:tcPr>
          <w:p>
            <w:r>
              <w:t>TC-AUTH-001, TC-AUTH-008, TC-SEC-001, TC-SEC-002, TC-SEC-003, TC-SEC-004, TC-SEC-005, TC-SEC-006, TC-SEC-007, TC-SEC-008, TC-UI-001, TC-PRIV-001, TC-PRIV-002, TC-PRIV-003, TC-PRIV-004, TC-PRIV-005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AC-03</w:t>
            </w:r>
          </w:p>
        </w:tc>
        <w:tc>
          <w:tcPr>
            <w:tcW w:type="dxa" w:w="4320"/>
          </w:tcPr>
          <w:p>
            <w:r>
              <w:t>TC-CAT-001, TC-CAT-002, TC-CAT-003, TC-CAT-004, TC-CAT-005, TC-API-003, TC-DB-006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AC-04</w:t>
            </w:r>
          </w:p>
        </w:tc>
        <w:tc>
          <w:tcPr>
            <w:tcW w:type="dxa" w:w="4320"/>
          </w:tcPr>
          <w:p>
            <w:r>
              <w:t>TC-REG-001, TC-REG-002, TC-REG-003, TC-REG-004, TC-REG-011, TC-REG-012, TC-REG-013, TC-UI-002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AC-05</w:t>
            </w:r>
          </w:p>
        </w:tc>
        <w:tc>
          <w:tcPr>
            <w:tcW w:type="dxa" w:w="4320"/>
          </w:tcPr>
          <w:p>
            <w:r>
              <w:t>TC-REG-003, TC-REG-005, TC-REG-006, TC-REG-007, TC-REG-008, TC-REG-009, TC-REG-010, TC-REG-015, TC-REG-016, TC-DB-007, TC-DB-008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AC-06</w:t>
            </w:r>
          </w:p>
        </w:tc>
        <w:tc>
          <w:tcPr>
            <w:tcW w:type="dxa" w:w="4320"/>
          </w:tcPr>
          <w:p>
            <w:r>
              <w:t>TC-CAT-006, TC-REG-003, TC-REG-005, TC-REG-006, TC-REG-007, TC-REG-008, TC-REG-009, TC-REG-010, TC-REG-015, TC-REG-016, TC-CON-001, TC-CON-002, TC-CON-003, TC-CON-004, TC-CON-005, TC-CON-006, TC-CON-007, TC-CON-008, TC-CON-009, TC-CON-010, TC-UI-003, TC-DB-007, TC-DB-008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AC-07</w:t>
            </w:r>
          </w:p>
        </w:tc>
        <w:tc>
          <w:tcPr>
            <w:tcW w:type="dxa" w:w="4320"/>
          </w:tcPr>
          <w:p>
            <w:r>
              <w:t>TC-REG-001, TC-REG-003, TC-REG-011, TC-REG-012, TC-REG-013, TC-REG-014, TC-REG-015, TC-UI-002, TC-UI-004, TC-DB-007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AC-08</w:t>
            </w:r>
          </w:p>
        </w:tc>
        <w:tc>
          <w:tcPr>
            <w:tcW w:type="dxa" w:w="4320"/>
          </w:tcPr>
          <w:p>
            <w:r>
              <w:t>TC-TEA-001, TC-TEA-002, TC-TEA-003, TC-TEA-004, TC-TEA-005, TC-TEA-006, TC-CON-001, TC-CON-002, TC-CON-003, TC-CON-004, TC-CON-005, TC-CON-006, TC-CON-007, TC-CON-008, TC-CON-009, TC-CON-010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AC-09</w:t>
            </w:r>
          </w:p>
        </w:tc>
        <w:tc>
          <w:tcPr>
            <w:tcW w:type="dxa" w:w="4320"/>
          </w:tcPr>
          <w:p>
            <w:r>
              <w:t>TC-GRADE-001, TC-GRADE-002, TC-GRADE-003, TC-GRADE-004, TC-GRADE-005, TC-GRADE-007, TC-GRADE-008, TC-UI-007, TC-API-004, TC-DB-009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AC-10</w:t>
            </w:r>
          </w:p>
        </w:tc>
        <w:tc>
          <w:tcPr>
            <w:tcW w:type="dxa" w:w="4320"/>
          </w:tcPr>
          <w:p>
            <w:r>
              <w:t>TC-GRADE-006, TC-GRADE-008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AC-11</w:t>
            </w:r>
          </w:p>
        </w:tc>
        <w:tc>
          <w:tcPr>
            <w:tcW w:type="dxa" w:w="4320"/>
          </w:tcPr>
          <w:p>
            <w:r>
              <w:t>TC-PEOPLE-001, TC-PEOPLE-002, TC-PEOPLE-003, TC-PEOPLE-004, TC-PEOPLE-006, TC-PEOPLE-007, TC-PEOPLE-008, TC-PEOPLE-009, TC-PEOPLE-010, TC-PEOPLE-011, TC-PEOPLE-012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AC-12</w:t>
            </w:r>
          </w:p>
        </w:tc>
        <w:tc>
          <w:tcPr>
            <w:tcW w:type="dxa" w:w="4320"/>
          </w:tcPr>
          <w:p>
            <w:r>
              <w:t>TC-CLOSE-001, TC-CLOSE-002, TC-CLOSE-003, TC-CLOSE-004, TC-CLOSE-005, TC-CLOSE-006, TC-CLOSE-007, TC-CLOSE-008, TC-CLOSE-009, TC-CLOSE-010, TC-CLOSE-011, TC-CLOSE-012, TC-UI-009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AC-13</w:t>
            </w:r>
          </w:p>
        </w:tc>
        <w:tc>
          <w:tcPr>
            <w:tcW w:type="dxa" w:w="4320"/>
          </w:tcPr>
          <w:p>
            <w:r>
              <w:t>TC-CLOSE-001, TC-CLOSE-002, TC-CLOSE-003, TC-CLOSE-004, TC-CLOSE-005, TC-CLOSE-006, TC-CLOSE-007, TC-CLOSE-008, TC-CLOSE-009, TC-CLOSE-010, TC-CLOSE-011, TC-CLOSE-012, TC-UI-009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AC-14</w:t>
            </w:r>
          </w:p>
        </w:tc>
        <w:tc>
          <w:tcPr>
            <w:tcW w:type="dxa" w:w="4320"/>
          </w:tcPr>
          <w:p>
            <w:r>
              <w:t>TC-BILL-001, TC-BILL-002, TC-BILL-003, TC-BILL-004, TC-BILL-005, TC-BILL-006, TC-BILL-007, TC-BILL-008, TC-BILL-009, TC-BILL-010, TC-BILL-011, TC-BILL-012, TC-UI-005, TC-UI-009, TC-OPS-001, TC-OPS-002, TC-OPS-003, TC-OPS-004, TC-OPS-005, TC-OPS-006, TC-OPS-007, TC-OPS-008, TC-OPS-009, TC-API-005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AC-15</w:t>
            </w:r>
          </w:p>
        </w:tc>
        <w:tc>
          <w:tcPr>
            <w:tcW w:type="dxa" w:w="4320"/>
          </w:tcPr>
          <w:p>
            <w:r>
              <w:t>TC-CLOSE-001, TC-CLOSE-002, TC-CLOSE-003, TC-CLOSE-004, TC-CLOSE-005, TC-CLOSE-006, TC-CLOSE-007, TC-CLOSE-008, TC-CLOSE-009, TC-CLOSE-010, TC-CLOSE-011, TC-CLOSE-012, TC-CON-001, TC-CON-002, TC-CON-003, TC-CON-004, TC-CON-005, TC-CON-006, TC-CON-007, TC-CON-008, TC-CON-009, TC-CON-010, TC-UI-005, TC-UI-009, TC-OPS-001, TC-OPS-002, TC-OPS-003, TC-OPS-004, TC-OPS-005, TC-OPS-006, TC-OPS-007, TC-OPS-008, TC-OPS-009, TC-API-005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AC-16</w:t>
            </w:r>
          </w:p>
        </w:tc>
        <w:tc>
          <w:tcPr>
            <w:tcW w:type="dxa" w:w="4320"/>
          </w:tcPr>
          <w:p>
            <w:r>
              <w:t>TC-CAT-002, TC-PEOPLE-008, TC-UI-006, TC-UI-008, TC-API-003, TC-COMP-001, TC-COMP-002, TC-COMP-003, TC-COMP-004</w:t>
            </w:r>
          </w:p>
        </w:tc>
      </w:tr>
      <w:tr>
        <w:tc>
          <w:tcPr>
            <w:tcW w:type="dxa" w:w="4320"/>
          </w:tcPr>
          <w:p>
            <w:pPr>
              <w:spacing w:after="60"/>
            </w:pPr>
            <w:r>
              <w:rPr>
                <w:sz w:val="18"/>
              </w:rPr>
              <w:t>AC-17</w:t>
            </w:r>
          </w:p>
        </w:tc>
        <w:tc>
          <w:tcPr>
            <w:tcW w:type="dxa" w:w="4320"/>
          </w:tcPr>
          <w:p>
            <w:r>
              <w:t>TC-PERF-001, TC-PERF-002, TC-PERF-003, TC-PERF-004, TC-PERF-005, TC-PERF-006, TC-PERF-007, TC-PERF-008, TC-PERF-009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304" w:right="130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高校选课与成绩管理系统 | 软件需求规格说明书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软件需求规格说明书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