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高校选课与成绩管理系统</w:t>
      </w:r>
    </w:p>
    <w:p>
      <w:pPr>
        <w:pStyle w:val="Title"/>
      </w:pPr>
      <w:r>
        <w:t>软件配置管理说明</w:t>
      </w:r>
    </w:p>
    <w:p>
      <w:r>
        <w:t>版本：V2.0    日期：2026年10月10日</w:t>
      </w:r>
    </w:p>
    <w:p>
      <w:pPr>
        <w:pStyle w:val="Heading1"/>
      </w:pPr>
      <w:r>
        <w:t>1 配置基线</w:t>
      </w:r>
    </w:p>
    <w:p>
      <w:r>
        <w:t>需求、设计和测试计划采用V2.0；用例及实际执行台账采用V1.2；源码以Git提交6e2e6d0、标签v0.2.0-rc.1为来源。清单记录来源与SHA-256，交付目录不复制Git历史。</w:t>
      </w:r>
    </w:p>
    <w:p>
      <w:pPr>
        <w:pStyle w:val="Heading1"/>
      </w:pPr>
      <w:r>
        <w:t>2 配置项与变更</w:t>
      </w:r>
    </w:p>
    <w:p>
      <w:r>
        <w:t>配置项包括正式文档、源码、数据库迁移、依赖锁文件、接口契约和测试证据。变更应识别影响需求、设计及测试范围并同步验证。依赖、运行数据、秘密、日志及备份不纳入提交副本。</w:t>
      </w:r>
    </w:p>
    <w:p>
      <w:pPr>
        <w:pStyle w:val="Heading1"/>
      </w:pPr>
      <w:r>
        <w:t>3 运行与恢复</w:t>
      </w:r>
    </w:p>
    <w:p>
      <w:r>
        <w:t>部署或恢复前备份业务数据，停止本项目进程；在隔离环境验证恢复，不覆盖运行中的程序和其他项目数据库。测试结论仅适用于原记录构建及条件，整理不改变实际测试判定。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高校选课与成绩管理系统 | 软件配置管理说明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软件配置管理说明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