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70" w:rsidRDefault="000A380E">
      <w:pPr>
        <w:jc w:val="center"/>
        <w:rPr>
          <w:rFonts w:asciiTheme="minorEastAsia" w:hAnsiTheme="minorEastAsia" w:cstheme="minorEastAsia"/>
          <w:sz w:val="44"/>
          <w:szCs w:val="44"/>
        </w:rPr>
      </w:pPr>
      <w:r>
        <w:rPr>
          <w:noProof/>
          <w:sz w:val="44"/>
        </w:rPr>
        <mc:AlternateContent>
          <mc:Choice Requires="wps">
            <w:drawing>
              <wp:anchor distT="0" distB="0" distL="114300" distR="114300" simplePos="0" relativeHeight="251659264" behindDoc="0" locked="0" layoutInCell="1" allowOverlap="1">
                <wp:simplePos x="0" y="0"/>
                <wp:positionH relativeFrom="column">
                  <wp:posOffset>-422275</wp:posOffset>
                </wp:positionH>
                <wp:positionV relativeFrom="paragraph">
                  <wp:posOffset>-1139825</wp:posOffset>
                </wp:positionV>
                <wp:extent cx="1161415" cy="493395"/>
                <wp:effectExtent l="0" t="0" r="635" b="1905"/>
                <wp:wrapNone/>
                <wp:docPr id="1" name="文本框 1"/>
                <wp:cNvGraphicFramePr/>
                <a:graphic xmlns:a="http://schemas.openxmlformats.org/drawingml/2006/main">
                  <a:graphicData uri="http://schemas.microsoft.com/office/word/2010/wordprocessingShape">
                    <wps:wsp>
                      <wps:cNvSpPr txBox="1"/>
                      <wps:spPr>
                        <a:xfrm>
                          <a:off x="117475" y="97155"/>
                          <a:ext cx="1161415" cy="493395"/>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rsidR="00BD6470" w:rsidRDefault="00BD6470">
                            <w:pPr>
                              <w:jc w:val="center"/>
                              <w:rPr>
                                <w:rFonts w:ascii="方正小标宋简体" w:eastAsia="方正小标宋简体" w:hAnsi="方正小标宋简体" w:cs="方正小标宋简体"/>
                                <w:color w:val="000000" w:themeColor="text1"/>
                                <w:sz w:val="28"/>
                                <w:szCs w:val="28"/>
                                <w14:textOutline w14:w="0" w14:cap="flat" w14:cmpd="dbl" w14:algn="ctr">
                                  <w14:solidFill>
                                    <w14:schemeClr w14:val="tx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3.25pt;margin-top:-89.75pt;width:91.45pt;height:38.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" fillcolor="white [3201]" stroked="f" strokeweight="1pt">
                <v:textbox>
                  <w:txbxContent>
                    <w:p w:rsidR="00BD6470" w:rsidRDefault="00BD6470">
                      <w:pPr>
                        <w:jc w:val="center"/>
                        <w:rPr>
                          <w:rFonts w:ascii="方正小标宋简体" w:eastAsia="方正小标宋简体" w:hAnsi="方正小标宋简体" w:cs="方正小标宋简体"/>
                          <w:color w:val="000000" w:themeColor="text1"/>
                          <w:sz w:val="28"/>
                          <w:szCs w:val="28"/>
                          <w14:textOutline w14:w="0" w14:cap="flat" w14:cmpd="dbl" w14:algn="ctr">
                            <w14:solidFill>
                              <w14:schemeClr w14:val="tx1"/>
                            </w14:solidFill>
                            <w14:prstDash w14:val="solid"/>
                            <w14:round/>
                          </w14:textOutline>
                        </w:rPr>
                      </w:pPr>
                    </w:p>
                  </w:txbxContent>
                </v:textbox>
              </v:shape>
            </w:pict>
          </mc:Fallback>
        </mc:AlternateContent>
      </w:r>
    </w:p>
    <w:p w:rsidR="00BD6470" w:rsidRDefault="00BD6470">
      <w:pPr>
        <w:rPr>
          <w:rFonts w:asciiTheme="minorEastAsia" w:hAnsiTheme="minorEastAsia" w:cstheme="minorEastAsia"/>
          <w:sz w:val="44"/>
          <w:szCs w:val="44"/>
        </w:rPr>
      </w:pPr>
    </w:p>
    <w:p w:rsidR="00BD6470" w:rsidRDefault="00E43C08">
      <w:pPr>
        <w:jc w:val="center"/>
        <w:rPr>
          <w:rFonts w:ascii="宋体" w:eastAsia="宋体" w:hAnsi="宋体" w:cs="宋体"/>
          <w:sz w:val="36"/>
          <w:szCs w:val="36"/>
          <w:shd w:val="clear" w:color="auto" w:fill="FFFFFF"/>
        </w:rPr>
      </w:pPr>
      <w:r w:rsidRPr="00E43C08">
        <w:rPr>
          <w:rFonts w:asciiTheme="minorEastAsia" w:hAnsiTheme="minorEastAsia" w:cstheme="minorEastAsia" w:hint="eastAsia"/>
          <w:sz w:val="44"/>
          <w:szCs w:val="44"/>
        </w:rPr>
        <w:t>信息技术产品国家通用语言文字使用管理规定</w:t>
      </w:r>
    </w:p>
    <w:p w:rsidR="00BD6470" w:rsidRDefault="009D76DB">
      <w:pPr>
        <w:ind w:firstLineChars="200" w:firstLine="640"/>
        <w:rPr>
          <w:rFonts w:ascii="楷体_GB2312" w:eastAsia="楷体_GB2312" w:hAnsi="楷体_GB2312" w:cs="楷体_GB2312"/>
          <w:color w:val="333333"/>
          <w:sz w:val="32"/>
          <w:szCs w:val="32"/>
          <w:shd w:val="clear" w:color="auto" w:fill="FFFFFF"/>
        </w:rPr>
      </w:pPr>
      <w:bookmarkStart w:id="0" w:name="_GoBack"/>
      <w:bookmarkEnd w:id="0"/>
      <w:r w:rsidRPr="009D76DB">
        <w:rPr>
          <w:rFonts w:ascii="楷体_GB2312" w:eastAsia="楷体_GB2312" w:hAnsi="楷体_GB2312" w:cs="楷体_GB2312" w:hint="eastAsia"/>
          <w:color w:val="333333"/>
          <w:sz w:val="32"/>
          <w:szCs w:val="32"/>
          <w:shd w:val="clear" w:color="auto" w:fill="FFFFFF"/>
        </w:rPr>
        <w:t>（2023年1月3日中华人民共和国教育部令第54号公布　自2023年3月1日起施行）</w:t>
      </w:r>
    </w:p>
    <w:p w:rsidR="00BD6470" w:rsidRDefault="00BD6470">
      <w:pPr>
        <w:rPr>
          <w:rFonts w:ascii="仿宋_GB2312" w:eastAsia="仿宋_GB2312" w:hAnsi="仿宋_GB2312" w:cs="仿宋_GB2312"/>
          <w:color w:val="333333"/>
          <w:sz w:val="32"/>
          <w:szCs w:val="32"/>
          <w:shd w:val="clear" w:color="auto" w:fill="FFFFFF"/>
        </w:rPr>
      </w:pP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黑体" w:hAnsi="仿宋_GB2312" w:cs="仿宋_GB2312" w:hint="eastAsia"/>
          <w:sz w:val="32"/>
        </w:rPr>
        <w:t>第一条</w:t>
      </w:r>
      <w:r>
        <w:rPr>
          <w:rFonts w:ascii="仿宋_GB2312" w:eastAsia="黑体" w:hAnsi="仿宋_GB2312" w:cs="仿宋_GB2312" w:hint="eastAsia"/>
          <w:sz w:val="32"/>
        </w:rPr>
        <w:t xml:space="preserve"> </w:t>
      </w:r>
      <w:r>
        <w:rPr>
          <w:rFonts w:ascii="仿宋_GB2312" w:eastAsia="仿宋_GB2312" w:hAnsi="仿宋_GB2312" w:cs="仿宋_GB2312" w:hint="eastAsia"/>
          <w:sz w:val="32"/>
        </w:rPr>
        <w:t>为规范信息技术产品国家通用语言文字使用，保障信息化条件下语言生活和谐健康发展，根据《中华人民共和国国家通用语言文字法》《中华人民共和国标准化法》《中华人民共和国产品质量法》《出版管理条例》《互联网信息服务管理办法》等法律、行政法规，制定本规定。</w:t>
      </w:r>
    </w:p>
    <w:p w:rsidR="00695131" w:rsidRDefault="00695131" w:rsidP="00695131">
      <w:pPr>
        <w:snapToGrid w:val="0"/>
        <w:spacing w:line="600" w:lineRule="exact"/>
        <w:ind w:firstLine="643"/>
        <w:rPr>
          <w:rFonts w:ascii="仿宋_GB2312" w:eastAsia="仿宋_GB2312" w:hAnsi="仿宋_GB2312" w:cs="仿宋_GB2312" w:hint="eastAsia"/>
          <w:bCs/>
          <w:sz w:val="32"/>
        </w:rPr>
      </w:pPr>
      <w:r>
        <w:rPr>
          <w:rFonts w:ascii="仿宋_GB2312" w:eastAsia="黑体" w:hAnsi="仿宋_GB2312" w:cs="仿宋_GB2312" w:hint="eastAsia"/>
          <w:sz w:val="32"/>
        </w:rPr>
        <w:t>第二条</w:t>
      </w:r>
      <w:r>
        <w:rPr>
          <w:rFonts w:ascii="仿宋_GB2312" w:eastAsia="仿宋_GB2312" w:hAnsi="仿宋_GB2312" w:cs="仿宋_GB2312" w:hint="eastAsia"/>
          <w:bCs/>
          <w:sz w:val="32"/>
        </w:rPr>
        <w:t xml:space="preserve"> 在中华人民共和国境内生产、销售、出版、发布、推广对国家通用语言文字进行信息化处理和使用国家通用语言文字进行内容编辑的信息技术产品，适用本规定。</w:t>
      </w:r>
    </w:p>
    <w:p w:rsidR="00695131" w:rsidRDefault="00695131" w:rsidP="00695131">
      <w:pPr>
        <w:snapToGrid w:val="0"/>
        <w:spacing w:line="600" w:lineRule="exact"/>
        <w:ind w:firstLine="643"/>
        <w:rPr>
          <w:rFonts w:ascii="仿宋_GB2312" w:eastAsia="仿宋_GB2312" w:hAnsi="仿宋_GB2312" w:cs="仿宋_GB2312"/>
          <w:bCs/>
          <w:sz w:val="32"/>
        </w:rPr>
      </w:pPr>
      <w:r>
        <w:rPr>
          <w:rFonts w:ascii="仿宋_GB2312" w:eastAsia="仿宋_GB2312" w:hAnsi="仿宋_GB2312" w:cs="仿宋_GB2312" w:hint="eastAsia"/>
          <w:bCs/>
          <w:sz w:val="32"/>
        </w:rPr>
        <w:t>本规定所称的信息技术产品主要有：</w:t>
      </w:r>
    </w:p>
    <w:p w:rsidR="00695131" w:rsidRDefault="00695131" w:rsidP="00695131">
      <w:pPr>
        <w:snapToGrid w:val="0"/>
        <w:spacing w:line="600" w:lineRule="exact"/>
        <w:ind w:firstLineChars="200" w:firstLine="640"/>
        <w:rPr>
          <w:rFonts w:ascii="仿宋_GB2312" w:eastAsia="仿宋_GB2312" w:hAnsi="仿宋_GB2312" w:cs="仿宋_GB2312"/>
          <w:bCs/>
          <w:sz w:val="32"/>
        </w:rPr>
      </w:pPr>
      <w:r>
        <w:rPr>
          <w:rFonts w:ascii="仿宋_GB2312" w:eastAsia="仿宋_GB2312" w:hAnsi="仿宋_GB2312" w:cs="仿宋_GB2312" w:hint="eastAsia"/>
          <w:bCs/>
          <w:sz w:val="32"/>
        </w:rPr>
        <w:t>（一）基础软件，包括字库、输入系统、操作系统、数据库系统、办公套件等；</w:t>
      </w:r>
    </w:p>
    <w:p w:rsidR="00695131" w:rsidRDefault="00695131" w:rsidP="00695131">
      <w:pPr>
        <w:snapToGrid w:val="0"/>
        <w:spacing w:line="600" w:lineRule="exact"/>
        <w:ind w:firstLineChars="200" w:firstLine="640"/>
        <w:rPr>
          <w:rFonts w:ascii="仿宋_GB2312" w:eastAsia="仿宋_GB2312" w:hAnsi="仿宋_GB2312" w:cs="仿宋_GB2312"/>
          <w:bCs/>
          <w:sz w:val="32"/>
        </w:rPr>
      </w:pPr>
      <w:r>
        <w:rPr>
          <w:rFonts w:ascii="仿宋_GB2312" w:eastAsia="仿宋_GB2312" w:hAnsi="仿宋_GB2312" w:cs="仿宋_GB2312" w:hint="eastAsia"/>
          <w:bCs/>
          <w:sz w:val="32"/>
        </w:rPr>
        <w:t>（二）语言文字智能处理软件，包括语音合成、语音转写、机器翻译、智能写作、智能校对、自动问答等功能软件；</w:t>
      </w:r>
    </w:p>
    <w:p w:rsidR="00695131" w:rsidRDefault="00695131" w:rsidP="00695131">
      <w:pPr>
        <w:snapToGrid w:val="0"/>
        <w:spacing w:line="600" w:lineRule="exact"/>
        <w:ind w:left="640"/>
        <w:rPr>
          <w:rFonts w:ascii="仿宋_GB2312" w:eastAsia="仿宋_GB2312" w:hAnsi="仿宋_GB2312" w:cs="仿宋_GB2312" w:hint="eastAsia"/>
          <w:bCs/>
          <w:sz w:val="32"/>
        </w:rPr>
      </w:pPr>
      <w:r>
        <w:rPr>
          <w:rFonts w:ascii="仿宋_GB2312" w:eastAsia="仿宋_GB2312" w:hAnsi="仿宋_GB2312" w:cs="仿宋_GB2312" w:hint="eastAsia"/>
          <w:bCs/>
          <w:sz w:val="32"/>
        </w:rPr>
        <w:t>（三）数字和网络出版物。</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黑体" w:hAnsi="仿宋_GB2312" w:cs="仿宋_GB2312" w:hint="eastAsia"/>
          <w:sz w:val="32"/>
        </w:rPr>
        <w:lastRenderedPageBreak/>
        <w:t>第三条</w:t>
      </w:r>
      <w:r>
        <w:rPr>
          <w:rFonts w:ascii="仿宋_GB2312" w:eastAsia="黑体" w:hAnsi="仿宋_GB2312" w:cs="仿宋_GB2312" w:hint="eastAsia"/>
          <w:sz w:val="32"/>
        </w:rPr>
        <w:t xml:space="preserve"> </w:t>
      </w:r>
      <w:r>
        <w:rPr>
          <w:rFonts w:ascii="仿宋_GB2312" w:eastAsia="仿宋_GB2312" w:hAnsi="仿宋_GB2312" w:cs="仿宋_GB2312" w:hint="eastAsia"/>
          <w:sz w:val="32"/>
        </w:rPr>
        <w:t>信息技术产品使用国家通用语言文字，应当有利于维护国家主权和民族尊严、有利于铸牢中华民族共同体意识，应当弘扬社会主义核心价值观、遵守公序良俗。</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仿宋_GB2312" w:hAnsi="仿宋_GB2312" w:cs="仿宋_GB2312" w:hint="eastAsia"/>
          <w:sz w:val="32"/>
        </w:rPr>
        <w:t>信息技术产品使用国家通用语言文字，应当符合国家颁布的语言文字规范标准。</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黑体" w:hAnsi="仿宋_GB2312" w:cs="仿宋_GB2312" w:hint="eastAsia"/>
          <w:sz w:val="32"/>
        </w:rPr>
        <w:t>第四条</w:t>
      </w:r>
      <w:r>
        <w:rPr>
          <w:rFonts w:ascii="仿宋_GB2312" w:eastAsia="黑体" w:hAnsi="仿宋_GB2312" w:cs="仿宋_GB2312" w:hint="eastAsia"/>
          <w:sz w:val="32"/>
        </w:rPr>
        <w:t xml:space="preserve"> </w:t>
      </w:r>
      <w:r>
        <w:rPr>
          <w:rFonts w:ascii="仿宋_GB2312" w:eastAsia="仿宋_GB2312" w:hAnsi="仿宋_GB2312" w:cs="仿宋_GB2312" w:hint="eastAsia"/>
          <w:sz w:val="32"/>
        </w:rPr>
        <w:t>国务院语言文字工作部门负责统筹协调并会同有关主管部门对全国信息技术产品的国家通用语言文字使用进行监督管理和指导服务。</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仿宋_GB2312" w:hAnsi="仿宋_GB2312" w:cs="仿宋_GB2312" w:hint="eastAsia"/>
          <w:sz w:val="32"/>
        </w:rPr>
        <w:t>地方语言文字工作部门负责统筹协调并会同地方有关主管部门对本行政区域内信息技术产品的国家通用语言文字使用进行监督管理和指导服务。</w:t>
      </w:r>
    </w:p>
    <w:p w:rsidR="00695131" w:rsidRDefault="00695131" w:rsidP="00695131">
      <w:pPr>
        <w:snapToGrid w:val="0"/>
        <w:spacing w:line="560" w:lineRule="exact"/>
        <w:ind w:firstLine="643"/>
        <w:rPr>
          <w:rFonts w:ascii="仿宋_GB2312" w:eastAsia="仿宋_GB2312" w:hAnsi="仿宋_GB2312" w:cs="仿宋_GB2312" w:hint="eastAsia"/>
          <w:sz w:val="32"/>
        </w:rPr>
      </w:pPr>
      <w:r>
        <w:rPr>
          <w:rFonts w:ascii="仿宋_GB2312" w:eastAsia="黑体" w:hAnsi="仿宋_GB2312" w:cs="仿宋_GB2312" w:hint="eastAsia"/>
          <w:bCs/>
          <w:sz w:val="32"/>
        </w:rPr>
        <w:t>第五条</w:t>
      </w:r>
      <w:r>
        <w:rPr>
          <w:rFonts w:ascii="仿宋_GB2312" w:eastAsia="黑体" w:hAnsi="仿宋_GB2312" w:cs="仿宋_GB2312" w:hint="eastAsia"/>
          <w:bCs/>
          <w:sz w:val="32"/>
        </w:rPr>
        <w:t xml:space="preserve"> </w:t>
      </w:r>
      <w:r>
        <w:rPr>
          <w:rFonts w:ascii="仿宋_GB2312" w:eastAsia="仿宋_GB2312" w:hAnsi="仿宋_GB2312" w:cs="仿宋_GB2312" w:hint="eastAsia"/>
          <w:sz w:val="32"/>
        </w:rPr>
        <w:t>基础软件应当符合信息技术编码字符集等标准。汉字字库应当符合汉字字形规范。汉字输入系统应当依据汉语拼音方案、普通话语音、汉字笔画和部件等语言文字规范标准设计，并具备一定的规范用法提示功能。</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黑体" w:hAnsi="仿宋_GB2312" w:cs="仿宋_GB2312" w:hint="eastAsia"/>
          <w:bCs/>
          <w:sz w:val="32"/>
        </w:rPr>
        <w:t>第六条</w:t>
      </w:r>
      <w:r>
        <w:rPr>
          <w:rFonts w:ascii="仿宋_GB2312" w:eastAsia="黑体" w:hAnsi="仿宋_GB2312" w:cs="仿宋_GB2312" w:hint="eastAsia"/>
          <w:bCs/>
          <w:sz w:val="32"/>
        </w:rPr>
        <w:t xml:space="preserve"> </w:t>
      </w:r>
      <w:r>
        <w:rPr>
          <w:rFonts w:ascii="仿宋_GB2312" w:eastAsia="仿宋_GB2312" w:hAnsi="仿宋_GB2312" w:cs="仿宋_GB2312" w:hint="eastAsia"/>
          <w:sz w:val="32"/>
        </w:rPr>
        <w:t>数字和网络出版物使用国家通用语言文字，应当符合汉语拼音、普通话语音、规范汉字、现代汉语词形、标点符号和数字用法等语言文字规范标准。需要使用汉语方言、繁体字、异体字的，应当符合《中华人民共和国国家通用语言文字法》相关规定。</w:t>
      </w:r>
    </w:p>
    <w:p w:rsidR="00695131" w:rsidRDefault="00695131" w:rsidP="00695131">
      <w:pPr>
        <w:snapToGrid w:val="0"/>
        <w:spacing w:line="600" w:lineRule="exact"/>
        <w:ind w:firstLineChars="200" w:firstLine="640"/>
        <w:rPr>
          <w:rFonts w:ascii="仿宋_GB2312" w:eastAsia="仿宋_GB2312" w:hAnsi="仿宋_GB2312" w:cs="仿宋_GB2312" w:hint="eastAsia"/>
          <w:sz w:val="32"/>
        </w:rPr>
      </w:pPr>
      <w:r>
        <w:rPr>
          <w:rFonts w:ascii="仿宋_GB2312" w:eastAsia="仿宋_GB2312" w:hAnsi="仿宋_GB2312" w:cs="仿宋_GB2312" w:hint="eastAsia"/>
          <w:sz w:val="32"/>
        </w:rPr>
        <w:lastRenderedPageBreak/>
        <w:t>教材、现代汉语语文工具书类数字和网络出版物使用国家通用语言文字，还应当在语言文字的排序、检索、注音、释义、用例及相关知识阐释等方面执行本条第一款规定的语言文字规范标准。需要变通的，应当以适当方式体现相关规范标准的规定。</w:t>
      </w:r>
    </w:p>
    <w:p w:rsidR="00695131" w:rsidRDefault="00695131" w:rsidP="00695131">
      <w:pPr>
        <w:snapToGrid w:val="0"/>
        <w:spacing w:line="600" w:lineRule="exact"/>
        <w:ind w:firstLineChars="200" w:firstLine="640"/>
        <w:rPr>
          <w:rFonts w:ascii="仿宋_GB2312" w:eastAsia="仿宋_GB2312" w:hAnsi="仿宋_GB2312" w:cs="仿宋_GB2312" w:hint="eastAsia"/>
          <w:sz w:val="32"/>
        </w:rPr>
      </w:pPr>
      <w:r>
        <w:rPr>
          <w:rFonts w:ascii="仿宋_GB2312" w:eastAsia="黑体" w:hAnsi="仿宋_GB2312" w:cs="仿宋_GB2312" w:hint="eastAsia"/>
          <w:bCs/>
          <w:sz w:val="32"/>
        </w:rPr>
        <w:t>第七条</w:t>
      </w:r>
      <w:r>
        <w:rPr>
          <w:rFonts w:ascii="仿宋_GB2312" w:eastAsia="黑体" w:hAnsi="仿宋_GB2312" w:cs="仿宋_GB2312"/>
          <w:bCs/>
          <w:sz w:val="32"/>
        </w:rPr>
        <w:t xml:space="preserve"> </w:t>
      </w:r>
      <w:r>
        <w:rPr>
          <w:rFonts w:ascii="仿宋_GB2312" w:eastAsia="仿宋_GB2312" w:hAnsi="仿宋_GB2312" w:cs="仿宋_GB2312" w:hint="eastAsia"/>
          <w:sz w:val="32"/>
        </w:rPr>
        <w:t>语言文字智能处理软件</w:t>
      </w:r>
      <w:r>
        <w:rPr>
          <w:rFonts w:ascii="仿宋_GB2312" w:eastAsia="仿宋_GB2312" w:hAnsi="仿宋_GB2312" w:cs="仿宋_GB2312" w:hint="eastAsia"/>
          <w:bCs/>
          <w:sz w:val="32"/>
        </w:rPr>
        <w:t>及其系统集成产品</w:t>
      </w:r>
      <w:r>
        <w:rPr>
          <w:rFonts w:ascii="仿宋_GB2312" w:eastAsia="仿宋_GB2312" w:hAnsi="仿宋_GB2312" w:cs="仿宋_GB2312" w:hint="eastAsia"/>
          <w:sz w:val="32"/>
        </w:rPr>
        <w:t>应当遵照汉语拼音、普通话语音、规范汉字、现代汉语词形、标点符号和数字用法等语言文字规范标准和现代汉语语法规律，持续优化语言文字处理功能，不断提升输出结果的规范化水平。</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黑体" w:hAnsi="仿宋_GB2312" w:cs="仿宋_GB2312" w:hint="eastAsia"/>
          <w:sz w:val="32"/>
        </w:rPr>
        <w:t>第八条</w:t>
      </w:r>
      <w:r>
        <w:rPr>
          <w:rFonts w:ascii="仿宋_GB2312" w:eastAsia="仿宋_GB2312" w:hAnsi="仿宋_GB2312" w:cs="仿宋_GB2312" w:hint="eastAsia"/>
          <w:sz w:val="32"/>
        </w:rPr>
        <w:t xml:space="preserve"> 办公套件、智能校对软件等应当视需要为用户提供以下提示功能：</w:t>
      </w:r>
    </w:p>
    <w:p w:rsidR="00695131" w:rsidRDefault="00695131" w:rsidP="00695131">
      <w:pPr>
        <w:snapToGrid w:val="0"/>
        <w:spacing w:line="600" w:lineRule="exact"/>
        <w:ind w:firstLine="640"/>
        <w:rPr>
          <w:rFonts w:ascii="仿宋_GB2312" w:eastAsia="仿宋_GB2312" w:hAnsi="仿宋_GB2312" w:cs="仿宋_GB2312" w:hint="eastAsia"/>
          <w:sz w:val="32"/>
        </w:rPr>
      </w:pPr>
      <w:r>
        <w:rPr>
          <w:rFonts w:ascii="仿宋_GB2312" w:eastAsia="仿宋_GB2312" w:hAnsi="仿宋_GB2312" w:cs="仿宋_GB2312" w:hint="eastAsia"/>
          <w:sz w:val="32"/>
        </w:rPr>
        <w:t>（一）规范汉字文本中夹用的繁体字、异体字；</w:t>
      </w:r>
    </w:p>
    <w:p w:rsidR="00695131" w:rsidRDefault="00695131" w:rsidP="00695131">
      <w:pPr>
        <w:snapToGrid w:val="0"/>
        <w:spacing w:line="600" w:lineRule="exact"/>
        <w:ind w:firstLine="640"/>
        <w:rPr>
          <w:rFonts w:ascii="仿宋_GB2312" w:eastAsia="仿宋_GB2312" w:hAnsi="仿宋_GB2312" w:cs="仿宋_GB2312" w:hint="eastAsia"/>
          <w:sz w:val="32"/>
        </w:rPr>
      </w:pPr>
      <w:r>
        <w:rPr>
          <w:rFonts w:ascii="仿宋_GB2312" w:eastAsia="仿宋_GB2312" w:hAnsi="仿宋_GB2312" w:cs="仿宋_GB2312" w:hint="eastAsia"/>
          <w:sz w:val="32"/>
        </w:rPr>
        <w:t>（二）错别字、错符；</w:t>
      </w:r>
    </w:p>
    <w:p w:rsidR="00695131" w:rsidRDefault="00695131" w:rsidP="00695131">
      <w:pPr>
        <w:snapToGrid w:val="0"/>
        <w:spacing w:line="600" w:lineRule="exact"/>
        <w:ind w:firstLine="640"/>
        <w:rPr>
          <w:rFonts w:ascii="仿宋_GB2312" w:eastAsia="仿宋_GB2312" w:hAnsi="仿宋_GB2312" w:cs="仿宋_GB2312" w:hint="eastAsia"/>
          <w:sz w:val="32"/>
        </w:rPr>
      </w:pPr>
      <w:r>
        <w:rPr>
          <w:rFonts w:ascii="仿宋_GB2312" w:eastAsia="仿宋_GB2312" w:hAnsi="仿宋_GB2312" w:cs="仿宋_GB2312" w:hint="eastAsia"/>
          <w:sz w:val="32"/>
        </w:rPr>
        <w:t>（三）现代汉语异形词非推荐词形；</w:t>
      </w:r>
    </w:p>
    <w:p w:rsidR="00695131" w:rsidRDefault="00695131" w:rsidP="00695131">
      <w:pPr>
        <w:snapToGrid w:val="0"/>
        <w:spacing w:line="600" w:lineRule="exact"/>
        <w:ind w:firstLine="640"/>
        <w:rPr>
          <w:rFonts w:ascii="仿宋_GB2312" w:eastAsia="仿宋_GB2312" w:hAnsi="仿宋_GB2312" w:cs="仿宋_GB2312"/>
          <w:sz w:val="32"/>
        </w:rPr>
      </w:pPr>
      <w:r>
        <w:rPr>
          <w:rFonts w:ascii="仿宋_GB2312" w:eastAsia="仿宋_GB2312" w:hAnsi="仿宋_GB2312" w:cs="仿宋_GB2312" w:hint="eastAsia"/>
          <w:sz w:val="32"/>
        </w:rPr>
        <w:t>（四）其他可能影响语言文字规范使用的情况。</w:t>
      </w:r>
    </w:p>
    <w:p w:rsidR="00695131" w:rsidRDefault="00695131" w:rsidP="00695131">
      <w:pPr>
        <w:snapToGrid w:val="0"/>
        <w:spacing w:line="600" w:lineRule="exact"/>
        <w:ind w:firstLineChars="200" w:firstLine="640"/>
        <w:rPr>
          <w:rFonts w:ascii="仿宋_GB2312" w:eastAsia="仿宋_GB2312" w:hAnsi="仿宋_GB2312" w:cs="仿宋_GB2312"/>
          <w:sz w:val="32"/>
        </w:rPr>
      </w:pPr>
      <w:r>
        <w:rPr>
          <w:rFonts w:ascii="仿宋_GB2312" w:eastAsia="黑体" w:hAnsi="仿宋_GB2312" w:cs="仿宋_GB2312" w:hint="eastAsia"/>
          <w:bCs/>
          <w:sz w:val="32"/>
        </w:rPr>
        <w:t>第九条</w:t>
      </w:r>
      <w:r>
        <w:rPr>
          <w:rFonts w:ascii="仿宋_GB2312" w:eastAsia="黑体" w:hAnsi="仿宋_GB2312" w:cs="仿宋_GB2312"/>
          <w:bCs/>
          <w:sz w:val="32"/>
        </w:rPr>
        <w:t xml:space="preserve"> </w:t>
      </w:r>
      <w:r>
        <w:rPr>
          <w:rFonts w:ascii="仿宋_GB2312" w:eastAsia="仿宋_GB2312" w:hAnsi="仿宋_GB2312" w:cs="仿宋_GB2312" w:hint="eastAsia"/>
          <w:sz w:val="32"/>
        </w:rPr>
        <w:t>嵌有语音合成、语音转写、机器翻译、智能写作、自动问答等语言文字智能处理功能的互联网信息服务平台应当设置信息反馈功能，及时受理用户关于语言文字不规范情况的反馈，并根据反馈信息进一步优化功能，不断提升语言文字智能处理结果的规范化水平。</w:t>
      </w:r>
    </w:p>
    <w:p w:rsidR="00695131" w:rsidRDefault="00695131" w:rsidP="00695131">
      <w:pPr>
        <w:snapToGrid w:val="0"/>
        <w:spacing w:line="600" w:lineRule="exact"/>
        <w:ind w:firstLine="643"/>
        <w:rPr>
          <w:rFonts w:hint="eastAsia"/>
          <w:color w:val="FF0000"/>
        </w:rPr>
      </w:pPr>
      <w:r>
        <w:rPr>
          <w:rFonts w:ascii="仿宋_GB2312" w:eastAsia="黑体" w:hAnsi="仿宋_GB2312" w:cs="仿宋_GB2312" w:hint="eastAsia"/>
          <w:sz w:val="32"/>
        </w:rPr>
        <w:t>第十条</w:t>
      </w:r>
      <w:r>
        <w:rPr>
          <w:rFonts w:ascii="仿宋_GB2312" w:eastAsia="仿宋_GB2312" w:hAnsi="仿宋_GB2312" w:cs="仿宋_GB2312"/>
          <w:sz w:val="32"/>
        </w:rPr>
        <w:t xml:space="preserve"> </w:t>
      </w:r>
      <w:r>
        <w:rPr>
          <w:rFonts w:ascii="仿宋_GB2312" w:eastAsia="仿宋_GB2312" w:hAnsi="仿宋_GB2312" w:cs="仿宋_GB2312" w:hint="eastAsia"/>
          <w:sz w:val="32"/>
        </w:rPr>
        <w:t>面向残疾人、老年人的信息技术产品，</w:t>
      </w:r>
      <w:r>
        <w:rPr>
          <w:rFonts w:ascii="仿宋_GB2312" w:eastAsia="仿宋_GB2312" w:hAnsi="仿宋_GB2312" w:cs="仿宋_GB2312"/>
          <w:sz w:val="32"/>
        </w:rPr>
        <w:t>应当</w:t>
      </w:r>
      <w:r>
        <w:rPr>
          <w:rFonts w:ascii="仿宋_GB2312" w:eastAsia="仿宋_GB2312" w:hAnsi="仿宋_GB2312" w:cs="仿宋_GB2312" w:hint="eastAsia"/>
          <w:sz w:val="32"/>
        </w:rPr>
        <w:t>具备语</w:t>
      </w:r>
      <w:r>
        <w:rPr>
          <w:rFonts w:ascii="仿宋_GB2312" w:eastAsia="仿宋_GB2312" w:hAnsi="仿宋_GB2312" w:cs="仿宋_GB2312" w:hint="eastAsia"/>
          <w:sz w:val="32"/>
        </w:rPr>
        <w:lastRenderedPageBreak/>
        <w:t>言文字信息</w:t>
      </w:r>
      <w:r>
        <w:rPr>
          <w:rFonts w:ascii="仿宋_GB2312" w:eastAsia="仿宋_GB2312" w:hAnsi="仿宋_GB2312" w:cs="仿宋_GB2312"/>
          <w:sz w:val="32"/>
        </w:rPr>
        <w:t>无障碍</w:t>
      </w:r>
      <w:r>
        <w:rPr>
          <w:rFonts w:ascii="仿宋_GB2312" w:eastAsia="仿宋_GB2312" w:hAnsi="仿宋_GB2312" w:cs="仿宋_GB2312" w:hint="eastAsia"/>
          <w:sz w:val="32"/>
        </w:rPr>
        <w:t>功能。面向少年儿童的信息技术产品，</w:t>
      </w:r>
      <w:r>
        <w:rPr>
          <w:rFonts w:ascii="仿宋_GB2312" w:eastAsia="仿宋_GB2312" w:hAnsi="仿宋_GB2312" w:cs="仿宋_GB2312"/>
          <w:sz w:val="32"/>
        </w:rPr>
        <w:t>应当</w:t>
      </w:r>
      <w:r>
        <w:rPr>
          <w:rFonts w:ascii="仿宋_GB2312" w:eastAsia="仿宋_GB2312" w:hAnsi="仿宋_GB2312" w:cs="仿宋_GB2312" w:hint="eastAsia"/>
          <w:sz w:val="32"/>
        </w:rPr>
        <w:t>符合其身心特点和语言文字学习规律。</w:t>
      </w:r>
    </w:p>
    <w:p w:rsidR="00695131" w:rsidRDefault="00695131" w:rsidP="00695131">
      <w:pPr>
        <w:snapToGrid w:val="0"/>
        <w:spacing w:line="600" w:lineRule="exact"/>
        <w:ind w:firstLine="643"/>
        <w:rPr>
          <w:rFonts w:ascii="仿宋_GB2312" w:eastAsia="仿宋_GB2312" w:hAnsi="仿宋_GB2312" w:cs="仿宋_GB2312"/>
          <w:sz w:val="32"/>
        </w:rPr>
      </w:pPr>
      <w:r>
        <w:rPr>
          <w:rFonts w:ascii="仿宋_GB2312" w:eastAsia="黑体" w:hAnsi="仿宋_GB2312" w:cs="仿宋_GB2312" w:hint="eastAsia"/>
          <w:sz w:val="32"/>
        </w:rPr>
        <w:t>第十一条</w:t>
      </w:r>
      <w:r>
        <w:rPr>
          <w:rFonts w:ascii="仿宋_GB2312" w:eastAsia="黑体" w:hAnsi="仿宋_GB2312" w:cs="仿宋_GB2312" w:hint="eastAsia"/>
          <w:sz w:val="32"/>
        </w:rPr>
        <w:t xml:space="preserve"> </w:t>
      </w:r>
      <w:r>
        <w:rPr>
          <w:rFonts w:ascii="仿宋_GB2312" w:eastAsia="仿宋_GB2312" w:hAnsi="仿宋_GB2312" w:cs="仿宋_GB2312" w:hint="eastAsia"/>
          <w:sz w:val="32"/>
        </w:rPr>
        <w:t>国务院语言文字工作部门和有关主管部门在信息技术产品国家通用语言文字使用监督管理和质量检查工作中，可以授权第三方机构对相关产品进行语言文字规范标准符合性检测。</w:t>
      </w:r>
    </w:p>
    <w:p w:rsidR="00695131" w:rsidRDefault="00695131" w:rsidP="00695131">
      <w:pPr>
        <w:snapToGrid w:val="0"/>
        <w:spacing w:line="600" w:lineRule="exact"/>
        <w:ind w:firstLine="643"/>
        <w:rPr>
          <w:rFonts w:ascii="仿宋_GB2312" w:eastAsia="仿宋_GB2312" w:hAnsi="仿宋_GB2312" w:cs="仿宋_GB2312"/>
          <w:sz w:val="32"/>
        </w:rPr>
      </w:pPr>
      <w:r>
        <w:rPr>
          <w:rFonts w:ascii="仿宋_GB2312" w:eastAsia="仿宋_GB2312" w:hAnsi="仿宋_GB2312" w:cs="仿宋_GB2312" w:hint="eastAsia"/>
          <w:sz w:val="32"/>
        </w:rPr>
        <w:t>鼓励有关检测认证机构为社会提供面向信息技术产品的语言文字规范标准符合性检测服务。</w:t>
      </w:r>
    </w:p>
    <w:p w:rsidR="00695131" w:rsidRDefault="00695131" w:rsidP="00695131">
      <w:pPr>
        <w:snapToGrid w:val="0"/>
        <w:spacing w:line="600" w:lineRule="exact"/>
        <w:ind w:firstLine="643"/>
        <w:rPr>
          <w:rFonts w:ascii="仿宋_GB2312" w:eastAsia="仿宋_GB2312" w:hAnsi="仿宋_GB2312" w:cs="仿宋_GB2312" w:hint="eastAsia"/>
          <w:bCs/>
          <w:sz w:val="32"/>
        </w:rPr>
      </w:pPr>
      <w:r>
        <w:rPr>
          <w:rFonts w:ascii="仿宋_GB2312" w:eastAsia="黑体" w:hAnsi="仿宋_GB2312" w:cs="仿宋_GB2312" w:hint="eastAsia"/>
          <w:sz w:val="32"/>
        </w:rPr>
        <w:t>第十二条</w:t>
      </w:r>
      <w:r>
        <w:rPr>
          <w:rFonts w:ascii="仿宋_GB2312" w:eastAsia="黑体" w:hAnsi="仿宋_GB2312" w:cs="仿宋_GB2312" w:hint="eastAsia"/>
          <w:sz w:val="32"/>
        </w:rPr>
        <w:t xml:space="preserve"> </w:t>
      </w:r>
      <w:r>
        <w:rPr>
          <w:rFonts w:ascii="仿宋_GB2312" w:eastAsia="仿宋_GB2312" w:hAnsi="仿宋_GB2312" w:cs="仿宋_GB2312" w:hint="eastAsia"/>
          <w:bCs/>
          <w:sz w:val="32"/>
        </w:rPr>
        <w:t>国务院语言文字工作部门</w:t>
      </w:r>
      <w:r>
        <w:rPr>
          <w:rFonts w:ascii="仿宋_GB2312" w:eastAsia="仿宋_GB2312" w:hAnsi="仿宋_GB2312" w:cs="仿宋_GB2312" w:hint="eastAsia"/>
          <w:sz w:val="32"/>
        </w:rPr>
        <w:t>会同有关主管部门，负责</w:t>
      </w:r>
      <w:r>
        <w:rPr>
          <w:rFonts w:ascii="仿宋_GB2312" w:eastAsia="仿宋_GB2312" w:hAnsi="仿宋_GB2312" w:cs="仿宋_GB2312" w:hint="eastAsia"/>
          <w:bCs/>
          <w:sz w:val="32"/>
        </w:rPr>
        <w:t>对现代汉语语文工具书类数字和网络出版物</w:t>
      </w:r>
      <w:r>
        <w:rPr>
          <w:rFonts w:ascii="仿宋_GB2312" w:eastAsia="仿宋_GB2312" w:hAnsi="仿宋_GB2312" w:cs="仿宋_GB2312" w:hint="eastAsia"/>
          <w:sz w:val="32"/>
        </w:rPr>
        <w:t>进行监督检查。</w:t>
      </w:r>
    </w:p>
    <w:p w:rsidR="00695131" w:rsidRDefault="00695131" w:rsidP="00695131">
      <w:pPr>
        <w:snapToGrid w:val="0"/>
        <w:spacing w:line="600" w:lineRule="exact"/>
        <w:ind w:firstLine="643"/>
        <w:rPr>
          <w:rFonts w:ascii="仿宋_GB2312" w:eastAsia="仿宋_GB2312" w:hAnsi="仿宋_GB2312" w:cs="仿宋_GB2312"/>
          <w:sz w:val="32"/>
        </w:rPr>
      </w:pPr>
      <w:r>
        <w:rPr>
          <w:rFonts w:ascii="仿宋_GB2312" w:eastAsia="黑体" w:hAnsi="仿宋_GB2312" w:cs="仿宋_GB2312" w:hint="eastAsia"/>
          <w:sz w:val="32"/>
        </w:rPr>
        <w:t>第十三条</w:t>
      </w:r>
      <w:r>
        <w:rPr>
          <w:rFonts w:ascii="仿宋_GB2312" w:eastAsia="黑体" w:hAnsi="仿宋_GB2312" w:cs="仿宋_GB2312" w:hint="eastAsia"/>
          <w:sz w:val="32"/>
        </w:rPr>
        <w:t xml:space="preserve"> </w:t>
      </w:r>
      <w:r>
        <w:rPr>
          <w:rFonts w:ascii="仿宋_GB2312" w:eastAsia="仿宋_GB2312" w:hAnsi="仿宋_GB2312" w:cs="仿宋_GB2312" w:hint="eastAsia"/>
          <w:bCs/>
          <w:color w:val="000000"/>
          <w:sz w:val="32"/>
        </w:rPr>
        <w:t>地方各级</w:t>
      </w:r>
      <w:r>
        <w:rPr>
          <w:rFonts w:ascii="仿宋_GB2312" w:eastAsia="仿宋_GB2312" w:hAnsi="仿宋_GB2312" w:cs="仿宋_GB2312" w:hint="eastAsia"/>
          <w:color w:val="000000"/>
          <w:sz w:val="32"/>
        </w:rPr>
        <w:t>语言文字工作部门</w:t>
      </w:r>
      <w:r>
        <w:rPr>
          <w:rFonts w:ascii="仿宋_GB2312" w:eastAsia="仿宋_GB2312" w:hAnsi="仿宋_GB2312" w:cs="仿宋_GB2312" w:hint="eastAsia"/>
          <w:sz w:val="32"/>
        </w:rPr>
        <w:t>负责对本行政区域内除教材和现代汉语语文工具书之外的其他数字和网络出版物进行监督检查。检查结果通报同级主管部门，同时向上级语言文字工作部门报告。</w:t>
      </w:r>
    </w:p>
    <w:p w:rsidR="00695131" w:rsidRDefault="00695131" w:rsidP="00695131">
      <w:pPr>
        <w:snapToGrid w:val="0"/>
        <w:spacing w:line="600" w:lineRule="exact"/>
        <w:ind w:firstLine="643"/>
        <w:rPr>
          <w:rFonts w:ascii="仿宋_GB2312" w:eastAsia="仿宋_GB2312" w:hAnsi="仿宋_GB2312" w:cs="仿宋_GB2312"/>
          <w:sz w:val="32"/>
        </w:rPr>
      </w:pPr>
      <w:r>
        <w:rPr>
          <w:rFonts w:ascii="仿宋_GB2312" w:eastAsia="黑体" w:hAnsi="仿宋_GB2312" w:cs="仿宋_GB2312" w:hint="eastAsia"/>
          <w:sz w:val="32"/>
        </w:rPr>
        <w:t>第十四条</w:t>
      </w:r>
      <w:r>
        <w:rPr>
          <w:rFonts w:ascii="仿宋_GB2312" w:eastAsia="黑体" w:hAnsi="仿宋_GB2312" w:cs="仿宋_GB2312" w:hint="eastAsia"/>
          <w:sz w:val="32"/>
        </w:rPr>
        <w:t xml:space="preserve"> </w:t>
      </w:r>
      <w:r>
        <w:rPr>
          <w:rFonts w:ascii="仿宋_GB2312" w:eastAsia="仿宋_GB2312" w:hAnsi="仿宋_GB2312" w:cs="仿宋_GB2312" w:hint="eastAsia"/>
          <w:bCs/>
          <w:sz w:val="32"/>
        </w:rPr>
        <w:t>国务院</w:t>
      </w:r>
      <w:r>
        <w:rPr>
          <w:rFonts w:ascii="仿宋_GB2312" w:eastAsia="仿宋_GB2312" w:hAnsi="仿宋_GB2312" w:cs="仿宋_GB2312" w:hint="eastAsia"/>
          <w:sz w:val="32"/>
        </w:rPr>
        <w:t>语言文字工作部门通过适当方式，为促进语言文字智能处理软件的研发和功能完善、提升现代汉语语文工具书类数字和网络出版物编纂质量提供指导与服务。</w:t>
      </w:r>
    </w:p>
    <w:p w:rsidR="00695131" w:rsidRDefault="00695131" w:rsidP="00695131">
      <w:pPr>
        <w:snapToGrid w:val="0"/>
        <w:spacing w:line="600" w:lineRule="exact"/>
        <w:ind w:firstLine="643"/>
        <w:rPr>
          <w:rFonts w:ascii="仿宋_GB2312" w:eastAsia="仿宋_GB2312" w:hAnsi="仿宋_GB2312" w:cs="仿宋_GB2312"/>
          <w:sz w:val="32"/>
          <w:szCs w:val="32"/>
        </w:rPr>
      </w:pPr>
      <w:r>
        <w:rPr>
          <w:rFonts w:ascii="仿宋_GB2312" w:eastAsia="黑体" w:hAnsi="仿宋_GB2312" w:cs="仿宋_GB2312" w:hint="eastAsia"/>
          <w:sz w:val="32"/>
        </w:rPr>
        <w:t>第十五条</w:t>
      </w:r>
      <w:r>
        <w:rPr>
          <w:rFonts w:ascii="仿宋_GB2312" w:eastAsia="黑体" w:hAnsi="仿宋_GB2312" w:cs="仿宋_GB2312" w:hint="eastAsia"/>
          <w:sz w:val="32"/>
        </w:rPr>
        <w:t xml:space="preserve"> </w:t>
      </w:r>
      <w:r>
        <w:rPr>
          <w:rFonts w:ascii="仿宋_GB2312" w:eastAsia="仿宋_GB2312" w:hAnsi="仿宋_GB2312" w:cs="仿宋_GB2312" w:hint="eastAsia"/>
          <w:bCs/>
          <w:sz w:val="32"/>
        </w:rPr>
        <w:t>国务院</w:t>
      </w:r>
      <w:r>
        <w:rPr>
          <w:rFonts w:ascii="仿宋_GB2312" w:eastAsia="仿宋_GB2312" w:hAnsi="仿宋_GB2312" w:cs="仿宋_GB2312" w:hint="eastAsia"/>
          <w:sz w:val="32"/>
        </w:rPr>
        <w:t>语言文字工作部门依法制定、修订并主动公开语言文字规范标准</w:t>
      </w:r>
      <w:r>
        <w:rPr>
          <w:rFonts w:ascii="仿宋_GB2312" w:eastAsia="仿宋_GB2312" w:hAnsi="仿宋_GB2312" w:cs="仿宋_GB2312" w:hint="eastAsia"/>
          <w:sz w:val="32"/>
          <w:szCs w:val="32"/>
        </w:rPr>
        <w:t>，会同有关主管部门做好行业领域有关规范标准的研究、制定、修订及信息公开工作。</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黑体" w:hAnsi="仿宋_GB2312" w:cs="仿宋_GB2312" w:hint="eastAsia"/>
          <w:sz w:val="32"/>
        </w:rPr>
        <w:lastRenderedPageBreak/>
        <w:t>第十六条</w:t>
      </w:r>
      <w:r>
        <w:rPr>
          <w:rFonts w:ascii="仿宋_GB2312" w:eastAsia="黑体" w:hAnsi="仿宋_GB2312" w:cs="仿宋_GB2312" w:hint="eastAsia"/>
          <w:sz w:val="32"/>
        </w:rPr>
        <w:t xml:space="preserve"> </w:t>
      </w:r>
      <w:r>
        <w:rPr>
          <w:rFonts w:ascii="仿宋_GB2312" w:eastAsia="仿宋_GB2312" w:hAnsi="仿宋_GB2312" w:cs="仿宋_GB2312" w:hint="eastAsia"/>
          <w:bCs/>
          <w:sz w:val="32"/>
        </w:rPr>
        <w:t>国务院</w:t>
      </w:r>
      <w:r>
        <w:rPr>
          <w:rFonts w:ascii="仿宋_GB2312" w:eastAsia="仿宋_GB2312" w:hAnsi="仿宋_GB2312" w:cs="仿宋_GB2312" w:hint="eastAsia"/>
          <w:sz w:val="32"/>
        </w:rPr>
        <w:t>语言文字工作部门对在信息技术产品国家通用语言文字使用的管理、服务及相关技术研发中作出突出贡献的组织和个人，依据《中华人民共和国国家通用语言文字法》的有关规定，予以表彰和奖励。</w:t>
      </w:r>
    </w:p>
    <w:p w:rsidR="00695131" w:rsidRDefault="00695131" w:rsidP="00695131">
      <w:pPr>
        <w:ind w:firstLineChars="200" w:firstLine="640"/>
        <w:rPr>
          <w:rFonts w:ascii="仿宋_GB2312" w:eastAsia="仿宋_GB2312" w:hAnsi="仿宋_GB2312" w:cs="仿宋_GB2312" w:hint="eastAsia"/>
          <w:sz w:val="32"/>
        </w:rPr>
      </w:pPr>
      <w:r>
        <w:rPr>
          <w:rFonts w:ascii="仿宋_GB2312" w:eastAsia="黑体" w:hAnsi="仿宋_GB2312" w:cs="仿宋_GB2312" w:hint="eastAsia"/>
          <w:sz w:val="32"/>
        </w:rPr>
        <w:t>第十七条</w:t>
      </w:r>
      <w:r>
        <w:rPr>
          <w:rFonts w:ascii="仿宋_GB2312" w:eastAsia="黑体" w:hAnsi="仿宋_GB2312" w:cs="仿宋_GB2312" w:hint="eastAsia"/>
          <w:sz w:val="32"/>
        </w:rPr>
        <w:t xml:space="preserve"> </w:t>
      </w:r>
      <w:r>
        <w:rPr>
          <w:rFonts w:ascii="仿宋_GB2312" w:eastAsia="仿宋_GB2312" w:hAnsi="仿宋_GB2312" w:cs="仿宋_GB2312" w:hint="eastAsia"/>
          <w:bCs/>
          <w:sz w:val="32"/>
        </w:rPr>
        <w:t>基础</w:t>
      </w:r>
      <w:r>
        <w:rPr>
          <w:rFonts w:ascii="仿宋_GB2312" w:eastAsia="仿宋_GB2312" w:hAnsi="仿宋_GB2312" w:cs="仿宋_GB2312" w:hint="eastAsia"/>
          <w:sz w:val="32"/>
        </w:rPr>
        <w:t>软件处理国家通用语言文字违反本规定第五条的，由国务院语言文字工作部门会同有关主管部门督促软件生产方限期改正。拒不改正的，由主管部门依据《中华人民共和国标准化法》《中华人民共和国产品质量法》等法律法规予以处理。</w:t>
      </w:r>
    </w:p>
    <w:p w:rsidR="00695131" w:rsidRDefault="00695131" w:rsidP="00695131">
      <w:pPr>
        <w:snapToGrid w:val="0"/>
        <w:spacing w:line="600" w:lineRule="exact"/>
        <w:ind w:firstLine="643"/>
        <w:rPr>
          <w:rFonts w:ascii="仿宋_GB2312" w:eastAsia="仿宋_GB2312" w:hAnsi="仿宋_GB2312" w:cs="仿宋_GB2312" w:hint="eastAsia"/>
          <w:bCs/>
          <w:sz w:val="32"/>
        </w:rPr>
      </w:pPr>
      <w:r>
        <w:rPr>
          <w:rFonts w:ascii="仿宋_GB2312" w:eastAsia="黑体" w:hAnsi="仿宋_GB2312" w:cs="仿宋_GB2312" w:hint="eastAsia"/>
          <w:sz w:val="32"/>
        </w:rPr>
        <w:t>第十八条</w:t>
      </w:r>
      <w:r>
        <w:rPr>
          <w:rFonts w:ascii="仿宋_GB2312" w:eastAsia="黑体" w:hAnsi="仿宋_GB2312" w:cs="仿宋_GB2312" w:hint="eastAsia"/>
          <w:sz w:val="32"/>
        </w:rPr>
        <w:t xml:space="preserve"> </w:t>
      </w:r>
      <w:r>
        <w:rPr>
          <w:rFonts w:ascii="仿宋_GB2312" w:eastAsia="仿宋_GB2312" w:hAnsi="仿宋_GB2312" w:cs="仿宋_GB2312" w:hint="eastAsia"/>
          <w:bCs/>
          <w:sz w:val="32"/>
        </w:rPr>
        <w:t>现代汉语语文工具书类数字和网络出版物使用国家通用语言文字违反</w:t>
      </w:r>
      <w:r>
        <w:rPr>
          <w:rFonts w:ascii="仿宋_GB2312" w:eastAsia="仿宋_GB2312" w:hAnsi="仿宋_GB2312" w:cs="仿宋_GB2312" w:hint="eastAsia"/>
          <w:sz w:val="32"/>
        </w:rPr>
        <w:t>本规定第六条的，由国务院语言文字工作部门</w:t>
      </w:r>
      <w:r>
        <w:rPr>
          <w:rFonts w:ascii="仿宋_GB2312" w:eastAsia="仿宋_GB2312" w:hAnsi="仿宋_GB2312" w:cs="仿宋_GB2312" w:hint="eastAsia"/>
          <w:sz w:val="32"/>
          <w:szCs w:val="32"/>
        </w:rPr>
        <w:t>会同有关</w:t>
      </w:r>
      <w:r>
        <w:rPr>
          <w:rFonts w:ascii="仿宋_GB2312" w:eastAsia="仿宋_GB2312" w:hAnsi="仿宋_GB2312" w:cs="仿宋_GB2312" w:hint="eastAsia"/>
          <w:sz w:val="32"/>
        </w:rPr>
        <w:t>主管部门</w:t>
      </w:r>
      <w:r>
        <w:rPr>
          <w:rFonts w:ascii="仿宋_GB2312" w:eastAsia="仿宋_GB2312" w:hAnsi="仿宋_GB2312" w:cs="仿宋_GB2312" w:hint="eastAsia"/>
          <w:sz w:val="32"/>
          <w:szCs w:val="32"/>
        </w:rPr>
        <w:t>督促出版方限期改正。</w:t>
      </w:r>
      <w:r>
        <w:rPr>
          <w:rFonts w:ascii="仿宋_GB2312" w:eastAsia="仿宋_GB2312" w:hAnsi="仿宋_GB2312" w:cs="仿宋_GB2312" w:hint="eastAsia"/>
          <w:sz w:val="32"/>
        </w:rPr>
        <w:t>拒不改正的，由主管部门依据《出版管理条例》等法律法规予以处理。</w:t>
      </w:r>
    </w:p>
    <w:p w:rsidR="00695131" w:rsidRDefault="00695131" w:rsidP="00695131">
      <w:pPr>
        <w:snapToGrid w:val="0"/>
        <w:spacing w:line="600" w:lineRule="exact"/>
        <w:ind w:firstLine="643"/>
        <w:rPr>
          <w:rFonts w:ascii="仿宋_GB2312" w:eastAsia="仿宋_GB2312" w:hAnsi="仿宋_GB2312" w:cs="仿宋_GB2312" w:hint="eastAsia"/>
          <w:sz w:val="32"/>
        </w:rPr>
      </w:pPr>
      <w:r>
        <w:rPr>
          <w:rFonts w:ascii="仿宋_GB2312" w:eastAsia="黑体" w:hAnsi="仿宋_GB2312" w:cs="仿宋_GB2312" w:hint="eastAsia"/>
          <w:sz w:val="32"/>
        </w:rPr>
        <w:t>第十九条</w:t>
      </w:r>
      <w:r>
        <w:rPr>
          <w:rFonts w:ascii="仿宋_GB2312" w:eastAsia="黑体" w:hAnsi="仿宋_GB2312" w:cs="仿宋_GB2312" w:hint="eastAsia"/>
          <w:sz w:val="32"/>
        </w:rPr>
        <w:t xml:space="preserve"> </w:t>
      </w:r>
      <w:r>
        <w:rPr>
          <w:rFonts w:ascii="仿宋_GB2312" w:eastAsia="仿宋_GB2312" w:hAnsi="仿宋_GB2312" w:cs="仿宋_GB2312" w:hint="eastAsia"/>
          <w:sz w:val="32"/>
        </w:rPr>
        <w:t>其他数字和网络出版物使用国家通用语言文字违反本规定</w:t>
      </w:r>
      <w:r>
        <w:rPr>
          <w:rFonts w:ascii="仿宋_GB2312" w:eastAsia="仿宋_GB2312" w:hAnsi="仿宋_GB2312" w:cs="仿宋_GB2312" w:hint="eastAsia"/>
          <w:color w:val="000000"/>
          <w:sz w:val="32"/>
        </w:rPr>
        <w:t>第六条的，由县级以上地方语言文字工作部门会同同</w:t>
      </w:r>
      <w:r>
        <w:rPr>
          <w:rFonts w:ascii="仿宋_GB2312" w:eastAsia="仿宋_GB2312" w:hAnsi="仿宋_GB2312" w:cs="仿宋_GB2312" w:hint="eastAsia"/>
          <w:sz w:val="32"/>
        </w:rPr>
        <w:t>级主管部门督促出版方限期改正。拒不改正的，由主管部门依据《出版管理条例》等法律法规予以处理。</w:t>
      </w:r>
    </w:p>
    <w:p w:rsidR="00695131" w:rsidRDefault="00695131" w:rsidP="00695131">
      <w:pPr>
        <w:snapToGrid w:val="0"/>
        <w:spacing w:line="600" w:lineRule="exact"/>
        <w:ind w:firstLine="640"/>
        <w:rPr>
          <w:rFonts w:ascii="仿宋_GB2312" w:eastAsia="黑体" w:hAnsi="仿宋_GB2312" w:cs="仿宋_GB2312"/>
          <w:bCs/>
          <w:sz w:val="32"/>
        </w:rPr>
      </w:pPr>
      <w:r>
        <w:rPr>
          <w:rFonts w:ascii="仿宋_GB2312" w:eastAsia="黑体" w:hAnsi="仿宋_GB2312" w:cs="仿宋_GB2312" w:hint="eastAsia"/>
          <w:bCs/>
          <w:sz w:val="32"/>
        </w:rPr>
        <w:t>第二十条</w:t>
      </w:r>
      <w:r>
        <w:rPr>
          <w:rFonts w:ascii="仿宋_GB2312" w:eastAsia="黑体" w:hAnsi="仿宋_GB2312" w:cs="仿宋_GB2312"/>
          <w:bCs/>
          <w:sz w:val="32"/>
        </w:rPr>
        <w:t xml:space="preserve"> </w:t>
      </w:r>
      <w:r>
        <w:rPr>
          <w:rFonts w:ascii="仿宋_GB2312" w:eastAsia="仿宋_GB2312" w:hAnsi="仿宋_GB2312" w:cs="仿宋_GB2312" w:hint="eastAsia"/>
          <w:sz w:val="32"/>
          <w:szCs w:val="32"/>
        </w:rPr>
        <w:t>国务院语言文字工作部门应当加强信息技术产品国家通用语言文字使用情况的监测和研究，并会同有关部门组织开展宣传教育和业务指导。</w:t>
      </w:r>
    </w:p>
    <w:p w:rsidR="00695131" w:rsidRDefault="00695131" w:rsidP="00695131">
      <w:pPr>
        <w:snapToGrid w:val="0"/>
        <w:spacing w:line="600" w:lineRule="exact"/>
        <w:ind w:firstLine="640"/>
        <w:rPr>
          <w:rFonts w:ascii="仿宋_GB2312" w:eastAsia="仿宋_GB2312" w:hAnsi="仿宋_GB2312" w:cs="仿宋_GB2312" w:hint="eastAsia"/>
          <w:sz w:val="32"/>
          <w:szCs w:val="32"/>
        </w:rPr>
      </w:pPr>
      <w:r>
        <w:rPr>
          <w:rFonts w:ascii="仿宋_GB2312" w:eastAsia="黑体" w:hAnsi="仿宋_GB2312" w:cs="仿宋_GB2312" w:hint="eastAsia"/>
          <w:bCs/>
          <w:sz w:val="32"/>
        </w:rPr>
        <w:t>第二十一条</w:t>
      </w:r>
      <w:r>
        <w:rPr>
          <w:rFonts w:ascii="仿宋_GB2312" w:eastAsia="仿宋_GB2312" w:hAnsi="仿宋_GB2312" w:cs="仿宋_GB2312" w:hint="eastAsia"/>
          <w:sz w:val="32"/>
        </w:rPr>
        <w:t xml:space="preserve"> 国务院和地方各级语言文字工作部门应当建立</w:t>
      </w:r>
      <w:r>
        <w:rPr>
          <w:rFonts w:ascii="仿宋_GB2312" w:eastAsia="仿宋_GB2312" w:hAnsi="仿宋_GB2312" w:cs="仿宋_GB2312" w:hint="eastAsia"/>
          <w:sz w:val="32"/>
        </w:rPr>
        <w:lastRenderedPageBreak/>
        <w:t>工作协同机制，为同级有关主管部门依法管理信息技术产品中使用国家通用语言文字提供</w:t>
      </w:r>
      <w:r>
        <w:rPr>
          <w:rFonts w:ascii="仿宋_GB2312" w:eastAsia="仿宋_GB2312" w:hAnsi="仿宋_GB2312" w:cs="仿宋_GB2312" w:hint="eastAsia"/>
          <w:sz w:val="32"/>
          <w:szCs w:val="32"/>
        </w:rPr>
        <w:t>咨询服务、执法协助等</w:t>
      </w:r>
      <w:r>
        <w:rPr>
          <w:rFonts w:ascii="仿宋_GB2312" w:eastAsia="仿宋_GB2312" w:hAnsi="仿宋_GB2312" w:cs="仿宋_GB2312" w:hint="eastAsia"/>
          <w:sz w:val="32"/>
        </w:rPr>
        <w:t>支持</w:t>
      </w:r>
      <w:r>
        <w:rPr>
          <w:rFonts w:ascii="仿宋_GB2312" w:eastAsia="仿宋_GB2312" w:hAnsi="仿宋_GB2312" w:cs="仿宋_GB2312" w:hint="eastAsia"/>
          <w:sz w:val="32"/>
          <w:szCs w:val="32"/>
        </w:rPr>
        <w:t>。</w:t>
      </w:r>
    </w:p>
    <w:p w:rsidR="00BD6470" w:rsidRDefault="00695131" w:rsidP="00695131">
      <w:pPr>
        <w:ind w:firstLineChars="200" w:firstLine="640"/>
        <w:rPr>
          <w:rFonts w:ascii="仿宋_GB2312" w:eastAsia="仿宋_GB2312" w:hAnsi="仿宋_GB2312" w:cs="仿宋_GB2312"/>
          <w:color w:val="333333"/>
          <w:sz w:val="32"/>
          <w:szCs w:val="32"/>
          <w:shd w:val="clear" w:color="auto" w:fill="FFFFFF"/>
        </w:rPr>
      </w:pPr>
      <w:r>
        <w:rPr>
          <w:rFonts w:ascii="仿宋_GB2312" w:eastAsia="黑体" w:hAnsi="仿宋_GB2312" w:cs="仿宋_GB2312" w:hint="eastAsia"/>
          <w:bCs/>
          <w:sz w:val="32"/>
        </w:rPr>
        <w:t>第二十二条</w:t>
      </w:r>
      <w:r>
        <w:rPr>
          <w:rFonts w:ascii="仿宋_GB2312" w:eastAsia="仿宋_GB2312" w:hAnsi="仿宋_GB2312" w:cs="仿宋_GB2312" w:hint="eastAsia"/>
          <w:sz w:val="32"/>
        </w:rPr>
        <w:t xml:space="preserve"> 本规定自2023年3月1日起施行。</w:t>
      </w:r>
    </w:p>
    <w:sectPr w:rsidR="00BD6470">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FD9" w:rsidRDefault="006B3FD9">
      <w:r>
        <w:separator/>
      </w:r>
    </w:p>
  </w:endnote>
  <w:endnote w:type="continuationSeparator" w:id="0">
    <w:p w:rsidR="006B3FD9" w:rsidRDefault="006B3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70" w:rsidRDefault="000A380E">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6470" w:rsidRDefault="000A380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14447">
                            <w:rPr>
                              <w:rFonts w:ascii="宋体" w:eastAsia="宋体" w:hAnsi="宋体" w:cs="宋体"/>
                              <w:noProof/>
                              <w:sz w:val="28"/>
                              <w:szCs w:val="28"/>
                            </w:rPr>
                            <w:t>- 6 -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BD6470" w:rsidRDefault="000A380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14447">
                      <w:rPr>
                        <w:rFonts w:ascii="宋体" w:eastAsia="宋体" w:hAnsi="宋体" w:cs="宋体"/>
                        <w:noProof/>
                        <w:sz w:val="28"/>
                        <w:szCs w:val="28"/>
                      </w:rPr>
                      <w:t>- 6 -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BD6470" w:rsidRDefault="000A380E">
    <w:pPr>
      <w:pStyle w:val="a6"/>
      <w:wordWrap w:val="0"/>
      <w:ind w:leftChars="2280" w:left="4788" w:firstLineChars="2000" w:firstLine="6400"/>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r w:rsidR="00FE4AE2">
      <w:rPr>
        <w:rFonts w:ascii="宋体" w:eastAsia="宋体" w:hAnsi="宋体" w:cs="宋体" w:hint="eastAsia"/>
        <w:b/>
        <w:bCs/>
        <w:color w:val="005192"/>
        <w:sz w:val="28"/>
        <w:szCs w:val="44"/>
      </w:rPr>
      <w:t xml:space="preserve">教育部发布     </w:t>
    </w:r>
  </w:p>
  <w:p w:rsidR="00BD6470" w:rsidRDefault="00BD6470">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FD9" w:rsidRDefault="006B3FD9">
      <w:r>
        <w:separator/>
      </w:r>
    </w:p>
  </w:footnote>
  <w:footnote w:type="continuationSeparator" w:id="0">
    <w:p w:rsidR="006B3FD9" w:rsidRDefault="006B3F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70" w:rsidRDefault="000A380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BD6470" w:rsidRDefault="000A380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教育部规章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57E7"/>
    <w:rsid w:val="000A380E"/>
    <w:rsid w:val="00172A27"/>
    <w:rsid w:val="002507BA"/>
    <w:rsid w:val="00401E6B"/>
    <w:rsid w:val="004A3550"/>
    <w:rsid w:val="00512360"/>
    <w:rsid w:val="00546C6D"/>
    <w:rsid w:val="0065428A"/>
    <w:rsid w:val="00695131"/>
    <w:rsid w:val="006B3FD9"/>
    <w:rsid w:val="006D072B"/>
    <w:rsid w:val="00761E3D"/>
    <w:rsid w:val="00765754"/>
    <w:rsid w:val="007F0E5C"/>
    <w:rsid w:val="008E1AA8"/>
    <w:rsid w:val="009410BC"/>
    <w:rsid w:val="009D76DB"/>
    <w:rsid w:val="00AA54D6"/>
    <w:rsid w:val="00AD63A2"/>
    <w:rsid w:val="00B30A2E"/>
    <w:rsid w:val="00BD6470"/>
    <w:rsid w:val="00D14447"/>
    <w:rsid w:val="00D55A56"/>
    <w:rsid w:val="00DD4FBC"/>
    <w:rsid w:val="00E43C08"/>
    <w:rsid w:val="00F44C0B"/>
    <w:rsid w:val="00FD2B44"/>
    <w:rsid w:val="00FE4AE2"/>
    <w:rsid w:val="019E71BD"/>
    <w:rsid w:val="04B679C3"/>
    <w:rsid w:val="080F63D8"/>
    <w:rsid w:val="09341458"/>
    <w:rsid w:val="0B0912D7"/>
    <w:rsid w:val="0CB101B0"/>
    <w:rsid w:val="152D2DCA"/>
    <w:rsid w:val="154F5D74"/>
    <w:rsid w:val="1DEC284C"/>
    <w:rsid w:val="1E6523AC"/>
    <w:rsid w:val="22440422"/>
    <w:rsid w:val="2AFB4FC0"/>
    <w:rsid w:val="31A15F24"/>
    <w:rsid w:val="395347B5"/>
    <w:rsid w:val="39A232A0"/>
    <w:rsid w:val="39E745AA"/>
    <w:rsid w:val="3AF066A4"/>
    <w:rsid w:val="3B5A6BBB"/>
    <w:rsid w:val="3D5F71F9"/>
    <w:rsid w:val="3EDA13A6"/>
    <w:rsid w:val="42F058B7"/>
    <w:rsid w:val="436109F6"/>
    <w:rsid w:val="441A38D4"/>
    <w:rsid w:val="4BC77339"/>
    <w:rsid w:val="4C9236C5"/>
    <w:rsid w:val="505C172E"/>
    <w:rsid w:val="5068622B"/>
    <w:rsid w:val="52F46F0B"/>
    <w:rsid w:val="53D8014D"/>
    <w:rsid w:val="55E064E0"/>
    <w:rsid w:val="572C6D10"/>
    <w:rsid w:val="5DC34279"/>
    <w:rsid w:val="608816D1"/>
    <w:rsid w:val="60EF4E7F"/>
    <w:rsid w:val="665233C1"/>
    <w:rsid w:val="6AD9688B"/>
    <w:rsid w:val="6D0E3F22"/>
    <w:rsid w:val="785F1EA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annotation reference"/>
    <w:basedOn w:val="a0"/>
    <w:rPr>
      <w:sz w:val="21"/>
      <w:szCs w:val="21"/>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annotation reference"/>
    <w:basedOn w:val="a0"/>
    <w:rPr>
      <w:sz w:val="21"/>
      <w:szCs w:val="21"/>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29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351</Words>
  <Characters>2006</Characters>
  <Application>Microsoft Office Word</Application>
  <DocSecurity>0</DocSecurity>
  <Lines>16</Lines>
  <Paragraphs>4</Paragraphs>
  <ScaleCrop>false</ScaleCrop>
  <Company>China</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dell</cp:lastModifiedBy>
  <cp:revision>16</cp:revision>
  <cp:lastPrinted>2022-02-17T02:20:00Z</cp:lastPrinted>
  <dcterms:created xsi:type="dcterms:W3CDTF">2021-11-30T08:40:00Z</dcterms:created>
  <dcterms:modified xsi:type="dcterms:W3CDTF">2023-01-13T08:43:00Z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AF0E219EC45A471B8A05547E19C03728</vt:lpwstr>
  </property>
</Properties>
</file>