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the-complete-mrd-zistgah-ayeai-estate"/>
    <w:p>
      <w:pPr>
        <w:pStyle w:val="Heading1"/>
      </w:pPr>
      <w:r>
        <w:t xml:space="preserve">The Complete MRD — Zistgah / AyeAI Estate</w:t>
      </w:r>
    </w:p>
    <w:p>
      <w:pPr>
        <w:pStyle w:val="FirstParagraph"/>
      </w:pPr>
      <w:r>
        <w:rPr>
          <w:bCs/>
          <w:b/>
        </w:rPr>
        <w:t xml:space="preserve">A typed relational ontology, a registry and a constitutional map.</w:t>
      </w:r>
      <w:r>
        <w:t xml:space="preserve"> </w:t>
      </w:r>
      <w:r>
        <w:t xml:space="preserve">Not a product catalogue.</w:t>
      </w:r>
      <w:r>
        <w:t xml:space="preserve"> </w:t>
      </w:r>
      <w:r>
        <w:t xml:space="preserve">The estate is not a flat list, the workbench is not the estate, the cyclers are not components of</w:t>
      </w:r>
      <w:r>
        <w:t xml:space="preserve"> </w:t>
      </w:r>
      <w:r>
        <w:t xml:space="preserve">Mez, and a method is not a product.</w:t>
      </w:r>
    </w:p>
    <w:p>
      <w:r>
        <w:pict>
          <v:rect style="width:0;height:1.5pt" o:hralign="center" o:hrstd="t" o:hr="t"/>
        </w:pict>
      </w:r>
    </w:p>
    <w:bookmarkStart w:id="21" w:name="Xc9ecc14f8e62061d3e7b295fc56670228a1f475"/>
    <w:p>
      <w:pPr>
        <w:pStyle w:val="Heading2"/>
      </w:pPr>
      <w:r>
        <w:t xml:space="preserve">How to read the provenance class on every entry</w:t>
      </w:r>
    </w:p>
    <w:p>
      <w:pPr>
        <w:pStyle w:val="FirstParagraph"/>
      </w:pPr>
      <w:r>
        <w:t xml:space="preserve">This document distinguishes four things that are routinely collapsed: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corroborated in the durable record or a live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and partly recorded; the definition is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only in a prior assistant’s synthesis.</w:t>
            </w:r>
            <w:r>
              <w:t xml:space="preserve"> </w:t>
            </w:r>
            <w:r>
              <w:rPr>
                <w:bCs/>
                <w:b/>
              </w:rPr>
              <w:t xml:space="preserve">Not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[UNRESOLVED]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record does not contain it, and nothing has been substituted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more than it sounds.</w:t>
      </w:r>
      <w:r>
        <w:t xml:space="preserve"> </w:t>
      </w:r>
      <w:r>
        <w:t xml:space="preserve">A failure mode was identified in this work and named:</w:t>
      </w:r>
      <w:r>
        <w:t xml:space="preserve"> </w:t>
      </w:r>
      <w:r>
        <w:t xml:space="preserve">an assistant reconstructs the estate, that reconstruction becomes a poster, the poster is later</w:t>
      </w:r>
      <w:r>
        <w:t xml:space="preserve"> </w:t>
      </w:r>
      <w:r>
        <w:t xml:space="preserve">read back as a source, and a new synthesis is built on it. Recursive self-sourcing. So:</w:t>
      </w:r>
    </w:p>
    <w:p>
      <w:pPr>
        <w:pStyle w:val="BlockText"/>
      </w:pPr>
      <w:r>
        <w:t xml:space="preserve">retrieved fact ≠ prior assistant synthesis ≠ poster-derived inference ≠ unresolved item</w:t>
      </w:r>
    </w:p>
    <w:p>
      <w:pPr>
        <w:pStyle w:val="FirstParagraph"/>
      </w:pPr>
      <w:r>
        <w:t xml:space="preserve">Everything below marked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came to me through another assistant’s summary and I could</w:t>
      </w:r>
      <w:r>
        <w:t xml:space="preserve"> </w:t>
      </w:r>
      <w:r>
        <w:t xml:space="preserve">not corroborate it independently. It is recorded because it is probably right and definitely</w:t>
      </w:r>
      <w:r>
        <w:t xml:space="preserve"> </w:t>
      </w:r>
      <w:r>
        <w:t xml:space="preserve">useful — and marked because probably-right is not the same as retrieved.</w:t>
      </w:r>
    </w:p>
    <w:bookmarkStart w:id="20" w:name="Xb57a30e57825911e44faa3246d2019b7182cb8a"/>
    <w:p>
      <w:pPr>
        <w:pStyle w:val="Heading3"/>
      </w:pPr>
      <w:r>
        <w:t xml:space="preserve">The four epistemic rules that govern this document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Retrieval Before Assumption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Before Write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Before Claim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Preserve Before Transformation</w:t>
      </w:r>
    </w:p>
    <w:p>
      <w:pPr>
        <w:pStyle w:val="FirstParagraph"/>
      </w:pPr>
      <w:r>
        <w:t xml:space="preserve">An unresolved entity is allowed to remain unresolved. Missing information must not be filled by</w:t>
      </w:r>
      <w:r>
        <w:t xml:space="preserve"> </w:t>
      </w:r>
      <w:r>
        <w:t xml:space="preserve">symmetry, by analogy, or by aesthetic completion.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7fd7aef03356a6961749a45b48a94cce748115"/>
    <w:p>
      <w:pPr>
        <w:pStyle w:val="Heading2"/>
      </w:pPr>
      <w:r>
        <w:t xml:space="preserve">What has been explicitly retracted, and must not return</w:t>
      </w:r>
    </w:p>
    <w:p>
      <w:pPr>
        <w:pStyle w:val="BlockText"/>
      </w:pPr>
      <w:r>
        <w:t xml:space="preserve">Humanesque = human/equity substrate of a Kaivalyik Cosmopolis. NOT retrieved, explicitly withdrawn in the source document, and it must not re-enter the atlas because it makes the architecture look elegant.</w:t>
      </w:r>
    </w:p>
    <w:p>
      <w:pPr>
        <w:pStyle w:val="FirstParagraph"/>
      </w:pPr>
      <w:r>
        <w:t xml:space="preserve">It is recorded here as a retraction rather than deleted, because a claim that was withdrawn</w:t>
      </w:r>
      <w:r>
        <w:t xml:space="preserve"> </w:t>
      </w:r>
      <w:r>
        <w:t xml:space="preserve">once will otherwise be reconstructed again by the next assistant who finds the shape pleasing.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.-the-estate-hierarchy"/>
    <w:p>
      <w:pPr>
        <w:pStyle w:val="Heading1"/>
      </w:pPr>
      <w:r>
        <w:t xml:space="preserve">I. The estate hierarchy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AyeAI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— the broader ecosystem and context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AyeAM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— AyeAI Mission &amp; Alignment Matrix — the mission-alignment layer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Zistgah</w:t>
      </w:r>
      <w:r>
        <w:t xml:space="preserve"> </w:t>
      </w:r>
      <w:r>
        <w:rPr>
          <w:rStyle w:val="VerbatimChar"/>
        </w:rPr>
        <w:t xml:space="preserve">[RETRIEVED]</w:t>
      </w:r>
      <w:r>
        <w:t xml:space="preserve"> </w:t>
      </w:r>
      <w:r>
        <w:t xml:space="preserve">— the estate-level integration environment</w:t>
      </w:r>
    </w:p>
    <w:p>
      <w:pPr>
        <w:pStyle w:val="SourceCode"/>
      </w:pPr>
      <w:r>
        <w:rPr>
          <w:rStyle w:val="VerbatimChar"/>
        </w:rPr>
        <w:t xml:space="preserve">AyeAI  →  AyeAM  →  Zistgah / AyeAI Estate</w:t>
      </w:r>
    </w:p>
    <w:bookmarkStart w:id="24" w:name="zistgah-is-not-one-entity"/>
    <w:p>
      <w:pPr>
        <w:pStyle w:val="Heading2"/>
      </w:pPr>
      <w:r>
        <w:t xml:space="preserve">Zistgah is not one entity</w:t>
      </w:r>
    </w:p>
    <w:p>
      <w:pPr>
        <w:pStyle w:val="FirstParagraph"/>
      </w:pPr>
      <w:r>
        <w:t xml:space="preserve">Repeated lexical identity is not proof of entity identity. The registry must preserve typed roles: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denotes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Zistgah [Ontology]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typed vocabulary of the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Zistgah [Habitat]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contextual envelope for the AGI 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Zistgah [Estate]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ecosystem of repositories and deposits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Zistgah [Integration Context]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independent systems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Zistgah [Namespace]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GitHub organisation and naming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Zistgah [Habitat-expansion]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architecture for extending habitat</w:t>
            </w:r>
          </w:p>
        </w:tc>
      </w:tr>
    </w:tbl>
    <w:bookmarkEnd w:id="24"/>
    <w:bookmarkStart w:id="25" w:name="civilizational-coordinates-synthesis"/>
    <w:p>
      <w:pPr>
        <w:pStyle w:val="Heading2"/>
      </w:pPr>
      <w:r>
        <w:t xml:space="preserve">Civilizational coordinates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FirstParagraph"/>
      </w:pPr>
      <w:r>
        <w:t xml:space="preserve">Distinct coordinates. They must not be collapsed into a single synthesised culture.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Zistgah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Persian / Islamicate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to be generalised to</w:t>
            </w:r>
            <w:r>
              <w:t xml:space="preserve"> </w:t>
            </w:r>
            <w:r>
              <w:t xml:space="preserve">‘</w:t>
            </w:r>
            <w:r>
              <w:t xml:space="preserve">Islam</w:t>
            </w:r>
            <w:r>
              <w:t xml:space="preserve">’</w:t>
            </w:r>
            <w:r>
              <w:t xml:space="preserve"> </w:t>
            </w:r>
            <w:r>
              <w:t xml:space="preserve">without 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Kaivalyik / Kaivalya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Indic, including the Advaita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Cosmopolis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 / Western-classical / cosmopolitan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 broader CIVITAS / HUMANITAS framing references Indic, Greek, Islamic, Chinese, African,</w:t>
      </w:r>
      <w:r>
        <w:t xml:space="preserve"> </w:t>
      </w:r>
      <w:r>
        <w:t xml:space="preserve">European, modern-scientific, complex-systems, information-theoretic and cognitive-science</w:t>
      </w:r>
      <w:r>
        <w:t xml:space="preserve"> </w:t>
      </w:r>
      <w:r>
        <w:t xml:space="preserve">lineages. That plurality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retroactively converted into a claim that Zistgah itself</w:t>
      </w:r>
      <w:r>
        <w:t xml:space="preserve"> </w:t>
      </w:r>
      <w:r>
        <w:t xml:space="preserve">represents each of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d28bde19ddc6154106402e5dd96ec84071041db"/>
    <w:p>
      <w:pPr>
        <w:pStyle w:val="Heading1"/>
      </w:pPr>
      <w:r>
        <w:t xml:space="preserve">II. The Four-Strata Constitution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FirstParagraph"/>
      </w:pPr>
      <w:r>
        <w:t xml:space="preserve">The strata govern the estate as a projection, not as four panels on a poster.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—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normative / constitutional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· purpose · intent · rights ·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— HOW WE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· provenance · verification · truth conditions · epistemic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— HOW WE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 / realization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· protocols · standards · cycles ·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— WHAT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 · systems · components · records · states</w:t>
            </w:r>
          </w:p>
        </w:tc>
      </w:tr>
    </w:tbl>
    <w:bookmarkStart w:id="27" w:name="registry-provenance-evidence"/>
    <w:p>
      <w:pPr>
        <w:pStyle w:val="Heading2"/>
      </w:pPr>
      <w:r>
        <w:t xml:space="preserve">Registry ≠ Provenance ≠ Evidence</w:t>
      </w:r>
    </w:p>
    <w:p>
      <w:pPr>
        <w:pStyle w:val="FirstParagraph"/>
      </w:pPr>
      <w:r>
        <w:t xml:space="preserve">The single most load-bearing distinction in the constitutional layer: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ancestry and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what may actually be claimed</w:t>
            </w:r>
          </w:p>
        </w:tc>
      </w:tr>
    </w:tbl>
    <w:bookmarkEnd w:id="27"/>
    <w:bookmarkStart w:id="28" w:name="X4f6f1ece041d78d2fd8214111a4bd7a332ef683"/>
    <w:p>
      <w:pPr>
        <w:pStyle w:val="Heading2"/>
      </w:pPr>
      <w:r>
        <w:t xml:space="preserve">Farman-e-Zistgah — the provenance constitution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FirstParagraph"/>
      </w:pPr>
      <w:r>
        <w:t xml:space="preserve">Considerably more than a provenance policy. Eight sections: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Identity</w:t>
      </w:r>
      <w:r>
        <w:t xml:space="preserve"> </w:t>
      </w:r>
      <w:r>
        <w:t xml:space="preserve">— artifact identity · identifiers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Ancestry</w:t>
      </w:r>
      <w:r>
        <w:t xml:space="preserve"> </w:t>
      </w:r>
      <w:r>
        <w:t xml:space="preserve">— parent / derivative relationships · transformation lineage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Evidence</w:t>
      </w:r>
      <w:r>
        <w:t xml:space="preserve"> </w:t>
      </w:r>
      <w:r>
        <w:t xml:space="preserve">— evidence · attestations · receipts · verification artifacts · benchmarks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Integrity</w:t>
      </w:r>
      <w:r>
        <w:t xml:space="preserve"> </w:t>
      </w:r>
      <w:r>
        <w:t xml:space="preserve">— hashes · checksums · timestamps · integrity records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</w:t>
      </w:r>
      <w:r>
        <w:t xml:space="preserve"> </w:t>
      </w:r>
      <w:r>
        <w:t xml:space="preserve">— Draft · Working · Verified · Sealed · Published · Superseded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Publication</w:t>
      </w:r>
      <w:r>
        <w:t xml:space="preserve"> </w:t>
      </w:r>
      <w:r>
        <w:t xml:space="preserve">— repository · DOI · publication · disclosure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Transmission</w:t>
      </w:r>
      <w:r>
        <w:t xml:space="preserve"> </w:t>
      </w:r>
      <w:r>
        <w:t xml:space="preserve">— semantic · representational · temporal · technological continuity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Registry</w:t>
      </w:r>
      <w:r>
        <w:t xml:space="preserve"> </w:t>
      </w:r>
      <w:r>
        <w:t xml:space="preserve">— registry · metadata schema · provenance records · reproducibility infrastructure</w:t>
      </w:r>
    </w:p>
    <w:p>
      <w:pPr>
        <w:pStyle w:val="FirstParagraph"/>
      </w:pPr>
      <w:r>
        <w:t xml:space="preserve">It also carries the epistemic classes [STATED] · [RETRIEVED] · [INFERRED] · [UNRESOLVED].</w:t>
      </w:r>
    </w:p>
    <w:bookmarkEnd w:id="28"/>
    <w:bookmarkStart w:id="29" w:name="typed-edges"/>
    <w:p>
      <w:pPr>
        <w:pStyle w:val="Heading2"/>
      </w:pPr>
      <w:r>
        <w:t xml:space="preserve">Typed edges</w:t>
      </w:r>
    </w:p>
    <w:p>
      <w:pPr>
        <w:pStyle w:val="FirstParagraph"/>
      </w:pPr>
      <w:r>
        <w:t xml:space="preserve">The registry is a typed graph. An edge without a type is how</w:t>
      </w:r>
      <w:r>
        <w:t xml:space="preserve"> </w:t>
      </w:r>
      <w:r>
        <w:rPr>
          <w:rStyle w:val="VerbatimChar"/>
        </w:rPr>
        <w:t xml:space="preserve">FAKIR → Marham</w:t>
      </w:r>
      <w:r>
        <w:t xml:space="preserve"> </w:t>
      </w:r>
      <w:r>
        <w:t xml:space="preserve">came to look like</w:t>
      </w:r>
      <w:r>
        <w:t xml:space="preserve"> </w:t>
      </w:r>
      <w:r>
        <w:t xml:space="preserve">sequential software composition when it is an epistemic and governance relationship. The edge</w:t>
      </w:r>
      <w:r>
        <w:t xml:space="preserve"> </w:t>
      </w:r>
      <w:r>
        <w:t xml:space="preserve">vocabulary:</w:t>
      </w:r>
    </w:p>
    <w:p>
      <w:pPr>
        <w:pStyle w:val="BodyText"/>
      </w:pPr>
      <w:r>
        <w:rPr>
          <w:rStyle w:val="VerbatimChar"/>
        </w:rPr>
        <w:t xml:space="preserve">parent-of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child-of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lineage-of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depends-on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governs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transforms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publishes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preserves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verifies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interoperates-with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renamed-as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related-to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7ec96626689d1f463470196c406c4c771ee84be"/>
    <w:p>
      <w:pPr>
        <w:pStyle w:val="Heading1"/>
      </w:pPr>
      <w:r>
        <w:t xml:space="preserve">III. The lineages — and where they are NOT chains</w:t>
      </w:r>
    </w:p>
    <w:bookmarkStart w:id="31" w:name="X97ecfb4aca31670f3a2955eb50edf3c99679754"/>
    <w:p>
      <w:pPr>
        <w:pStyle w:val="Heading2"/>
      </w:pPr>
      <w:r>
        <w:t xml:space="preserve">The linguistic stack</w:t>
      </w:r>
      <w:r>
        <w:t xml:space="preserve"> </w:t>
      </w:r>
      <w:r>
        <w:rPr>
          <w:rStyle w:val="VerbatimChar"/>
        </w:rPr>
        <w:t xml:space="preserve">[SYNTHESIS on Romenagri's position]</w:t>
      </w:r>
    </w:p>
    <w:p>
      <w:pPr>
        <w:pStyle w:val="SourceCode"/>
      </w:pPr>
      <w:r>
        <w:rPr>
          <w:rStyle w:val="VerbatimChar"/>
        </w:rPr>
        <w:t xml:space="preserve">ILM  →  Romenagri  →  HPS  →  Hindawi Environment</w:t>
      </w:r>
    </w:p>
    <w:p>
      <w:pPr>
        <w:pStyle w:val="FirstParagraph"/>
      </w:pPr>
      <w:r>
        <w:rPr>
          <w:bCs/>
          <w:b/>
        </w:rPr>
        <w:t xml:space="preserve">Romenagri was repeatedly dropped and has to stay.</w:t>
      </w:r>
      <w:r>
        <w:t xml:space="preserve"> </w:t>
      </w:r>
      <w:r>
        <w:t xml:space="preserve">And the notation</w:t>
      </w:r>
      <w:r>
        <w:t xml:space="preserve"> </w:t>
      </w:r>
      <w:r>
        <w:rPr>
          <w:rStyle w:val="VerbatimChar"/>
        </w:rPr>
        <w:t xml:space="preserve">HPS / Hindawi</w:t>
      </w:r>
      <w:r>
        <w:t xml:space="preserve"> </w:t>
      </w:r>
      <w:r>
        <w:t xml:space="preserve">is</w:t>
      </w:r>
      <w:r>
        <w:t xml:space="preserve"> </w:t>
      </w:r>
      <w:r>
        <w:t xml:space="preserve">semantically dangerous, because a slash reads as equivalence:</w:t>
      </w:r>
    </w:p>
    <w:p>
      <w:pPr>
        <w:pStyle w:val="BlockText"/>
      </w:pPr>
      <w:r>
        <w:t xml:space="preserve">HPS ≠ Hindawi Environment ≠ the broader Hindawi ecosystem</w:t>
      </w:r>
    </w:p>
    <w:bookmarkEnd w:id="31"/>
    <w:bookmarkStart w:id="32" w:name="Xceb70598fdc291ec8408e01024faa029cff1b3b"/>
    <w:p>
      <w:pPr>
        <w:pStyle w:val="Heading2"/>
      </w:pPr>
      <w:r>
        <w:t xml:space="preserve">The cognitive and embodiment branches — PARALLEL, not one genealogy</w:t>
      </w:r>
    </w:p>
    <w:p>
      <w:pPr>
        <w:pStyle w:val="FirstParagraph"/>
      </w:pPr>
      <w:r>
        <w:t xml:space="preserve">This is the correction that matters most in the lineage section. PEDLER does not run down a single</w:t>
      </w:r>
      <w:r>
        <w:t xml:space="preserve"> </w:t>
      </w:r>
      <w:r>
        <w:t xml:space="preserve">chain:</w:t>
      </w:r>
    </w:p>
    <w:p>
      <w:pPr>
        <w:pStyle w:val="SourceCode"/>
      </w:pPr>
      <w:r>
        <w:rPr>
          <w:rStyle w:val="VerbatimChar"/>
        </w:rPr>
        <w:t xml:space="preserve">                    PEDLER</w:t>
      </w:r>
      <w:r>
        <w:br/>
      </w:r>
      <w:r>
        <w:rPr>
          <w:rStyle w:val="VerbatimChar"/>
        </w:rPr>
        <w:t xml:space="preserve">                   /      \</w:t>
      </w:r>
      <w:r>
        <w:br/>
      </w:r>
      <w:r>
        <w:rPr>
          <w:rStyle w:val="VerbatimChar"/>
        </w:rPr>
        <w:t xml:space="preserve">          cognitive        embodiment</w:t>
      </w:r>
      <w:r>
        <w:br/>
      </w:r>
      <w:r>
        <w:rPr>
          <w:rStyle w:val="VerbatimChar"/>
        </w:rPr>
        <w:t xml:space="preserve">             |                  |</w:t>
      </w:r>
      <w:r>
        <w:br/>
      </w:r>
      <w:r>
        <w:rPr>
          <w:rStyle w:val="VerbatimChar"/>
        </w:rPr>
        <w:t xml:space="preserve">            LVF               NI2A2</w:t>
      </w:r>
      <w:r>
        <w:br/>
      </w:r>
      <w:r>
        <w:rPr>
          <w:rStyle w:val="VerbatimChar"/>
        </w:rPr>
        <w:t xml:space="preserve">             |                  |</w:t>
      </w:r>
      <w:r>
        <w:br/>
      </w:r>
      <w:r>
        <w:rPr>
          <w:rStyle w:val="VerbatimChar"/>
        </w:rPr>
        <w:t xml:space="preserve">           MLCNE          ANGEL-1 · ANGEL-2</w:t>
      </w:r>
      <w:r>
        <w:br/>
      </w:r>
      <w:r>
        <w:rPr>
          <w:rStyle w:val="VerbatimChar"/>
        </w:rPr>
        <w:t xml:space="preserve">             |                  |</w:t>
      </w:r>
      <w:r>
        <w:br/>
      </w:r>
      <w:r>
        <w:rPr>
          <w:rStyle w:val="VerbatimChar"/>
        </w:rPr>
        <w:t xml:space="preserve">      CEM^s / CEM^b        TARA  [renamed-as ANGEL-2]</w:t>
      </w:r>
      <w:r>
        <w:br/>
      </w:r>
      <w:r>
        <w:rPr>
          <w:rStyle w:val="VerbatimChar"/>
        </w:rPr>
        <w:t xml:space="preserve">         /      \</w:t>
      </w:r>
      <w:r>
        <w:br/>
      </w:r>
      <w:r>
        <w:rPr>
          <w:rStyle w:val="VerbatimChar"/>
        </w:rPr>
        <w:t xml:space="preserve">   Eco-CEM      KELP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RDK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HMSEI</w:t>
      </w:r>
    </w:p>
    <w:p>
      <w:pPr>
        <w:pStyle w:val="FirstParagraph"/>
      </w:pPr>
      <w:r>
        <w:rPr>
          <w:bCs/>
          <w:b/>
        </w:rPr>
        <w:t xml:space="preserve">TARA is ANGEL-2 renamed</w:t>
      </w:r>
      <w:r>
        <w:t xml:space="preserve">, not an independently developed fourth generation. The edge type is</w:t>
      </w:r>
      <w:r>
        <w:t xml:space="preserve"> </w:t>
      </w:r>
      <w:r>
        <w:rPr>
          <w:rStyle w:val="VerbatimChar"/>
        </w:rPr>
        <w:t xml:space="preserve">renamed-as</w:t>
      </w:r>
      <w:r>
        <w:t xml:space="preserve"> </w:t>
      </w:r>
      <w:r>
        <w:t xml:space="preserve">and drawing it as</w:t>
      </w:r>
      <w:r>
        <w:t xml:space="preserve"> </w:t>
      </w:r>
      <w:r>
        <w:rPr>
          <w:rStyle w:val="VerbatimChar"/>
        </w:rPr>
        <w:t xml:space="preserve">parent-of</w:t>
      </w:r>
      <w:r>
        <w:t xml:space="preserve"> </w:t>
      </w:r>
      <w:r>
        <w:t xml:space="preserve">misrepresents the history.</w:t>
      </w:r>
    </w:p>
    <w:p>
      <w:pPr>
        <w:pStyle w:val="BodyText"/>
      </w:pPr>
      <w:r>
        <w:rPr>
          <w:bCs/>
          <w:b/>
        </w:rPr>
        <w:t xml:space="preserve">CEM carries its substrate superscript.</w:t>
      </w:r>
      <w:r>
        <w:t xml:space="preserve"> </w:t>
      </w:r>
      <w:r>
        <w:rPr>
          <w:rStyle w:val="VerbatimChar"/>
        </w:rPr>
        <w:t xml:space="preserve">CEM^b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CEM^s</w:t>
      </w:r>
      <w:r>
        <w:t xml:space="preserve"> </w:t>
      </w:r>
      <w:r>
        <w:t xml:space="preserve">are parallel realisation families</w:t>
      </w:r>
      <w:r>
        <w:t xml:space="preserve"> </w:t>
      </w:r>
      <w:r>
        <w:t xml:space="preserve">and must never be collapsed into an unqualified</w:t>
      </w:r>
      <w:r>
        <w:t xml:space="preserve"> </w:t>
      </w:r>
      <w:r>
        <w:rPr>
          <w:rStyle w:val="VerbatimChar"/>
        </w:rPr>
        <w:t xml:space="preserve">CEM</w:t>
      </w:r>
      <w:r>
        <w:t xml:space="preserve">.</w:t>
      </w:r>
    </w:p>
    <w:bookmarkEnd w:id="32"/>
    <w:bookmarkStart w:id="33" w:name="X8a45fbe4e8a3dcde83f674f87faaf4b2b7d706f"/>
    <w:p>
      <w:pPr>
        <w:pStyle w:val="Heading2"/>
      </w:pPr>
      <w:r>
        <w:t xml:space="preserve">The programme spine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— distinct entities, NOT a pipeline</w:t>
      </w:r>
    </w:p>
    <w:p>
      <w:pPr>
        <w:pStyle w:val="SourceCode"/>
      </w:pPr>
      <w:r>
        <w:rPr>
          <w:rStyle w:val="VerbatimChar"/>
        </w:rPr>
        <w:t xml:space="preserve">Project VIKRAM  ·  PAT.AL  ·  PRATIK  ·  VIDYA  ·  TWISHA  ·  CHAKRA  ·  Misty</w:t>
      </w:r>
    </w:p>
    <w:p>
      <w:pPr>
        <w:pStyle w:val="FirstParagraph"/>
      </w:pPr>
      <w:r>
        <w:t xml:space="preserve">They appear in sequence in the record. That is not evidence that they compose as software.</w:t>
      </w:r>
      <w:r>
        <w:t xml:space="preserve"> </w:t>
      </w:r>
      <w:r>
        <w:t xml:space="preserve">Each needs its own typed record: identity, role, relationship, lineage, classification. Project</w:t>
      </w:r>
      <w:r>
        <w:t xml:space="preserve"> </w:t>
      </w:r>
      <w:r>
        <w:t xml:space="preserve">VIKRAM in particular appears in several roles at once — AI4All, technology programme,</w:t>
      </w:r>
      <w:r>
        <w:t xml:space="preserve"> </w:t>
      </w:r>
      <w:r>
        <w:t xml:space="preserve">implementation programme, civilizational node, Zistgah spine component — and the answer is typed</w:t>
      </w:r>
      <w:r>
        <w:t xml:space="preserve"> </w:t>
      </w:r>
      <w:r>
        <w:t xml:space="preserve">role records, not picking one.</w:t>
      </w:r>
    </w:p>
    <w:bookmarkEnd w:id="33"/>
    <w:bookmarkStart w:id="34" w:name="the-semantic-compiler-synthesis"/>
    <w:p>
      <w:pPr>
        <w:pStyle w:val="Heading2"/>
      </w:pPr>
      <w:r>
        <w:t xml:space="preserve">The semantic compiler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SourceCode"/>
      </w:pPr>
      <w:r>
        <w:rPr>
          <w:rStyle w:val="VerbatimChar"/>
        </w:rPr>
        <w:t xml:space="preserve">  LLM Proposer                          ↓</w:t>
      </w:r>
      <w:r>
        <w:br/>
      </w:r>
      <w:r>
        <w:rPr>
          <w:rStyle w:val="VerbatimChar"/>
        </w:rPr>
        <w:t xml:space="preserve">  ACG grammar front-end                 ↓</w:t>
      </w:r>
      <w:r>
        <w:br/>
      </w:r>
      <w:r>
        <w:rPr>
          <w:rStyle w:val="VerbatimChar"/>
        </w:rPr>
        <w:t xml:space="preserve">  Verified AST                          ↓</w:t>
      </w:r>
      <w:r>
        <w:br/>
      </w:r>
      <w:r>
        <w:rPr>
          <w:rStyle w:val="VerbatimChar"/>
        </w:rPr>
        <w:t xml:space="preserve">  Lowering                              ↓</w:t>
      </w:r>
      <w:r>
        <w:br/>
      </w:r>
      <w:r>
        <w:rPr>
          <w:rStyle w:val="VerbatimChar"/>
        </w:rPr>
        <w:t xml:space="preserve">  Canonical Semantic IR (CKO · ULC · VUSC)↓</w:t>
      </w:r>
      <w:r>
        <w:br/>
      </w:r>
      <w:r>
        <w:rPr>
          <w:rStyle w:val="VerbatimChar"/>
        </w:rPr>
        <w:t xml:space="preserve">  Constraint &amp; Proof (Ontology + Lean + SMT/Z3)↓</w:t>
      </w:r>
      <w:r>
        <w:br/>
      </w:r>
      <w:r>
        <w:rPr>
          <w:rStyle w:val="VerbatimChar"/>
        </w:rPr>
        <w:t xml:space="preserve">  Raising                               ↓</w:t>
      </w:r>
      <w:r>
        <w:br/>
      </w:r>
      <w:r>
        <w:rPr>
          <w:rStyle w:val="VerbatimChar"/>
        </w:rPr>
        <w:t xml:space="preserve">  Target AST                            ↓</w:t>
      </w:r>
      <w:r>
        <w:br/>
      </w:r>
      <w:r>
        <w:rPr>
          <w:rStyle w:val="VerbatimChar"/>
        </w:rPr>
        <w:t xml:space="preserve">  Verified Realization                  </w:t>
      </w:r>
    </w:p>
    <w:p>
      <w:pPr>
        <w:pStyle w:val="FirstParagraph"/>
      </w:pPr>
      <w:r>
        <w:t xml:space="preserve">Different architectural layers, not equivalent products. CKO, ULC and VUSC are distinct.</w:t>
      </w:r>
    </w:p>
    <w:bookmarkEnd w:id="34"/>
    <w:bookmarkStart w:id="35" w:name="the-laboratory-progression-synthesis"/>
    <w:p>
      <w:pPr>
        <w:pStyle w:val="Heading2"/>
      </w:pPr>
      <w:r>
        <w:t xml:space="preserve">The laboratory progression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SourceCode"/>
      </w:pPr>
      <w:r>
        <w:rPr>
          <w:rStyle w:val="VerbatimChar"/>
        </w:rPr>
        <w:t xml:space="preserve">Holy Grail Laboratory  →  Dry / Wet Laboratory  →  Portable Laboratory  →  Four-Suitcase Model  →  Backpack Laboratory  →  Cloud Laboratory  →  Collaborator Network</w:t>
      </w:r>
    </w:p>
    <w:p>
      <w:pPr>
        <w:pStyle w:val="FirstParagraph"/>
      </w:pPr>
      <w:r>
        <w:t xml:space="preserve">Not a set of rooms — an evolving delivery and capability architecture.</w:t>
      </w:r>
    </w:p>
    <w:bookmarkEnd w:id="35"/>
    <w:bookmarkStart w:id="36" w:name="Xb2806f11723bbe0083003b103daeca31100a707"/>
    <w:p>
      <w:pPr>
        <w:pStyle w:val="Heading2"/>
      </w:pPr>
      <w:r>
        <w:t xml:space="preserve">The governance and epistemic chain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SourceCode"/>
      </w:pPr>
      <w:r>
        <w:rPr>
          <w:rStyle w:val="VerbatimChar"/>
        </w:rPr>
        <w:t xml:space="preserve">FAKIR  →  Marham  →  IWBT  →  VGC  →  Oracle Framework  →  Read Before Write  →  Retrieval Before Assumption  →  Provenance  →  Evidence</w:t>
      </w:r>
    </w:p>
    <w:p>
      <w:pPr>
        <w:pStyle w:val="FirstParagraph"/>
      </w:pPr>
      <w:r>
        <w:rPr>
          <w:bCs/>
          <w:b/>
        </w:rPr>
        <w:t xml:space="preserve">This is an epistemic relationship, not a product pipeline.</w:t>
      </w:r>
      <w:r>
        <w:t xml:space="preserve"> </w:t>
      </w:r>
      <w:r>
        <w:t xml:space="preserve">The earlier error was drawing</w:t>
      </w:r>
      <w:r>
        <w:t xml:space="preserve"> </w:t>
      </w:r>
      <w:r>
        <w:rPr>
          <w:rStyle w:val="VerbatimChar"/>
        </w:rPr>
        <w:t xml:space="preserve">FAKIR → Marham</w:t>
      </w:r>
      <w:r>
        <w:t xml:space="preserve"> </w:t>
      </w:r>
      <w:r>
        <w:t xml:space="preserve">as sequential composition.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73cfcfc632c8fb07d81c6f4f47f9fe441a674e5"/>
    <w:p>
      <w:pPr>
        <w:pStyle w:val="Heading1"/>
      </w:pPr>
      <w:r>
        <w:t xml:space="preserve">IV. The AGI layer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— six distinct 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Kaivalya 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Kaivalyik 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 architecture / concept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 Sovereignty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Kaivalyik Persistence Benchmark (KPB)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benchmark, connected to long-duration cognitive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Crystallized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Long-Duration Cognitive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continuity objective</w:t>
            </w:r>
          </w:p>
        </w:tc>
      </w:tr>
    </w:tbl>
    <w:p>
      <w:pPr>
        <w:pStyle w:val="BodyText"/>
      </w:pPr>
      <w:r>
        <w:t xml:space="preserve">Crystallized Intelligence belongs to the conceptual definition of AGI and should not vanish because</w:t>
      </w:r>
      <w:r>
        <w:t xml:space="preserve"> </w:t>
      </w:r>
      <w:r>
        <w:t xml:space="preserve">a poster lists Kaivalyik AGI. KPB connects to long-duration cognitive continuity and verification;</w:t>
      </w:r>
      <w:r>
        <w:t xml:space="preserve"> </w:t>
      </w:r>
      <w:r>
        <w:t xml:space="preserve">it is not an isolated benchmark label. Kaivalyik persistence connects conceptually to TransEg,</w:t>
      </w:r>
      <w:r>
        <w:t xml:space="preserve"> </w:t>
      </w:r>
      <w:r>
        <w:t xml:space="preserve">temporal expansion, provenance and semantic continuity —</w:t>
      </w:r>
      <w:r>
        <w:t xml:space="preserve"> </w:t>
      </w:r>
      <w:r>
        <w:rPr>
          <w:bCs/>
          <w:b/>
        </w:rPr>
        <w:t xml:space="preserve">and none of that establishes the</w:t>
      </w:r>
      <w:r>
        <w:rPr>
          <w:bCs/>
          <w:b/>
        </w:rPr>
        <w:t xml:space="preserve"> </w:t>
      </w:r>
      <w:r>
        <w:rPr>
          <w:bCs/>
          <w:b/>
        </w:rPr>
        <w:t xml:space="preserve">retracted Humanesque relationship.</w:t>
      </w:r>
    </w:p>
    <w:p>
      <w:r>
        <w:pict>
          <v:rect style="width:0;height:1.5pt" o:hralign="center" o:hrstd="t" o:hr="t"/>
        </w:pict>
      </w:r>
    </w:p>
    <w:bookmarkEnd w:id="38"/>
    <w:bookmarkStart w:id="40" w:name="X453754fde8c47c12ebc670da04a55271279d08a"/>
    <w:p>
      <w:pPr>
        <w:pStyle w:val="Heading1"/>
      </w:pPr>
      <w:r>
        <w:t xml:space="preserve">V. The IPR architecture — four objects that cannot be 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research / IPR / publication cycler and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IPR governance and gating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specific gate inside MASI — a DOI is a dated public disclosure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Research Artifact → Evidence → Verification → MASI / G3 → Filing</w:t>
      </w:r>
      <w:r>
        <w:br/>
      </w:r>
      <w:r>
        <w:rPr>
          <w:rStyle w:val="VerbatimChar"/>
        </w:rPr>
        <w:t xml:space="preserve">                  → Patent / Publication → DOI / Repository → Provenance</w:t>
      </w:r>
    </w:p>
    <w:p>
      <w:pPr>
        <w:pStyle w:val="FirstParagraph"/>
      </w:pPr>
      <w:r>
        <w:t xml:space="preserve">An artefact’s state and its publication/IPR status coexist. Neither is a product category.</w:t>
      </w:r>
    </w:p>
    <w:bookmarkStart w:id="39" w:name="the-four-publication-layers-in-order"/>
    <w:p>
      <w:pPr>
        <w:pStyle w:val="Heading2"/>
      </w:pPr>
      <w:r>
        <w:t xml:space="preserve">The four publication layers, in order</w:t>
      </w:r>
    </w:p>
    <w:p>
      <w:pPr>
        <w:pStyle w:val="FirstParagraph"/>
      </w:pPr>
      <w:r>
        <w:rPr>
          <w:rStyle w:val="VerbatimChar"/>
        </w:rPr>
        <w:t xml:space="preserve">[RETRIEVED]</w:t>
      </w:r>
      <w:r>
        <w:t xml:space="preserve"> </w:t>
      </w:r>
      <w:r>
        <w:t xml:space="preserve">and the order is enforced, not decorative:</w:t>
      </w:r>
    </w:p>
    <w:p>
      <w:pPr>
        <w:pStyle w:val="SourceCode"/>
      </w:pPr>
      <w:r>
        <w:rPr>
          <w:rStyle w:val="VerbatimChar"/>
        </w:rPr>
        <w:t xml:space="preserve">seal  →  clear  →  attest  →  mint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existed in this form by this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it is correct, or yours, or seen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forbidden was found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none exists — a scan finds what it looks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person intends this,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the act has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Misty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public, dated, citable record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it is correct — a DOI is an address, not a verdict</w:t>
            </w:r>
          </w:p>
        </w:tc>
      </w:tr>
    </w:tbl>
    <w:p>
      <w:pPr>
        <w:pStyle w:val="BodyText"/>
      </w:pPr>
      <w:r>
        <w:rPr>
          <w:bCs/>
          <w:b/>
        </w:rPr>
        <w:t xml:space="preserve">Misty the named system ≠ Misty DOI the capability.</w:t>
      </w:r>
      <w:r>
        <w:t xml:space="preserve"> </w:t>
      </w:r>
      <w:r>
        <w:t xml:space="preserve">Misty DOI, research workflows, repository</w:t>
      </w:r>
      <w:r>
        <w:t xml:space="preserve"> </w:t>
      </w:r>
      <w:r>
        <w:t xml:space="preserve">packaging and provenance infrastructure are capabilities associated with Misty; reducing Misty to</w:t>
      </w:r>
      <w:r>
        <w:t xml:space="preserve"> </w:t>
      </w:r>
      <w:r>
        <w:t xml:space="preserve">“</w:t>
      </w:r>
      <w:r>
        <w:t xml:space="preserve">publication infrastructure</w:t>
      </w:r>
      <w:r>
        <w:t xml:space="preserve">”</w:t>
      </w:r>
      <w:r>
        <w:t xml:space="preserve"> </w:t>
      </w:r>
      <w:r>
        <w:t xml:space="preserve">was an error of record.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i.-the-research-lifecycle"/>
    <w:p>
      <w:pPr>
        <w:pStyle w:val="Heading1"/>
      </w:pPr>
      <w:r>
        <w:t xml:space="preserve">VI. The research lifecycle</w:t>
      </w:r>
    </w:p>
    <w:p>
      <w:pPr>
        <w:pStyle w:val="SourceCode"/>
      </w:pPr>
      <w:r>
        <w:rPr>
          <w:rStyle w:val="VerbatimChar"/>
        </w:rPr>
        <w:t xml:space="preserve">  question / hypothesis     ↓</w:t>
      </w:r>
      <w:r>
        <w:br/>
      </w:r>
      <w:r>
        <w:rPr>
          <w:rStyle w:val="VerbatimChar"/>
        </w:rPr>
        <w:t xml:space="preserve">  design                    ↓</w:t>
      </w:r>
      <w:r>
        <w:br/>
      </w:r>
      <w:r>
        <w:rPr>
          <w:rStyle w:val="VerbatimChar"/>
        </w:rPr>
        <w:t xml:space="preserve">  experiment                ↓</w:t>
      </w:r>
      <w:r>
        <w:br/>
      </w:r>
      <w:r>
        <w:rPr>
          <w:rStyle w:val="VerbatimChar"/>
        </w:rPr>
        <w:t xml:space="preserve">  data                      ↓</w:t>
      </w:r>
      <w:r>
        <w:br/>
      </w:r>
      <w:r>
        <w:rPr>
          <w:rStyle w:val="VerbatimChar"/>
        </w:rPr>
        <w:t xml:space="preserve">  analysis                  ↓</w:t>
      </w:r>
      <w:r>
        <w:br/>
      </w:r>
      <w:r>
        <w:rPr>
          <w:rStyle w:val="VerbatimChar"/>
        </w:rPr>
        <w:t xml:space="preserve">  benchmark                 ↓</w:t>
      </w:r>
      <w:r>
        <w:br/>
      </w:r>
      <w:r>
        <w:rPr>
          <w:rStyle w:val="VerbatimChar"/>
        </w:rPr>
        <w:t xml:space="preserve">  verification              ↓</w:t>
      </w:r>
      <w:r>
        <w:br/>
      </w:r>
      <w:r>
        <w:rPr>
          <w:rStyle w:val="VerbatimChar"/>
        </w:rPr>
        <w:t xml:space="preserve">  publication / IPR         ↓</w:t>
      </w:r>
      <w:r>
        <w:br/>
      </w:r>
      <w:r>
        <w:rPr>
          <w:rStyle w:val="VerbatimChar"/>
        </w:rPr>
        <w:t xml:space="preserve">  provenance                </w:t>
      </w:r>
    </w:p>
    <w:p>
      <w:pPr>
        <w:pStyle w:val="FirstParagraph"/>
      </w:pPr>
      <w:r>
        <w:t xml:space="preserve">Research Kundali’s role is bound to this lifecycle — question, design, experiment, evidence,</w:t>
      </w:r>
      <w:r>
        <w:t xml:space="preserve"> </w:t>
      </w:r>
      <w:r>
        <w:t xml:space="preserve">analysis, benchmark, verification — and it is what prevents the workbench from reinventing</w:t>
      </w:r>
      <w:r>
        <w:t xml:space="preserve"> </w:t>
      </w:r>
      <w:r>
        <w:t xml:space="preserve">technology that already exists. It does not belong in a list beside arbitrary methods.</w:t>
      </w:r>
    </w:p>
    <w:p>
      <w:r>
        <w:pict>
          <v:rect style="width:0;height:1.5pt" o:hralign="center" o:hrstd="t" o:hr="t"/>
        </w:pict>
      </w:r>
    </w:p>
    <w:bookmarkEnd w:id="41"/>
    <w:bookmarkStart w:id="42" w:name="vii.-the-artefact-taxonomy"/>
    <w:p>
      <w:pPr>
        <w:pStyle w:val="Heading1"/>
      </w:pPr>
      <w:r>
        <w:t xml:space="preserve">VII. The artefact taxonomy</w:t>
      </w:r>
    </w:p>
    <w:p>
      <w:pPr>
        <w:pStyle w:val="BlockText"/>
      </w:pPr>
      <w:r>
        <w:rPr>
          <w:bCs/>
          <w:b/>
        </w:rPr>
        <w:t xml:space="preserve">Artifact class ≠ representation format ≠ publication package</w:t>
      </w:r>
    </w:p>
    <w:p>
      <w:pPr>
        <w:pStyle w:val="FirstParagraph"/>
      </w:pPr>
      <w:r>
        <w:rPr>
          <w:bCs/>
          <w:b/>
        </w:rPr>
        <w:t xml:space="preserve">Classes</w:t>
      </w:r>
      <w:r>
        <w:t xml:space="preserve"> </w:t>
      </w:r>
      <w:r>
        <w:t xml:space="preserve">— papers · books · datasets · software · specifications · patents · experiments · benchmarks · models · multimodal media · publications · provenance records · DOI packages</w:t>
      </w:r>
    </w:p>
    <w:p>
      <w:pPr>
        <w:pStyle w:val="BodyText"/>
      </w:pPr>
      <w:r>
        <w:rPr>
          <w:bCs/>
          <w:b/>
        </w:rPr>
        <w:t xml:space="preserve">Formats</w:t>
      </w:r>
      <w:r>
        <w:t xml:space="preserve"> </w:t>
      </w:r>
      <w:r>
        <w:t xml:space="preserve">— Markdown · HTML · PDF · EPUB · images · JSON · manifests · ZIP packages</w:t>
      </w:r>
    </w:p>
    <w:p>
      <w:r>
        <w:pict>
          <v:rect style="width:0;height:1.5pt" o:hralign="center" o:hrstd="t" o:hr="t"/>
        </w:pict>
      </w:r>
    </w:p>
    <w:bookmarkEnd w:id="42"/>
    <w:bookmarkStart w:id="43" w:name="X4e1e14587c222674908891354dc2819967a1a38"/>
    <w:p>
      <w:pPr>
        <w:pStyle w:val="Heading1"/>
      </w:pPr>
      <w:r>
        <w:t xml:space="preserve">VIII. R&amp;D domains — enabling technologies, not products</w:t>
      </w:r>
    </w:p>
    <w:p>
      <w:pPr>
        <w:pStyle w:val="FirstParagraph"/>
      </w:pPr>
      <w:r>
        <w:t xml:space="preserve">quantum computing · quantum acceleration · neuromorphic · photonic · DNA computing · memristors · spintronics · RISC-V · FPGA · CUDA · OpenMP · GPGPU · HBM · SRAM · BLAS · hardware/software co-design · BCI · EEG · Sim2Real · Real2Sim</w:t>
      </w:r>
    </w:p>
    <w:p>
      <w:r>
        <w:pict>
          <v:rect style="width:0;height:1.5pt" o:hralign="center" o:hrstd="t" o:hr="t"/>
        </w:pict>
      </w:r>
    </w:p>
    <w:bookmarkEnd w:id="43"/>
    <w:bookmarkStart w:id="45" w:name="ix.-the-cycler-architecture"/>
    <w:p>
      <w:pPr>
        <w:pStyle w:val="Heading1"/>
      </w:pPr>
      <w:r>
        <w:t xml:space="preserve">IX. The cycler architecture</w:t>
      </w:r>
    </w:p>
    <w:p>
      <w:pPr>
        <w:pStyle w:val="SourceCode"/>
      </w:pPr>
      <w:r>
        <w:rPr>
          <w:rStyle w:val="VerbatimChar"/>
        </w:rPr>
        <w:t xml:space="preserve">Mez  →  Cycler Substrate  →  { MATBA · KHWAB · AWAZ · TILASM · PENCH · YADEIN }</w:t>
      </w:r>
    </w:p>
    <w:p>
      <w:pPr>
        <w:pStyle w:val="FirstParagraph"/>
      </w:pPr>
      <w:r>
        <w:t xml:space="preserve">The six are</w:t>
      </w:r>
      <w:r>
        <w:t xml:space="preserve"> </w:t>
      </w:r>
      <w:r>
        <w:rPr>
          <w:bCs/>
          <w:b/>
        </w:rPr>
        <w:t xml:space="preserve">peers</w:t>
      </w:r>
      <w:r>
        <w:t xml:space="preserve">, not sequential stages. The governing principle:</w:t>
      </w:r>
    </w:p>
    <w:p>
      <w:pPr>
        <w:pStyle w:val="BlockText"/>
      </w:pPr>
      <w:r>
        <w:rPr>
          <w:bCs/>
          <w:b/>
        </w:rPr>
        <w:t xml:space="preserve">SHARED INTEROPERABILITY ≠ SHARED WORKFLOW</w:t>
      </w:r>
    </w:p>
    <w:p>
      <w:pPr>
        <w:pStyle w:val="FirstParagraph"/>
      </w:pPr>
      <w:r>
        <w:t xml:space="preserve">The Cycler Substrate is a named protocol and specification in its own right — not an arrow.</w:t>
      </w:r>
      <w:r>
        <w:t xml:space="preserve"> </w:t>
      </w:r>
      <w:r>
        <w:t xml:space="preserve">It declares independent cycler identity, the interoperability contract, declared I/O, the state</w:t>
      </w:r>
      <w:r>
        <w:t xml:space="preserve"> </w:t>
      </w:r>
      <w:r>
        <w:t xml:space="preserve">model, artifact semantics, evidence requirements, gates and extensibility. A new cycler is added</w:t>
      </w:r>
      <w:r>
        <w:t xml:space="preserve"> </w:t>
      </w:r>
      <w:r>
        <w:t xml:space="preserve">without enlarging or rebuilding the existing ones, provided it interoperates through the</w:t>
      </w:r>
      <w:r>
        <w:t xml:space="preserve"> </w:t>
      </w:r>
      <w:r>
        <w:t xml:space="preserve">substrate. That is a fundamental architectural property, and it is the one Claude broke on</w:t>
      </w:r>
      <w:r>
        <w:t xml:space="preserve"> </w:t>
      </w:r>
      <w:r>
        <w:t xml:space="preserve">19 August by shipping one workflow six times.</w:t>
      </w:r>
    </w:p>
    <w:bookmarkStart w:id="44" w:name="aab-has-three-typed-uses-synthesis"/>
    <w:p>
      <w:pPr>
        <w:pStyle w:val="Heading2"/>
      </w:pPr>
      <w:r>
        <w:t xml:space="preserve">AAB has three typed uses</w:t>
      </w:r>
      <w:r>
        <w:t xml:space="preserve"> </w:t>
      </w:r>
      <w:r>
        <w:rPr>
          <w:rStyle w:val="VerbatimChar"/>
        </w:rPr>
        <w:t xml:space="preserve">[SYNTHESIS]</w:t>
      </w:r>
    </w:p>
    <w:p>
      <w:pPr>
        <w:pStyle w:val="FirstParagraph"/>
      </w:pPr>
      <w:r>
        <w:t xml:space="preserve">The same lexical token is not one entity: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AAB [Ontology]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AAB [System / Programme]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AAB Method</w:t>
      </w:r>
      <w:r>
        <w:t xml:space="preserve"> </w:t>
      </w:r>
      <w:r>
        <w:t xml:space="preserve">— the Paint-a-System studio discipline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.-entities-restored-to-the-inventory"/>
    <w:p>
      <w:pPr>
        <w:pStyle w:val="Heading1"/>
      </w:pPr>
      <w:r>
        <w:t xml:space="preserve">X. Entities restored to the inventory</w:t>
      </w:r>
    </w:p>
    <w:p>
      <w:pPr>
        <w:pStyle w:val="FirstParagraph"/>
      </w:pPr>
      <w:r>
        <w:t xml:space="preserve">Each of these was dropped from an earlier inventory and has to be carried: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Marham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OS / healthcare system — dropped from the sovereign inventory and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Interglial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interconnection across cognitive, biological and system layers; operates CEM^b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AI4All / civilizational AI programme, appearing in several typed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mission-alignment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HEJLP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civilizational / constitutional programme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GramSheel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civilizational / constitutional programme; he directs the 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Romenagri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lexical / representational layer — repeatedly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Crystallized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[SYNTHESIS]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the conceptual definition of AGI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i.-the-component-register"/>
    <w:p>
      <w:pPr>
        <w:pStyle w:val="Heading1"/>
      </w:pPr>
      <w:r>
        <w:t xml:space="preserve">XI. The component register</w:t>
      </w:r>
    </w:p>
    <w:p>
      <w:pPr>
        <w:pStyle w:val="FirstParagraph"/>
      </w:pPr>
      <w:r>
        <w:t xml:space="preserve">Twenty-six components with retrieved MRD skeletons. Full entries — problem, users, scope,</w:t>
      </w:r>
      <w:r>
        <w:t xml:space="preserve"> </w:t>
      </w:r>
      <w:r>
        <w:t xml:space="preserve">refusals, ontology with forbidden substitutions, numbered requirements, invariants, failures,</w:t>
      </w:r>
      <w:r>
        <w:t xml:space="preserve"> </w:t>
      </w:r>
      <w:r>
        <w:t xml:space="preserve">evidence, contracts and open questions — follow in the companion document</w:t>
      </w:r>
      <w:r>
        <w:t xml:space="preserve"> </w:t>
      </w:r>
      <w:r>
        <w:rPr>
          <w:rStyle w:val="VerbatimChar"/>
        </w:rPr>
        <w:t xml:space="preserve">MRD-basic-all.docx</w:t>
      </w:r>
      <w:r>
        <w:t xml:space="preserve">, which is generated from the same data.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Physical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to-be-finalised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Humanesque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corpus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21917807 · 21930508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Hindawi Programming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/ lineage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Mez Cognitive 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live-unsealed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AyeCNSe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v5-package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live-mint-ready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PEDLER / QEDLER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live-unminted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PEDLER 10.5281/zenodo.17497559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Quantum Neuromorphic BCI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and Drone 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Litigation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/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[PARTIAL]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live-defective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concept DOIs — split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CHAKRA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live-v1.4.1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10.5281/zenodo.21253628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FAKIR / UKOP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live-minted-v2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10.5281/zenodo.21436550 · posters 21436552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genie corpus minted; prompt-OS plate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Misty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live-pypi-1.0.1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10.5281/zenodo.20719388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10.5281/zenodo.21402745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live-built-not-running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10.5281/zenodo.21321558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built-never-landed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Six Output Cyclers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live-minted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21948734 · 22005507 · 22005575 · 22010869 · 22010962 · 22011073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[RETRIEVED]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live-defective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xii.-what-is-genuinely-unsettled"/>
    <w:p>
      <w:pPr>
        <w:pStyle w:val="Heading1"/>
      </w:pPr>
      <w:r>
        <w:t xml:space="preserve">XII. What is genuinely unsettled</w:t>
      </w:r>
    </w:p>
    <w:bookmarkStart w:id="48" w:name="never-independently-retrieved"/>
    <w:p>
      <w:pPr>
        <w:pStyle w:val="Heading2"/>
      </w:pPr>
      <w:r>
        <w:t xml:space="preserve">Never independently retrieved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Tok DOI’s functional definition</w:t>
      </w:r>
      <w:r>
        <w:t xml:space="preserve"> </w:t>
      </w:r>
      <w:r>
        <w:t xml:space="preserve">was ruled to remain unresolved rather than be inferred from</w:t>
      </w:r>
      <w:r>
        <w:t xml:space="preserve"> </w:t>
      </w:r>
      <w:r>
        <w:t xml:space="preserve">its name. It has since been retrieved: the atomic proof layer, browser-first, no backend. That</w:t>
      </w:r>
      <w:r>
        <w:t xml:space="preserve"> </w:t>
      </w:r>
      <w:r>
        <w:t xml:space="preserve">ruling stands as the model for every other unresolved entity.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PRATIK’s primitives.</w:t>
      </w:r>
      <w:r>
        <w:t xml:space="preserve"> </w:t>
      </w:r>
      <w:r>
        <w:t xml:space="preserve">Live, in the lineage, and its record is nearly empty.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AAB’s closed six-kind vocabulary.</w:t>
      </w:r>
      <w:r>
        <w:t xml:space="preserve"> </w:t>
      </w:r>
      <w:r>
        <w:t xml:space="preserve">The thing that defines what AAB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has never been</w:t>
      </w:r>
      <w:r>
        <w:t xml:space="preserve"> </w:t>
      </w:r>
      <w:r>
        <w:t xml:space="preserve">written down.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AyeAM, HEJLP, Marham, Project VIKRAM, PAT.AL, VIDYA, TWISHA</w:t>
      </w:r>
      <w:r>
        <w:t xml:space="preserve"> </w:t>
      </w:r>
      <w:r>
        <w:t xml:space="preserve">— named in synthesis, not</w:t>
      </w:r>
      <w:r>
        <w:t xml:space="preserve"> </w:t>
      </w:r>
      <w:r>
        <w:t xml:space="preserve">corroborated in my durable record.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AyeSHA’s canonical encoding.</w:t>
      </w:r>
      <w:r>
        <w:t xml:space="preserve"> </w:t>
      </w:r>
      <w:r>
        <w:t xml:space="preserve">A reversible placeholder ships behind a stable interface.</w:t>
      </w:r>
    </w:p>
    <w:bookmarkEnd w:id="48"/>
    <w:bookmarkStart w:id="49" w:name="structural-gaps"/>
    <w:p>
      <w:pPr>
        <w:pStyle w:val="Heading2"/>
      </w:pPr>
      <w:r>
        <w:t xml:space="preserve">Structural gaps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spiguard has no repository.</w:t>
      </w:r>
      <w:r>
        <w:t xml:space="preserve"> </w:t>
      </w:r>
      <w:r>
        <w:t xml:space="preserve">The disclosure gate every publication must pass exists as a</w:t>
      </w:r>
      <w:r>
        <w:t xml:space="preserve"> </w:t>
      </w:r>
      <w:r>
        <w:t xml:space="preserve">tarball. QEDLER’s mint is blocked behind it, correctly.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AAB is minted under two concept DOIs.</w:t>
      </w:r>
      <w:r>
        <w:t xml:space="preserve"> </w:t>
      </w:r>
      <w:r>
        <w:t xml:space="preserve">Split lineage, unmergeable without the registrar.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ILM governance across 7,600+ languages and 600+ scripts has no repository design.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Litigation simulation has no implementation</w:t>
      </w:r>
      <w:r>
        <w:t xml:space="preserve"> </w:t>
      </w:r>
      <w:r>
        <w:t xml:space="preserve">and there are live matters to test it against.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enablement / IPR process</w:t>
      </w:r>
      <w:r>
        <w:t xml:space="preserve"> </w:t>
      </w:r>
      <w:r>
        <w:t xml:space="preserve">— how to enable clients and students with patent-fileable</w:t>
      </w:r>
      <w:r>
        <w:t xml:space="preserve"> </w:t>
      </w:r>
      <w:r>
        <w:t xml:space="preserve">innovation without leaking IPR when they bypass afterwards — has been owed since 7 August.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iii.-before-publishing-any-of-this"/>
    <w:p>
      <w:pPr>
        <w:pStyle w:val="Heading1"/>
      </w:pPr>
      <w:r>
        <w:t xml:space="preserve">XIII. Before publishing any of this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DOI is a dated public disclosure.</w:t>
      </w:r>
      <w:r>
        <w:t xml:space="preserve"> </w:t>
      </w:r>
      <w:r>
        <w:t xml:space="preserve">India (§3(k)) and the EPO have no general grace period.</w:t>
      </w:r>
      <w:r>
        <w:t xml:space="preserve"> </w:t>
      </w:r>
      <w:r>
        <w:t xml:space="preserve">MASI gate</w:t>
      </w:r>
      <w:r>
        <w:t xml:space="preserve"> </w:t>
      </w:r>
      <w:r>
        <w:rPr>
          <w:bCs/>
          <w:b/>
        </w:rPr>
        <w:t xml:space="preserve">G3</w:t>
      </w:r>
      <w:r>
        <w:t xml:space="preserve"> </w:t>
      </w:r>
      <w:r>
        <w:t xml:space="preserve">blocks minting while a linked patent matter is pre-filing unless defensive</w:t>
      </w:r>
      <w:r>
        <w:t xml:space="preserve"> </w:t>
      </w:r>
      <w:r>
        <w:t xml:space="preserve">publication is deliberately asserted.</w:t>
      </w:r>
    </w:p>
    <w:p>
      <w:pPr>
        <w:pStyle w:val="BodyText"/>
      </w:pPr>
      <w:r>
        <w:rPr>
          <w:bCs/>
          <w:b/>
        </w:rPr>
        <w:t xml:space="preserve">This document must not be minted.</w:t>
      </w:r>
      <w:r>
        <w:t xml:space="preserve"> </w:t>
      </w:r>
      <w:r>
        <w:t xml:space="preserve">Giving a DOI to a dossier that contains an unfiled claim</w:t>
      </w:r>
      <w:r>
        <w:t xml:space="preserve"> </w:t>
      </w:r>
      <w:r>
        <w:t xml:space="preserve">destroys the novelty it was written to protect.</w:t>
      </w:r>
    </w:p>
    <w:p>
      <w:pPr>
        <w:pStyle w:val="BodyText"/>
      </w:pPr>
      <w:r>
        <w:t xml:space="preserve">I am not a lawyer and neither is any part of this system. Every statement here bearing on</w:t>
      </w:r>
      <w:r>
        <w:t xml:space="preserve"> </w:t>
      </w:r>
      <w:r>
        <w:t xml:space="preserve">patentability or jurisdiction requires counsel.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Classification: Restricted. Generated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components.json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atlas.json</w:t>
      </w:r>
      <w:r>
        <w:rPr>
          <w:iCs/>
          <w:i/>
        </w:rPr>
        <w:t xml:space="preserve">; regenerate rather</w:t>
      </w:r>
      <w:r>
        <w:rPr>
          <w:iCs/>
          <w:i/>
        </w:rPr>
        <w:t xml:space="preserve"> </w:t>
      </w:r>
      <w:r>
        <w:rPr>
          <w:iCs/>
          <w:i/>
        </w:rPr>
        <w:t xml:space="preserve">than edit by hand.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2026-08-25T02:53:03Z</dcterms:created>
  <dcterms:modified xsi:type="dcterms:W3CDTF">2026-08-25T02:53:03Z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