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FDCD" w14:textId="77777777" w:rsidR="00A9307B" w:rsidRPr="00342AF4" w:rsidRDefault="00E9682C" w:rsidP="00342AF4">
      <w:pPr>
        <w:ind w:firstLine="0"/>
        <w:jc w:val="center"/>
        <w:rPr>
          <w:b/>
          <w:bCs/>
          <w:sz w:val="32"/>
          <w:szCs w:val="32"/>
        </w:rPr>
      </w:pPr>
      <w:r w:rsidRPr="00342AF4">
        <w:rPr>
          <w:b/>
          <w:bCs/>
          <w:sz w:val="32"/>
          <w:szCs w:val="32"/>
        </w:rPr>
        <w:t>PRODUCT REQUEST DESCRIPTION</w:t>
      </w:r>
    </w:p>
    <w:p w14:paraId="4AA06F3F" w14:textId="77777777" w:rsidR="00A9307B" w:rsidRDefault="00E9682C">
      <w:pPr>
        <w:spacing w:before="30" w:after="30"/>
        <w:ind w:firstLine="0"/>
      </w:pPr>
      <w:r>
        <w:t>Group: C2SE.28</w:t>
      </w:r>
    </w:p>
    <w:p w14:paraId="07D8B28F" w14:textId="77777777" w:rsidR="00A9307B" w:rsidRDefault="00E9682C">
      <w:pPr>
        <w:spacing w:before="30" w:after="30"/>
        <w:ind w:right="116" w:firstLine="0"/>
        <w:rPr>
          <w:color w:val="000000"/>
          <w:highlight w:val="yellow"/>
        </w:rPr>
      </w:pPr>
      <w:r>
        <w:t>Project: Next Generation Quiz and Trivia Platform</w:t>
      </w:r>
    </w:p>
    <w:p w14:paraId="1F46D64B" w14:textId="77777777" w:rsidR="00A9307B" w:rsidRDefault="00E9682C">
      <w:pPr>
        <w:spacing w:before="30" w:after="30"/>
        <w:ind w:firstLine="0"/>
      </w:pPr>
      <w:r>
        <w:t>Posted on: February</w:t>
      </w:r>
      <w:r>
        <w:rPr>
          <w:color w:val="000000"/>
        </w:rPr>
        <w:t xml:space="preserve"> 1</w:t>
      </w:r>
      <w:r>
        <w:t>4</w:t>
      </w:r>
      <w:r>
        <w:rPr>
          <w:color w:val="000000"/>
          <w:vertAlign w:val="superscript"/>
        </w:rPr>
        <w:t>th</w:t>
      </w:r>
      <w:r>
        <w:rPr>
          <w:color w:val="000000"/>
        </w:rPr>
        <w:t>, 202</w:t>
      </w:r>
      <w:r>
        <w:t>5</w:t>
      </w:r>
    </w:p>
    <w:p w14:paraId="7B97B384" w14:textId="77777777" w:rsidR="00A9307B" w:rsidRDefault="00E9682C">
      <w:pPr>
        <w:spacing w:before="30" w:after="30"/>
        <w:ind w:firstLine="0"/>
        <w:rPr>
          <w:b/>
        </w:rPr>
      </w:pPr>
      <w:r>
        <w:rPr>
          <w:b/>
        </w:rPr>
        <w:t>I. Brief description of product ideas (less than 7 statements)</w:t>
      </w:r>
    </w:p>
    <w:tbl>
      <w:tblPr>
        <w:tblStyle w:val="a9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4"/>
      </w:tblGrid>
      <w:tr w:rsidR="00A9307B" w14:paraId="668CCA47" w14:textId="77777777">
        <w:tc>
          <w:tcPr>
            <w:tcW w:w="14454" w:type="dxa"/>
          </w:tcPr>
          <w:p w14:paraId="05CEB89B" w14:textId="77777777" w:rsidR="00A9307B" w:rsidRDefault="00E9682C">
            <w:pPr>
              <w:spacing w:before="30" w:after="30" w:line="360" w:lineRule="auto"/>
              <w:ind w:firstLine="357"/>
              <w:rPr>
                <w:color w:val="000000"/>
              </w:rPr>
            </w:pPr>
            <w:r>
              <w:t>The Next Generation Quiz &amp; Trivia Platform leverages AI to enhance quiz creation, participation, and management. Hosts can instantly generate quizzes using GPT, customize difficulty levels, and track performance analytics. Users engage in interactive gamep</w:t>
            </w:r>
            <w:r>
              <w:t xml:space="preserve">lay with real-time </w:t>
            </w:r>
            <w:proofErr w:type="spellStart"/>
            <w:r>
              <w:t>leaderboards</w:t>
            </w:r>
            <w:proofErr w:type="spellEnd"/>
            <w:r>
              <w:t>, instant feedback, and adaptive question difficulty. The platform supports both live-hosted and self-paced quizzes, ensuring flexibility for different learning styles. Designed for cross-platform accessibility, it runs smoot</w:t>
            </w:r>
            <w:r>
              <w:t>hly on desktops, mobile devices, and tablets. Admins oversee content moderation, user management, and system security to maintain a structured environment.</w:t>
            </w:r>
          </w:p>
        </w:tc>
      </w:tr>
    </w:tbl>
    <w:p w14:paraId="4238F9EF" w14:textId="77777777" w:rsidR="00A9307B" w:rsidRDefault="00E9682C">
      <w:pPr>
        <w:ind w:firstLine="0"/>
        <w:jc w:val="left"/>
        <w:rPr>
          <w:b/>
        </w:rPr>
      </w:pPr>
      <w:r>
        <w:rPr>
          <w:b/>
        </w:rPr>
        <w:t>II. Requirements</w:t>
      </w:r>
    </w:p>
    <w:tbl>
      <w:tblPr>
        <w:tblStyle w:val="aa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9977"/>
      </w:tblGrid>
      <w:tr w:rsidR="00A9307B" w14:paraId="002820F0" w14:textId="77777777">
        <w:tc>
          <w:tcPr>
            <w:tcW w:w="4508" w:type="dxa"/>
            <w:vMerge w:val="restart"/>
          </w:tcPr>
          <w:p w14:paraId="1ED90E22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High-level functional requirements</w:t>
            </w:r>
          </w:p>
        </w:tc>
        <w:tc>
          <w:tcPr>
            <w:tcW w:w="9977" w:type="dxa"/>
            <w:vAlign w:val="center"/>
          </w:tcPr>
          <w:p w14:paraId="07FFECB2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>
              <w:t xml:space="preserve">AI-Powered Quiz Creation </w:t>
            </w:r>
          </w:p>
        </w:tc>
      </w:tr>
      <w:tr w:rsidR="00A9307B" w14:paraId="61B203AA" w14:textId="77777777">
        <w:tc>
          <w:tcPr>
            <w:tcW w:w="4508" w:type="dxa"/>
            <w:vMerge/>
          </w:tcPr>
          <w:p w14:paraId="1E845A7A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7" w:type="dxa"/>
            <w:vAlign w:val="center"/>
          </w:tcPr>
          <w:p w14:paraId="568FB224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t xml:space="preserve">Live &amp; Self-Paced Quizzes </w:t>
            </w:r>
          </w:p>
        </w:tc>
      </w:tr>
      <w:tr w:rsidR="00A9307B" w14:paraId="53BB3894" w14:textId="77777777">
        <w:tc>
          <w:tcPr>
            <w:tcW w:w="4508" w:type="dxa"/>
            <w:vMerge/>
          </w:tcPr>
          <w:p w14:paraId="054382E1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7" w:type="dxa"/>
            <w:vAlign w:val="center"/>
          </w:tcPr>
          <w:p w14:paraId="0A00975B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>
              <w:t xml:space="preserve">User Participation &amp; Engagement </w:t>
            </w:r>
          </w:p>
        </w:tc>
      </w:tr>
      <w:tr w:rsidR="00A9307B" w14:paraId="2D78AE56" w14:textId="77777777">
        <w:tc>
          <w:tcPr>
            <w:tcW w:w="4508" w:type="dxa"/>
            <w:vMerge/>
          </w:tcPr>
          <w:p w14:paraId="50765A49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7" w:type="dxa"/>
            <w:vAlign w:val="center"/>
          </w:tcPr>
          <w:p w14:paraId="67727829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 xml:space="preserve">Analytics &amp; Performance Tracking </w:t>
            </w:r>
          </w:p>
        </w:tc>
      </w:tr>
      <w:tr w:rsidR="00A9307B" w14:paraId="0B25BD26" w14:textId="77777777">
        <w:tc>
          <w:tcPr>
            <w:tcW w:w="4508" w:type="dxa"/>
            <w:vMerge/>
          </w:tcPr>
          <w:p w14:paraId="09C4F33C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7" w:type="dxa"/>
            <w:vAlign w:val="center"/>
          </w:tcPr>
          <w:p w14:paraId="63B3FE0A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>
              <w:t xml:space="preserve">User &amp; Role Management </w:t>
            </w:r>
          </w:p>
        </w:tc>
      </w:tr>
    </w:tbl>
    <w:p w14:paraId="41D6036B" w14:textId="501708A7" w:rsidR="00A9307B" w:rsidRDefault="00A9307B">
      <w:pPr>
        <w:spacing w:line="240" w:lineRule="auto"/>
        <w:ind w:firstLine="0"/>
        <w:rPr>
          <w:color w:val="000000"/>
        </w:rPr>
      </w:pPr>
    </w:p>
    <w:p w14:paraId="213B29F9" w14:textId="75C60926" w:rsidR="00342AF4" w:rsidRDefault="00342AF4" w:rsidP="00342AF4">
      <w:pPr>
        <w:rPr>
          <w:color w:val="000000"/>
        </w:rPr>
      </w:pPr>
      <w:r>
        <w:rPr>
          <w:color w:val="000000"/>
        </w:rPr>
        <w:br w:type="page"/>
      </w:r>
    </w:p>
    <w:tbl>
      <w:tblPr>
        <w:tblStyle w:val="ab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7"/>
        <w:gridCol w:w="9968"/>
      </w:tblGrid>
      <w:tr w:rsidR="00A9307B" w14:paraId="21A2559C" w14:textId="77777777">
        <w:tc>
          <w:tcPr>
            <w:tcW w:w="4517" w:type="dxa"/>
            <w:vMerge w:val="restart"/>
          </w:tcPr>
          <w:p w14:paraId="4A4DE494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Quality property requirements</w:t>
            </w:r>
          </w:p>
        </w:tc>
        <w:tc>
          <w:tcPr>
            <w:tcW w:w="9968" w:type="dxa"/>
          </w:tcPr>
          <w:p w14:paraId="2946F143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1. Easy to use</w:t>
            </w:r>
          </w:p>
        </w:tc>
      </w:tr>
      <w:tr w:rsidR="00A9307B" w14:paraId="19FC16F5" w14:textId="77777777">
        <w:tc>
          <w:tcPr>
            <w:tcW w:w="4517" w:type="dxa"/>
            <w:vMerge/>
          </w:tcPr>
          <w:p w14:paraId="6BBAF2F9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68" w:type="dxa"/>
          </w:tcPr>
          <w:p w14:paraId="7E082839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 Easy to learn</w:t>
            </w:r>
          </w:p>
        </w:tc>
      </w:tr>
      <w:tr w:rsidR="00A9307B" w14:paraId="6949F6FD" w14:textId="77777777">
        <w:tc>
          <w:tcPr>
            <w:tcW w:w="4517" w:type="dxa"/>
            <w:vMerge/>
          </w:tcPr>
          <w:p w14:paraId="77097F68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68" w:type="dxa"/>
          </w:tcPr>
          <w:p w14:paraId="4269A0C8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3. Easy to Interact</w:t>
            </w:r>
          </w:p>
        </w:tc>
      </w:tr>
      <w:tr w:rsidR="00A9307B" w14:paraId="42A1FC3F" w14:textId="77777777">
        <w:tc>
          <w:tcPr>
            <w:tcW w:w="4517" w:type="dxa"/>
            <w:vMerge/>
          </w:tcPr>
          <w:p w14:paraId="55953C0C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68" w:type="dxa"/>
          </w:tcPr>
          <w:p w14:paraId="592D8707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 Easy to understand</w:t>
            </w:r>
          </w:p>
        </w:tc>
      </w:tr>
    </w:tbl>
    <w:p w14:paraId="5B56DB85" w14:textId="77777777" w:rsidR="00A9307B" w:rsidRDefault="00A9307B">
      <w:pPr>
        <w:spacing w:line="240" w:lineRule="auto"/>
        <w:ind w:firstLine="0"/>
        <w:rPr>
          <w:color w:val="000000"/>
        </w:rPr>
      </w:pPr>
    </w:p>
    <w:tbl>
      <w:tblPr>
        <w:tblStyle w:val="ac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4"/>
        <w:gridCol w:w="9971"/>
      </w:tblGrid>
      <w:tr w:rsidR="00A9307B" w14:paraId="7D02CA35" w14:textId="77777777">
        <w:tc>
          <w:tcPr>
            <w:tcW w:w="4514" w:type="dxa"/>
            <w:vMerge w:val="restart"/>
          </w:tcPr>
          <w:p w14:paraId="2E3066F7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Operational requirements</w:t>
            </w:r>
          </w:p>
        </w:tc>
        <w:tc>
          <w:tcPr>
            <w:tcW w:w="9971" w:type="dxa"/>
          </w:tcPr>
          <w:p w14:paraId="11EAEFEB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1. Ensure system stability</w:t>
            </w:r>
          </w:p>
        </w:tc>
      </w:tr>
      <w:tr w:rsidR="00A9307B" w14:paraId="319A0A3E" w14:textId="77777777">
        <w:tc>
          <w:tcPr>
            <w:tcW w:w="4514" w:type="dxa"/>
            <w:vMerge/>
          </w:tcPr>
          <w:p w14:paraId="6F144A2A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1" w:type="dxa"/>
          </w:tcPr>
          <w:p w14:paraId="786E1149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 Ensure system safety</w:t>
            </w:r>
          </w:p>
        </w:tc>
      </w:tr>
      <w:tr w:rsidR="00A9307B" w14:paraId="75A84D88" w14:textId="77777777">
        <w:tc>
          <w:tcPr>
            <w:tcW w:w="4514" w:type="dxa"/>
            <w:vMerge/>
          </w:tcPr>
          <w:p w14:paraId="7D87B593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1" w:type="dxa"/>
          </w:tcPr>
          <w:p w14:paraId="5A4DCC6D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3. Secure user and system information</w:t>
            </w:r>
          </w:p>
        </w:tc>
      </w:tr>
      <w:tr w:rsidR="00A9307B" w14:paraId="6714BA34" w14:textId="77777777">
        <w:tc>
          <w:tcPr>
            <w:tcW w:w="4514" w:type="dxa"/>
            <w:vMerge/>
          </w:tcPr>
          <w:p w14:paraId="54B355BD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1" w:type="dxa"/>
          </w:tcPr>
          <w:p w14:paraId="7EED0CE5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 Ensure load balancing</w:t>
            </w:r>
          </w:p>
        </w:tc>
      </w:tr>
      <w:tr w:rsidR="00A9307B" w14:paraId="37D0ED07" w14:textId="77777777">
        <w:tc>
          <w:tcPr>
            <w:tcW w:w="4514" w:type="dxa"/>
            <w:vMerge/>
          </w:tcPr>
          <w:p w14:paraId="21385767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1" w:type="dxa"/>
          </w:tcPr>
          <w:p w14:paraId="097DBD39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 Ensure system scalability</w:t>
            </w:r>
          </w:p>
        </w:tc>
      </w:tr>
    </w:tbl>
    <w:p w14:paraId="6521FDA8" w14:textId="77777777" w:rsidR="00A9307B" w:rsidRDefault="00A9307B">
      <w:pPr>
        <w:spacing w:line="240" w:lineRule="auto"/>
        <w:ind w:firstLine="0"/>
        <w:rPr>
          <w:color w:val="000000"/>
        </w:rPr>
      </w:pPr>
    </w:p>
    <w:tbl>
      <w:tblPr>
        <w:tblStyle w:val="ad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9974"/>
      </w:tblGrid>
      <w:tr w:rsidR="00A9307B" w14:paraId="294693DA" w14:textId="77777777">
        <w:tc>
          <w:tcPr>
            <w:tcW w:w="4511" w:type="dxa"/>
            <w:vMerge w:val="restart"/>
          </w:tcPr>
          <w:p w14:paraId="640D073F" w14:textId="77777777" w:rsidR="00A9307B" w:rsidRDefault="00E9682C" w:rsidP="00342AF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Environmental and operational requirements</w:t>
            </w:r>
          </w:p>
        </w:tc>
        <w:tc>
          <w:tcPr>
            <w:tcW w:w="9974" w:type="dxa"/>
          </w:tcPr>
          <w:p w14:paraId="62DBE755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1.The website must be fully optimized for all major web browsers to ensure accessibility across different environments.</w:t>
            </w:r>
          </w:p>
        </w:tc>
      </w:tr>
      <w:tr w:rsidR="00A9307B" w14:paraId="62B15543" w14:textId="77777777">
        <w:tc>
          <w:tcPr>
            <w:tcW w:w="4511" w:type="dxa"/>
            <w:vMerge/>
          </w:tcPr>
          <w:p w14:paraId="13A2E239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74" w:type="dxa"/>
          </w:tcPr>
          <w:p w14:paraId="6ACD57E1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 Ensure compatibility and smooth integration with existing external systems and services,</w:t>
            </w:r>
            <w:r>
              <w:rPr>
                <w:color w:val="000000"/>
              </w:rPr>
              <w:t xml:space="preserve"> such as payment gateways and mapping services, to facilitate seamless user interactions.</w:t>
            </w:r>
          </w:p>
        </w:tc>
      </w:tr>
    </w:tbl>
    <w:p w14:paraId="4820D55D" w14:textId="77777777" w:rsidR="00A9307B" w:rsidRDefault="00A9307B">
      <w:pPr>
        <w:spacing w:line="240" w:lineRule="auto"/>
        <w:ind w:firstLine="0"/>
        <w:rPr>
          <w:color w:val="000000"/>
        </w:rPr>
      </w:pPr>
    </w:p>
    <w:tbl>
      <w:tblPr>
        <w:tblStyle w:val="ae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9942"/>
      </w:tblGrid>
      <w:tr w:rsidR="00A9307B" w14:paraId="4E2AB14C" w14:textId="77777777">
        <w:tc>
          <w:tcPr>
            <w:tcW w:w="4543" w:type="dxa"/>
          </w:tcPr>
          <w:p w14:paraId="2EA62B73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Cultural requirements </w:t>
            </w:r>
          </w:p>
        </w:tc>
        <w:tc>
          <w:tcPr>
            <w:tcW w:w="9942" w:type="dxa"/>
          </w:tcPr>
          <w:p w14:paraId="37DDAC60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1. N/A</w:t>
            </w:r>
          </w:p>
        </w:tc>
      </w:tr>
    </w:tbl>
    <w:p w14:paraId="56E082F4" w14:textId="192A3B64" w:rsidR="00E9682C" w:rsidRDefault="00E9682C">
      <w:pPr>
        <w:spacing w:line="240" w:lineRule="auto"/>
        <w:ind w:firstLine="0"/>
        <w:rPr>
          <w:color w:val="000000"/>
        </w:rPr>
      </w:pPr>
    </w:p>
    <w:p w14:paraId="525B71D1" w14:textId="05C04CF1" w:rsidR="00A9307B" w:rsidRDefault="00E9682C" w:rsidP="00E9682C">
      <w:pPr>
        <w:rPr>
          <w:color w:val="000000"/>
        </w:rPr>
      </w:pPr>
      <w:r>
        <w:rPr>
          <w:color w:val="000000"/>
        </w:rPr>
        <w:br w:type="page"/>
      </w:r>
    </w:p>
    <w:tbl>
      <w:tblPr>
        <w:tblStyle w:val="af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3"/>
        <w:gridCol w:w="774"/>
        <w:gridCol w:w="9228"/>
      </w:tblGrid>
      <w:tr w:rsidR="00A9307B" w14:paraId="1E685A8F" w14:textId="77777777">
        <w:tc>
          <w:tcPr>
            <w:tcW w:w="4483" w:type="dxa"/>
            <w:vMerge w:val="restart"/>
          </w:tcPr>
          <w:p w14:paraId="7E0CBC61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Assess the complexity of technical problems</w:t>
            </w:r>
          </w:p>
        </w:tc>
        <w:tc>
          <w:tcPr>
            <w:tcW w:w="774" w:type="dxa"/>
          </w:tcPr>
          <w:p w14:paraId="49A3CB1A" w14:textId="77777777" w:rsidR="00A9307B" w:rsidRDefault="00A9307B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28" w:type="dxa"/>
          </w:tcPr>
          <w:p w14:paraId="2BB373A5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1. Broad Technical Challenges </w:t>
            </w:r>
          </w:p>
        </w:tc>
      </w:tr>
      <w:tr w:rsidR="00A9307B" w14:paraId="592A5DDF" w14:textId="77777777">
        <w:tc>
          <w:tcPr>
            <w:tcW w:w="4483" w:type="dxa"/>
            <w:vMerge/>
          </w:tcPr>
          <w:p w14:paraId="2466DCB8" w14:textId="77777777" w:rsidR="00A9307B" w:rsidRDefault="00A9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4" w:type="dxa"/>
          </w:tcPr>
          <w:p w14:paraId="192E3E3C" w14:textId="77777777" w:rsidR="00A9307B" w:rsidRDefault="00A9307B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28" w:type="dxa"/>
          </w:tcPr>
          <w:p w14:paraId="1E1650E7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 No Clear Solutions Available</w:t>
            </w:r>
          </w:p>
        </w:tc>
      </w:tr>
      <w:tr w:rsidR="00A9307B" w14:paraId="18B5EAD1" w14:textId="77777777">
        <w:tc>
          <w:tcPr>
            <w:tcW w:w="4483" w:type="dxa"/>
            <w:vMerge/>
          </w:tcPr>
          <w:p w14:paraId="49601771" w14:textId="77777777" w:rsidR="00A9307B" w:rsidRDefault="00A9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4" w:type="dxa"/>
          </w:tcPr>
          <w:p w14:paraId="06702551" w14:textId="77777777" w:rsidR="00A9307B" w:rsidRDefault="00A9307B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</w:p>
        </w:tc>
        <w:tc>
          <w:tcPr>
            <w:tcW w:w="9228" w:type="dxa"/>
          </w:tcPr>
          <w:p w14:paraId="1754510C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3. Multi-stakeholder Involvement</w:t>
            </w:r>
          </w:p>
        </w:tc>
      </w:tr>
      <w:tr w:rsidR="00A9307B" w14:paraId="61EE0C72" w14:textId="77777777">
        <w:tc>
          <w:tcPr>
            <w:tcW w:w="4483" w:type="dxa"/>
            <w:vMerge/>
          </w:tcPr>
          <w:p w14:paraId="15FE02E9" w14:textId="77777777" w:rsidR="00A9307B" w:rsidRDefault="00A9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4" w:type="dxa"/>
          </w:tcPr>
          <w:p w14:paraId="4CC253D9" w14:textId="77777777" w:rsidR="00A9307B" w:rsidRDefault="00E9682C">
            <w:pPr>
              <w:spacing w:line="240" w:lineRule="auto"/>
              <w:ind w:left="-186" w:right="-18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228" w:type="dxa"/>
          </w:tcPr>
          <w:p w14:paraId="5617964E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 Multi-component Integration</w:t>
            </w:r>
          </w:p>
        </w:tc>
      </w:tr>
      <w:tr w:rsidR="00A9307B" w14:paraId="26E30A8C" w14:textId="77777777">
        <w:tc>
          <w:tcPr>
            <w:tcW w:w="4483" w:type="dxa"/>
            <w:vMerge/>
          </w:tcPr>
          <w:p w14:paraId="046050A7" w14:textId="77777777" w:rsidR="00A9307B" w:rsidRDefault="00A9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4" w:type="dxa"/>
          </w:tcPr>
          <w:p w14:paraId="7E02C4F8" w14:textId="77777777" w:rsidR="00A9307B" w:rsidRDefault="00A9307B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28" w:type="dxa"/>
          </w:tcPr>
          <w:p w14:paraId="4B4B6809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 Multi-disciplinary Approach</w:t>
            </w:r>
          </w:p>
        </w:tc>
      </w:tr>
      <w:tr w:rsidR="00A9307B" w14:paraId="199BC272" w14:textId="77777777">
        <w:tc>
          <w:tcPr>
            <w:tcW w:w="4483" w:type="dxa"/>
            <w:vMerge/>
          </w:tcPr>
          <w:p w14:paraId="6F185833" w14:textId="77777777" w:rsidR="00A9307B" w:rsidRDefault="00A93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4" w:type="dxa"/>
          </w:tcPr>
          <w:p w14:paraId="13FC9756" w14:textId="77777777" w:rsidR="00A9307B" w:rsidRDefault="00A9307B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28" w:type="dxa"/>
          </w:tcPr>
          <w:p w14:paraId="5C468CFE" w14:textId="77777777" w:rsidR="00A9307B" w:rsidRDefault="00E9682C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 No Clear Solutions Available</w:t>
            </w:r>
          </w:p>
        </w:tc>
      </w:tr>
    </w:tbl>
    <w:p w14:paraId="077F3E8C" w14:textId="77777777" w:rsidR="00A9307B" w:rsidRDefault="00A9307B">
      <w:pPr>
        <w:spacing w:line="240" w:lineRule="auto"/>
        <w:ind w:firstLine="0"/>
        <w:rPr>
          <w:color w:val="000000"/>
        </w:rPr>
      </w:pPr>
    </w:p>
    <w:tbl>
      <w:tblPr>
        <w:tblStyle w:val="af0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3"/>
        <w:gridCol w:w="722"/>
        <w:gridCol w:w="9270"/>
      </w:tblGrid>
      <w:tr w:rsidR="00A9307B" w14:paraId="2132DB70" w14:textId="77777777">
        <w:tc>
          <w:tcPr>
            <w:tcW w:w="4493" w:type="dxa"/>
            <w:vMerge w:val="restart"/>
          </w:tcPr>
          <w:p w14:paraId="378F3E00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Standard requirements</w:t>
            </w:r>
          </w:p>
        </w:tc>
        <w:tc>
          <w:tcPr>
            <w:tcW w:w="722" w:type="dxa"/>
          </w:tcPr>
          <w:p w14:paraId="0D4A683C" w14:textId="77777777" w:rsidR="00A9307B" w:rsidRDefault="00A9307B" w:rsidP="00342AF4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70" w:type="dxa"/>
          </w:tcPr>
          <w:p w14:paraId="7A8D7E4A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1. Code Standard</w:t>
            </w:r>
          </w:p>
        </w:tc>
      </w:tr>
      <w:tr w:rsidR="00A9307B" w14:paraId="610875BE" w14:textId="77777777">
        <w:tc>
          <w:tcPr>
            <w:tcW w:w="4493" w:type="dxa"/>
            <w:vMerge/>
          </w:tcPr>
          <w:p w14:paraId="37192996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22" w:type="dxa"/>
          </w:tcPr>
          <w:p w14:paraId="5B5D276C" w14:textId="77777777" w:rsidR="00A9307B" w:rsidRDefault="00A9307B" w:rsidP="00342AF4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70" w:type="dxa"/>
          </w:tcPr>
          <w:p w14:paraId="1FBE4276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 Design Standards (Object-Oriented Design, Analysis)</w:t>
            </w:r>
          </w:p>
        </w:tc>
      </w:tr>
      <w:tr w:rsidR="00A9307B" w14:paraId="734C4CA1" w14:textId="77777777">
        <w:tc>
          <w:tcPr>
            <w:tcW w:w="4493" w:type="dxa"/>
            <w:vMerge/>
          </w:tcPr>
          <w:p w14:paraId="1C99E1CD" w14:textId="77777777" w:rsidR="00A9307B" w:rsidRDefault="00A9307B" w:rsidP="00342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22" w:type="dxa"/>
          </w:tcPr>
          <w:p w14:paraId="56783EE7" w14:textId="77777777" w:rsidR="00A9307B" w:rsidRDefault="00A9307B" w:rsidP="00342AF4">
            <w:pPr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9270" w:type="dxa"/>
          </w:tcPr>
          <w:p w14:paraId="5E11FE0E" w14:textId="77777777" w:rsidR="00A9307B" w:rsidRDefault="00E9682C" w:rsidP="00342AF4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3. ISO/IEC/IEEE 12207:2017 (TCVN 10539:2014); ISO/IEC 25051:2006 (TCVN 10540:2014)</w:t>
            </w:r>
          </w:p>
        </w:tc>
      </w:tr>
    </w:tbl>
    <w:p w14:paraId="5124ABC2" w14:textId="77777777" w:rsidR="00A9307B" w:rsidRDefault="00A930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2"/>
        <w:rPr>
          <w:b/>
          <w:i/>
          <w:color w:val="000000"/>
        </w:rPr>
      </w:pPr>
    </w:p>
    <w:p w14:paraId="06DE0147" w14:textId="77777777" w:rsidR="00A9307B" w:rsidRDefault="00A9307B">
      <w:pPr>
        <w:ind w:firstLine="0"/>
      </w:pPr>
    </w:p>
    <w:sectPr w:rsidR="00A9307B">
      <w:pgSz w:w="16838" w:h="11906" w:orient="landscape"/>
      <w:pgMar w:top="993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5AF"/>
    <w:multiLevelType w:val="multilevel"/>
    <w:tmpl w:val="319A2C7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7B"/>
    <w:rsid w:val="00342AF4"/>
    <w:rsid w:val="00A9307B"/>
    <w:rsid w:val="00E9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CF1F"/>
  <w15:docId w15:val="{2E67E7B9-D6F9-4A4E-9200-9E49776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1B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4CD"/>
    <w:pPr>
      <w:keepNext/>
      <w:keepLines/>
      <w:numPr>
        <w:numId w:val="1"/>
      </w:numPr>
      <w:spacing w:before="80"/>
      <w:ind w:hanging="360"/>
      <w:outlineLvl w:val="2"/>
    </w:pPr>
    <w:rPr>
      <w:rFonts w:eastAsiaTheme="majorEastAsia"/>
      <w:b/>
      <w:color w:val="000000"/>
      <w:sz w:val="32"/>
      <w:szCs w:val="28"/>
      <w:shd w:val="clear" w:color="auto" w:fill="FFFFF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2FF"/>
    <w:pPr>
      <w:keepNext/>
      <w:keepLines/>
      <w:spacing w:after="75" w:line="264" w:lineRule="auto"/>
      <w:jc w:val="center"/>
      <w:outlineLvl w:val="3"/>
    </w:pPr>
    <w:rPr>
      <w:rFonts w:eastAsiaTheme="majorEastAsia" w:cstheme="majorBidi"/>
      <w:b/>
      <w:sz w:val="32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0B12FF"/>
    <w:rPr>
      <w:rFonts w:eastAsiaTheme="majorEastAsia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44CD"/>
    <w:rPr>
      <w:rFonts w:eastAsiaTheme="majorEastAsia" w:cs="Times New Roman"/>
      <w:b/>
      <w:color w:val="0000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table" w:styleId="TableGrid">
    <w:name w:val="Table Grid"/>
    <w:basedOn w:val="TableNormal"/>
    <w:uiPriority w:val="39"/>
    <w:rsid w:val="002577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00C4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E2089A"/>
    <w:rPr>
      <w:color w:val="808080"/>
    </w:rPr>
  </w:style>
  <w:style w:type="paragraph" w:styleId="ListParagraph">
    <w:name w:val="List Paragraph"/>
    <w:basedOn w:val="Normal"/>
    <w:uiPriority w:val="34"/>
    <w:qFormat/>
    <w:rsid w:val="00E208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61C5"/>
    <w:rPr>
      <w:b/>
      <w:bCs/>
    </w:rPr>
  </w:style>
  <w:style w:type="table" w:customStyle="1" w:styleId="a9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EUiQgPGelF4AnagYkzxFbZ+g5Q==">CgMxLjA4AHIhMVlYLTF2VXBPZ3ZZLUtNQ1FCY09JT0Nxay13VktxaGV4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Tèo Nguyễn Văn</dc:creator>
  <cp:lastModifiedBy>tú đặng</cp:lastModifiedBy>
  <cp:revision>7</cp:revision>
  <dcterms:created xsi:type="dcterms:W3CDTF">2021-03-07T20:50:00Z</dcterms:created>
  <dcterms:modified xsi:type="dcterms:W3CDTF">2025-02-14T15:02:00Z</dcterms:modified>
</cp:coreProperties>
</file>