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3304C"/>
          <w:sz w:val="52"/>
        </w:rPr>
        <w:t>ZITCH TECHNOLOGIES</w:t>
      </w:r>
    </w:p>
    <w:p>
      <w:pPr>
        <w:jc w:val="center"/>
      </w:pPr>
      <w:r>
        <w:rPr>
          <w:color w:val="0FA295"/>
          <w:sz w:val="24"/>
        </w:rPr>
        <w:t>●  ●  ●</w:t>
      </w:r>
    </w:p>
    <w:p/>
    <w:p>
      <w:pPr>
        <w:jc w:val="center"/>
      </w:pPr>
      <w:r>
        <w:rPr>
          <w:b/>
          <w:color w:val="03304C"/>
          <w:sz w:val="40"/>
        </w:rPr>
        <w:t>Anti-Money Laundering, Counter-Terrorist</w:t>
        <w:br/>
        <w:t>Financing &amp; Counter-Proliferation Financing Policy</w:t>
      </w:r>
    </w:p>
    <w:p>
      <w:pPr>
        <w:jc w:val="center"/>
      </w:pPr>
      <w:r>
        <w:rPr>
          <w:color w:val="555555"/>
          <w:sz w:val="24"/>
        </w:rPr>
        <w:t>AML / CFT / CPF Policy</w:t>
      </w:r>
    </w:p>
    <w:p/>
    <w:p/>
    <w:p/>
    <w:p/>
    <w:p/>
    <w:p/>
    <w:p/>
    <w:p/>
    <w:p>
      <w:pPr>
        <w:jc w:val="center"/>
      </w:pPr>
      <w:r>
        <w:rPr>
          <w:color w:val="555555"/>
          <w:sz w:val="20"/>
        </w:rPr>
        <w:t>Document version 1.0   ·   [Effective date: ___________]</w:t>
      </w:r>
    </w:p>
    <w:p>
      <w:pPr>
        <w:jc w:val="center"/>
      </w:pPr>
      <w:r>
        <w:rPr>
          <w:color w:val="555555"/>
          <w:sz w:val="20"/>
        </w:rPr>
        <w:t>Classification: Internal / Regulatory</w:t>
      </w:r>
    </w:p>
    <w:p>
      <w:r>
        <w:br w:type="page"/>
      </w:r>
    </w:p>
    <w:p>
      <w:pPr>
        <w:pStyle w:val="Heading2"/>
      </w:pPr>
      <w:r>
        <w:t>Document control</w:t>
      </w:r>
    </w:p>
    <w:tbl>
      <w:tblPr>
        <w:tblStyle w:val="TableGrid"/>
        <w:tblW w:type="auto" w:w="0"/>
        <w:tblLook w:firstColumn="1" w:firstRow="1" w:lastColumn="0" w:lastRow="0" w:noHBand="0" w:noVBand="1" w:val="04A0"/>
      </w:tblPr>
      <w:tblGrid>
        <w:gridCol w:w="2880"/>
        <w:gridCol w:w="6624"/>
      </w:tblGrid>
      <w:tr>
        <w:tc>
          <w:tcPr>
            <w:tcW w:type="dxa" w:w="4824"/>
          </w:tcPr>
          <w:p>
            <w:r/>
            <w:r>
              <w:rPr>
                <w:rFonts w:ascii="Calibri" w:hAnsi="Calibri"/>
                <w:b/>
                <w:color w:val="03304C"/>
                <w:sz w:val="20"/>
              </w:rPr>
              <w:t>Document title</w:t>
            </w:r>
          </w:p>
        </w:tc>
        <w:tc>
          <w:tcPr>
            <w:tcW w:type="dxa" w:w="4824"/>
          </w:tcPr>
          <w:p>
            <w:r/>
            <w:r>
              <w:rPr>
                <w:rFonts w:ascii="Calibri" w:hAnsi="Calibri"/>
                <w:b w:val="0"/>
                <w:sz w:val="20"/>
              </w:rPr>
              <w:t>Anti-Money Laundering (AML), Counter-Terrorist Financing (CFT) &amp; Counter-Proliferation Financing (CPF) Policy</w:t>
            </w:r>
          </w:p>
        </w:tc>
      </w:tr>
      <w:tr>
        <w:tc>
          <w:tcPr>
            <w:tcW w:type="dxa" w:w="4824"/>
          </w:tcPr>
          <w:p>
            <w:r/>
            <w:r>
              <w:rPr>
                <w:rFonts w:ascii="Calibri" w:hAnsi="Calibri"/>
                <w:b/>
                <w:color w:val="03304C"/>
                <w:sz w:val="20"/>
              </w:rPr>
              <w:t>Owner / approver</w:t>
            </w:r>
          </w:p>
        </w:tc>
        <w:tc>
          <w:tcPr>
            <w:tcW w:type="dxa" w:w="4824"/>
          </w:tcPr>
          <w:p>
            <w:r/>
            <w:r>
              <w:rPr>
                <w:rFonts w:ascii="Calibri" w:hAnsi="Calibri"/>
                <w:b w:val="0"/>
                <w:sz w:val="20"/>
              </w:rPr>
              <w:t>Board of Directors (approval) · Chief Compliance Officer / MLRO (owner)</w:t>
            </w:r>
          </w:p>
        </w:tc>
      </w:tr>
      <w:tr>
        <w:tc>
          <w:tcPr>
            <w:tcW w:type="dxa" w:w="4824"/>
          </w:tcPr>
          <w:p>
            <w:r/>
            <w:r>
              <w:rPr>
                <w:rFonts w:ascii="Calibri" w:hAnsi="Calibri"/>
                <w:b/>
                <w:color w:val="03304C"/>
                <w:sz w:val="20"/>
              </w:rPr>
              <w:t>Version</w:t>
            </w:r>
          </w:p>
        </w:tc>
        <w:tc>
          <w:tcPr>
            <w:tcW w:type="dxa" w:w="4824"/>
          </w:tcPr>
          <w:p>
            <w:r/>
            <w:r>
              <w:rPr>
                <w:rFonts w:ascii="Calibri" w:hAnsi="Calibri"/>
                <w:b w:val="0"/>
                <w:sz w:val="20"/>
              </w:rPr>
              <w:t>1.0</w:t>
            </w:r>
          </w:p>
        </w:tc>
      </w:tr>
      <w:tr>
        <w:tc>
          <w:tcPr>
            <w:tcW w:type="dxa" w:w="4824"/>
          </w:tcPr>
          <w:p>
            <w:r/>
            <w:r>
              <w:rPr>
                <w:rFonts w:ascii="Calibri" w:hAnsi="Calibri"/>
                <w:b/>
                <w:color w:val="03304C"/>
                <w:sz w:val="20"/>
              </w:rPr>
              <w:t>Status</w:t>
            </w:r>
          </w:p>
        </w:tc>
        <w:tc>
          <w:tcPr>
            <w:tcW w:type="dxa" w:w="4824"/>
          </w:tcPr>
          <w:p>
            <w:r/>
            <w:r>
              <w:rPr>
                <w:rFonts w:ascii="Calibri" w:hAnsi="Calibri"/>
                <w:b w:val="0"/>
                <w:sz w:val="20"/>
              </w:rPr>
              <w:t>Approved [to be confirmed on adoption]</w:t>
            </w:r>
          </w:p>
        </w:tc>
      </w:tr>
      <w:tr>
        <w:tc>
          <w:tcPr>
            <w:tcW w:type="dxa" w:w="4824"/>
          </w:tcPr>
          <w:p>
            <w:r/>
            <w:r>
              <w:rPr>
                <w:rFonts w:ascii="Calibri" w:hAnsi="Calibri"/>
                <w:b/>
                <w:color w:val="03304C"/>
                <w:sz w:val="20"/>
              </w:rPr>
              <w:t>Effective date</w:t>
            </w:r>
          </w:p>
        </w:tc>
        <w:tc>
          <w:tcPr>
            <w:tcW w:type="dxa" w:w="4824"/>
          </w:tcPr>
          <w:p>
            <w:r/>
            <w:r>
              <w:rPr>
                <w:rFonts w:ascii="Calibri" w:hAnsi="Calibri"/>
                <w:b w:val="0"/>
                <w:sz w:val="20"/>
              </w:rPr>
              <w:t>[Effective date: ___________]</w:t>
            </w:r>
          </w:p>
        </w:tc>
      </w:tr>
      <w:tr>
        <w:tc>
          <w:tcPr>
            <w:tcW w:type="dxa" w:w="4824"/>
          </w:tcPr>
          <w:p>
            <w:r/>
            <w:r>
              <w:rPr>
                <w:rFonts w:ascii="Calibri" w:hAnsi="Calibri"/>
                <w:b/>
                <w:color w:val="03304C"/>
                <w:sz w:val="20"/>
              </w:rPr>
              <w:t>Next review</w:t>
            </w:r>
          </w:p>
        </w:tc>
        <w:tc>
          <w:tcPr>
            <w:tcW w:type="dxa" w:w="4824"/>
          </w:tcPr>
          <w:p>
            <w:r/>
            <w:r>
              <w:rPr>
                <w:rFonts w:ascii="Calibri" w:hAnsi="Calibri"/>
                <w:b w:val="0"/>
                <w:sz w:val="20"/>
              </w:rPr>
              <w:t>Annually, or upon a material change in law, products, partners or risk</w:t>
            </w:r>
          </w:p>
        </w:tc>
      </w:tr>
      <w:tr>
        <w:tc>
          <w:tcPr>
            <w:tcW w:type="dxa" w:w="4824"/>
          </w:tcPr>
          <w:p>
            <w:r/>
            <w:r>
              <w:rPr>
                <w:rFonts w:ascii="Calibri" w:hAnsi="Calibri"/>
                <w:b/>
                <w:color w:val="03304C"/>
                <w:sz w:val="20"/>
              </w:rPr>
              <w:t>Distribution</w:t>
            </w:r>
          </w:p>
        </w:tc>
        <w:tc>
          <w:tcPr>
            <w:tcW w:type="dxa" w:w="4824"/>
          </w:tcPr>
          <w:p>
            <w:r/>
            <w:r>
              <w:rPr>
                <w:rFonts w:ascii="Calibri" w:hAnsi="Calibri"/>
                <w:b w:val="0"/>
                <w:sz w:val="20"/>
              </w:rPr>
              <w:t>All directors, officers, employees, contractors and agents of Zitch</w:t>
            </w:r>
          </w:p>
        </w:tc>
      </w:tr>
      <w:tr>
        <w:tc>
          <w:tcPr>
            <w:tcW w:type="dxa" w:w="4824"/>
          </w:tcPr>
          <w:p>
            <w:r/>
            <w:r>
              <w:rPr>
                <w:rFonts w:ascii="Calibri" w:hAnsi="Calibri"/>
                <w:b/>
                <w:color w:val="03304C"/>
                <w:sz w:val="20"/>
              </w:rPr>
              <w:t>Classification</w:t>
            </w:r>
          </w:p>
        </w:tc>
        <w:tc>
          <w:tcPr>
            <w:tcW w:type="dxa" w:w="4824"/>
          </w:tcPr>
          <w:p>
            <w:r/>
            <w:r>
              <w:rPr>
                <w:rFonts w:ascii="Calibri" w:hAnsi="Calibri"/>
                <w:b w:val="0"/>
                <w:sz w:val="20"/>
              </w:rPr>
              <w:t>Confidential — Internal / Regulatory</w:t>
            </w:r>
          </w:p>
        </w:tc>
      </w:tr>
    </w:tbl>
    <w:p>
      <w:pPr>
        <w:pStyle w:val="Heading2"/>
      </w:pPr>
      <w:r>
        <w:t>Important note on use</w:t>
      </w:r>
    </w:p>
    <w:p>
      <w:r>
        <w:rPr>
          <w:sz w:val="21"/>
        </w:rPr>
        <w:t>This document is a controlled template prepared for Zitch Technologies (“Zitch”). It must be reviewed, completed (all bracketed placeholders), formally approved by the Board or its delegated committee, and adopted before it has effect. Zitch operates as a virtual top-up (VTU) and bill-payment technology platform and delivers regulated payment, wallet, card, settlement and open-banking functionality through licensed partners; the specific obligations that apply to Zitch depend on its own licensing status and on the contractual allocation of responsibilities with those partners. Qualified Nigerian legal and compliance counsel should confirm that the controls below match Zitch’s current licences, products and partner agreements before this policy is relied upon with any regulator or counterparty.</w:t>
      </w:r>
    </w:p>
    <w:p>
      <w:r>
        <w:br w:type="page"/>
      </w:r>
    </w:p>
    <w:p>
      <w:pPr>
        <w:pStyle w:val="Heading1"/>
      </w:pPr>
      <w:r>
        <w:t>1.  Policy statement and commitment</w:t>
      </w:r>
    </w:p>
    <w:p>
      <w:r>
        <w:rPr>
          <w:sz w:val="21"/>
        </w:rPr>
        <w:t>Zitch is committed to the highest standards of integrity and to the prevention of money laundering (ML), terrorist financing (TF) and proliferation financing (PF) across every product and channel it operates. Zitch will not knowingly facilitate, and will take reasonable measures to prevent and detect, the use of its platform to launder the proceeds of crime, to finance terrorism, or to evade sanctions. This Policy is approved by the Board of Directors, which holds ultimate responsibility for the AML/CFT/CPF programme, and applies to Zitch and all of its branches, subsidiaries and affiliates, and to every director, officer, employee, contractor and agent (collectively, “Staff”).</w:t>
      </w:r>
    </w:p>
    <w:p>
      <w:r>
        <w:rPr>
          <w:sz w:val="21"/>
        </w:rPr>
        <w:t>Compliance with this Policy is mandatory. A breach may constitute a criminal offence under Nigerian law and will be treated as serious misconduct.</w:t>
      </w:r>
    </w:p>
    <w:p>
      <w:pPr>
        <w:pStyle w:val="Heading1"/>
      </w:pPr>
      <w:r>
        <w:t>2.  Purpose and objectives</w:t>
      </w:r>
    </w:p>
    <w:p>
      <w:pPr>
        <w:pStyle w:val="ListBullet"/>
      </w:pPr>
      <w:r>
        <w:rPr>
          <w:sz w:val="21"/>
        </w:rPr>
        <w:t>Establish a risk-based AML/CFT/CPF programme that is approved by the Board and overseen day-to-day by a designated Compliance Officer / Money Laundering Reporting Officer (MLRO).</w:t>
      </w:r>
    </w:p>
    <w:p>
      <w:pPr>
        <w:pStyle w:val="ListBullet"/>
      </w:pPr>
      <w:r>
        <w:rPr>
          <w:sz w:val="21"/>
        </w:rPr>
        <w:t>Set out Zitch’s requirements for customer due diligence (CDD/KYC), enhanced due diligence (EDD), sanctions and PEP screening, transaction monitoring, and the reporting of suspicious and reportable transactions.</w:t>
      </w:r>
    </w:p>
    <w:p>
      <w:pPr>
        <w:pStyle w:val="ListBullet"/>
      </w:pPr>
      <w:r>
        <w:rPr>
          <w:sz w:val="21"/>
        </w:rPr>
        <w:t>Ensure records are kept, Staff are trained, and the programme is independently tested and regularly updated.</w:t>
      </w:r>
    </w:p>
    <w:p>
      <w:pPr>
        <w:pStyle w:val="ListBullet"/>
      </w:pPr>
      <w:r>
        <w:rPr>
          <w:sz w:val="21"/>
        </w:rPr>
        <w:t>Define how AML/CFT/CPF responsibilities are allocated between Zitch and the licensed partners whose infrastructure Zitch relies upon.</w:t>
      </w:r>
    </w:p>
    <w:p>
      <w:pPr>
        <w:pStyle w:val="Heading1"/>
      </w:pPr>
      <w:r>
        <w:t>3.  Scope and applicability</w:t>
      </w:r>
    </w:p>
    <w:p>
      <w:r>
        <w:rPr>
          <w:sz w:val="21"/>
        </w:rPr>
        <w:t>This Policy applies enterprise-wide to all Zitch products, services, customers, channels, Staff, branches and subsidiaries, including: wallet accounts; person-to-person and bank transfers; airtime, data, cable, electricity and other bill / VTU payments; virtual dollar cards; savings; multi-currency / foreign-exchange (FX) features; bank-linking (open banking); and the WhatsApp banking channel. Where a service is delivered through a partner, this Policy applies to Zitch’s own activities and to its oversight of that partner relationship.</w:t>
      </w:r>
    </w:p>
    <w:p>
      <w:pPr>
        <w:pStyle w:val="Heading1"/>
      </w:pPr>
      <w:r>
        <w:t>4.  About Zitch and the operating model</w:t>
      </w:r>
    </w:p>
    <w:p>
      <w:r>
        <w:rPr>
          <w:sz w:val="21"/>
        </w:rPr>
        <w:t>Zitch is a financial-technology platform offering VTU / bill payments and wallet-based services to retail customers in Nigeria. Zitch does not itself hold customer deposits as a bank and does not provide correspondent banking. Regulated functions are delivered through licensed partners, for example:</w:t>
      </w:r>
    </w:p>
    <w:tbl>
      <w:tblPr>
        <w:tblStyle w:val="TableGrid"/>
        <w:tblW w:type="auto" w:w="0"/>
        <w:jc w:val="center"/>
        <w:tblLook w:firstColumn="1" w:firstRow="1" w:lastColumn="0" w:lastRow="0" w:noHBand="0" w:noVBand="1" w:val="04A0"/>
      </w:tblPr>
      <w:tblGrid>
        <w:gridCol w:w="3168"/>
        <w:gridCol w:w="4176"/>
        <w:gridCol w:w="2304"/>
      </w:tblGrid>
      <w:tr>
        <w:tc>
          <w:tcPr>
            <w:tcW w:type="dxa" w:w="3216"/>
            <w:shd w:val="clear" w:color="auto" w:fill="03304C"/>
          </w:tcPr>
          <w:p>
            <w:r/>
            <w:r>
              <w:rPr>
                <w:rFonts w:ascii="Calibri" w:hAnsi="Calibri"/>
                <w:b/>
                <w:color w:val="FFFFFF"/>
                <w:sz w:val="20"/>
              </w:rPr>
              <w:t>Function</w:t>
            </w:r>
          </w:p>
        </w:tc>
        <w:tc>
          <w:tcPr>
            <w:tcW w:type="dxa" w:w="3216"/>
            <w:shd w:val="clear" w:color="auto" w:fill="03304C"/>
          </w:tcPr>
          <w:p>
            <w:r/>
            <w:r>
              <w:rPr>
                <w:rFonts w:ascii="Calibri" w:hAnsi="Calibri"/>
                <w:b/>
                <w:color w:val="FFFFFF"/>
                <w:sz w:val="20"/>
              </w:rPr>
              <w:t>Provided through a licensed partner of type</w:t>
            </w:r>
          </w:p>
        </w:tc>
        <w:tc>
          <w:tcPr>
            <w:tcW w:type="dxa" w:w="3216"/>
            <w:shd w:val="clear" w:color="auto" w:fill="03304C"/>
          </w:tcPr>
          <w:p>
            <w:r/>
            <w:r>
              <w:rPr>
                <w:rFonts w:ascii="Calibri" w:hAnsi="Calibri"/>
                <w:b/>
                <w:color w:val="FFFFFF"/>
                <w:sz w:val="20"/>
              </w:rPr>
              <w:t>Illustrative partner</w:t>
            </w:r>
          </w:p>
        </w:tc>
      </w:tr>
      <w:tr>
        <w:tc>
          <w:tcPr>
            <w:tcW w:type="dxa" w:w="3216"/>
          </w:tcPr>
          <w:p>
            <w:r/>
            <w:r>
              <w:rPr>
                <w:rFonts w:ascii="Calibri" w:hAnsi="Calibri"/>
                <w:b w:val="0"/>
                <w:sz w:val="19"/>
              </w:rPr>
              <w:t>Wallet funding / dedicated virtual accounts; bank payouts (disbursement)</w:t>
            </w:r>
          </w:p>
        </w:tc>
        <w:tc>
          <w:tcPr>
            <w:tcW w:type="dxa" w:w="3216"/>
          </w:tcPr>
          <w:p>
            <w:r/>
            <w:r>
              <w:rPr>
                <w:rFonts w:ascii="Calibri" w:hAnsi="Calibri"/>
                <w:b w:val="0"/>
                <w:sz w:val="19"/>
              </w:rPr>
              <w:t>Licensed payment service provider / switch / deposit-money bank</w:t>
            </w:r>
          </w:p>
        </w:tc>
        <w:tc>
          <w:tcPr>
            <w:tcW w:type="dxa" w:w="3216"/>
          </w:tcPr>
          <w:p>
            <w:r/>
            <w:r>
              <w:rPr>
                <w:rFonts w:ascii="Calibri" w:hAnsi="Calibri"/>
                <w:b w:val="0"/>
                <w:sz w:val="19"/>
              </w:rPr>
              <w:t>e.g. Korapay / partner bank</w:t>
            </w:r>
          </w:p>
        </w:tc>
      </w:tr>
      <w:tr>
        <w:tc>
          <w:tcPr>
            <w:tcW w:type="dxa" w:w="3216"/>
          </w:tcPr>
          <w:p>
            <w:r/>
            <w:r>
              <w:rPr>
                <w:rFonts w:ascii="Calibri" w:hAnsi="Calibri"/>
                <w:b w:val="0"/>
                <w:sz w:val="19"/>
              </w:rPr>
              <w:t>Virtual USD card issuance and processing</w:t>
            </w:r>
          </w:p>
        </w:tc>
        <w:tc>
          <w:tcPr>
            <w:tcW w:type="dxa" w:w="3216"/>
          </w:tcPr>
          <w:p>
            <w:r/>
            <w:r>
              <w:rPr>
                <w:rFonts w:ascii="Calibri" w:hAnsi="Calibri"/>
                <w:b w:val="0"/>
                <w:sz w:val="19"/>
              </w:rPr>
              <w:t>Licensed card issuer / processor (scheme-licensed)</w:t>
            </w:r>
          </w:p>
        </w:tc>
        <w:tc>
          <w:tcPr>
            <w:tcW w:type="dxa" w:w="3216"/>
          </w:tcPr>
          <w:p>
            <w:r/>
            <w:r>
              <w:rPr>
                <w:rFonts w:ascii="Calibri" w:hAnsi="Calibri"/>
                <w:b w:val="0"/>
                <w:sz w:val="19"/>
              </w:rPr>
              <w:t>e.g. card-issuer partner</w:t>
            </w:r>
          </w:p>
        </w:tc>
      </w:tr>
      <w:tr>
        <w:tc>
          <w:tcPr>
            <w:tcW w:type="dxa" w:w="3216"/>
          </w:tcPr>
          <w:p>
            <w:r/>
            <w:r>
              <w:rPr>
                <w:rFonts w:ascii="Calibri" w:hAnsi="Calibri"/>
                <w:b w:val="0"/>
                <w:sz w:val="19"/>
              </w:rPr>
              <w:t>Bank-account linking &amp; account-based payments (open banking)</w:t>
            </w:r>
          </w:p>
        </w:tc>
        <w:tc>
          <w:tcPr>
            <w:tcW w:type="dxa" w:w="3216"/>
          </w:tcPr>
          <w:p>
            <w:r/>
            <w:r>
              <w:rPr>
                <w:rFonts w:ascii="Calibri" w:hAnsi="Calibri"/>
                <w:b w:val="0"/>
                <w:sz w:val="19"/>
              </w:rPr>
              <w:t>Licensed open-banking / payment-initiation provider</w:t>
            </w:r>
          </w:p>
        </w:tc>
        <w:tc>
          <w:tcPr>
            <w:tcW w:type="dxa" w:w="3216"/>
          </w:tcPr>
          <w:p>
            <w:r/>
            <w:r>
              <w:rPr>
                <w:rFonts w:ascii="Calibri" w:hAnsi="Calibri"/>
                <w:b w:val="0"/>
                <w:sz w:val="19"/>
              </w:rPr>
              <w:t>e.g. Mono</w:t>
            </w:r>
          </w:p>
        </w:tc>
      </w:tr>
      <w:tr>
        <w:tc>
          <w:tcPr>
            <w:tcW w:type="dxa" w:w="3216"/>
          </w:tcPr>
          <w:p>
            <w:r/>
            <w:r>
              <w:rPr>
                <w:rFonts w:ascii="Calibri" w:hAnsi="Calibri"/>
                <w:b w:val="0"/>
                <w:sz w:val="19"/>
              </w:rPr>
              <w:t>Foreign-exchange conversion and settlement</w:t>
            </w:r>
          </w:p>
        </w:tc>
        <w:tc>
          <w:tcPr>
            <w:tcW w:type="dxa" w:w="3216"/>
          </w:tcPr>
          <w:p>
            <w:r/>
            <w:r>
              <w:rPr>
                <w:rFonts w:ascii="Calibri" w:hAnsi="Calibri"/>
                <w:b w:val="0"/>
                <w:sz w:val="19"/>
              </w:rPr>
              <w:t>Licensed FX / cross-border settlement provider</w:t>
            </w:r>
          </w:p>
        </w:tc>
        <w:tc>
          <w:tcPr>
            <w:tcW w:type="dxa" w:w="3216"/>
          </w:tcPr>
          <w:p>
            <w:r/>
            <w:r>
              <w:rPr>
                <w:rFonts w:ascii="Calibri" w:hAnsi="Calibri"/>
                <w:b w:val="0"/>
                <w:sz w:val="19"/>
              </w:rPr>
              <w:t>e.g. Fincra</w:t>
            </w:r>
          </w:p>
        </w:tc>
      </w:tr>
      <w:tr>
        <w:tc>
          <w:tcPr>
            <w:tcW w:type="dxa" w:w="3216"/>
          </w:tcPr>
          <w:p>
            <w:r/>
            <w:r>
              <w:rPr>
                <w:rFonts w:ascii="Calibri" w:hAnsi="Calibri"/>
                <w:b w:val="0"/>
                <w:sz w:val="19"/>
              </w:rPr>
              <w:t>Airtime, data and bill (VTU) fulfilment</w:t>
            </w:r>
          </w:p>
        </w:tc>
        <w:tc>
          <w:tcPr>
            <w:tcW w:type="dxa" w:w="3216"/>
          </w:tcPr>
          <w:p>
            <w:r/>
            <w:r>
              <w:rPr>
                <w:rFonts w:ascii="Calibri" w:hAnsi="Calibri"/>
                <w:b w:val="0"/>
                <w:sz w:val="19"/>
              </w:rPr>
              <w:t>Licensed VTU aggregator / biller</w:t>
            </w:r>
          </w:p>
        </w:tc>
        <w:tc>
          <w:tcPr>
            <w:tcW w:type="dxa" w:w="3216"/>
          </w:tcPr>
          <w:p>
            <w:r/>
            <w:r>
              <w:rPr>
                <w:rFonts w:ascii="Calibri" w:hAnsi="Calibri"/>
                <w:b w:val="0"/>
                <w:sz w:val="19"/>
              </w:rPr>
              <w:t>e.g. VTU aggregator</w:t>
            </w:r>
          </w:p>
        </w:tc>
      </w:tr>
      <w:tr>
        <w:tc>
          <w:tcPr>
            <w:tcW w:type="dxa" w:w="3216"/>
          </w:tcPr>
          <w:p>
            <w:r/>
            <w:r>
              <w:rPr>
                <w:rFonts w:ascii="Calibri" w:hAnsi="Calibri"/>
                <w:b w:val="0"/>
                <w:sz w:val="19"/>
              </w:rPr>
              <w:t>Messaging channel (WhatsApp banking)</w:t>
            </w:r>
          </w:p>
        </w:tc>
        <w:tc>
          <w:tcPr>
            <w:tcW w:type="dxa" w:w="3216"/>
          </w:tcPr>
          <w:p>
            <w:r/>
            <w:r>
              <w:rPr>
                <w:rFonts w:ascii="Calibri" w:hAnsi="Calibri"/>
                <w:b w:val="0"/>
                <w:sz w:val="19"/>
              </w:rPr>
              <w:t>Meta WhatsApp Business Platform (BSP)</w:t>
            </w:r>
          </w:p>
        </w:tc>
        <w:tc>
          <w:tcPr>
            <w:tcW w:type="dxa" w:w="3216"/>
          </w:tcPr>
          <w:p>
            <w:r/>
            <w:r>
              <w:rPr>
                <w:rFonts w:ascii="Calibri" w:hAnsi="Calibri"/>
                <w:b w:val="0"/>
                <w:sz w:val="19"/>
              </w:rPr>
              <w:t>e.g. Meta / BSP</w:t>
            </w:r>
          </w:p>
        </w:tc>
      </w:tr>
    </w:tbl>
    <w:p/>
    <w:p>
      <w:r>
        <w:rPr>
          <w:sz w:val="21"/>
        </w:rPr>
        <w:t>Because Zitch relies on these partners for the movement of funds and for parts of customer identification, Zitch’s AML/CFT/CPF programme is designed to (a) implement Zitch’s own controls at the customer and transaction layer, and (b) ensure, through due diligence and contract, that each partner maintains an AML/CFT/CPF programme consistent with Nigerian law (see Section 14).</w:t>
      </w:r>
    </w:p>
    <w:p>
      <w:pPr>
        <w:pStyle w:val="Heading1"/>
      </w:pPr>
      <w:r>
        <w:t>5.  Legal and regulatory framework</w:t>
      </w:r>
    </w:p>
    <w:p>
      <w:r>
        <w:rPr>
          <w:sz w:val="21"/>
        </w:rPr>
        <w:t>Zitch designs its programme to comply with applicable Nigerian law and the requirements of the partners and regulators to which it is subject, including in particular:</w:t>
      </w:r>
    </w:p>
    <w:p>
      <w:pPr>
        <w:pStyle w:val="ListBullet"/>
      </w:pPr>
      <w:r>
        <w:rPr>
          <w:sz w:val="21"/>
        </w:rPr>
        <w:t>Money Laundering (Prevention and Prohibition) Act, 2022 (MLPPA 2022).</w:t>
      </w:r>
    </w:p>
    <w:p>
      <w:pPr>
        <w:pStyle w:val="ListBullet"/>
      </w:pPr>
      <w:r>
        <w:rPr>
          <w:sz w:val="21"/>
        </w:rPr>
        <w:t>Terrorism (Prevention and Prohibition) Act, 2022 (TPPA 2022) and related sanctions regulations.</w:t>
      </w:r>
    </w:p>
    <w:p>
      <w:pPr>
        <w:pStyle w:val="ListBullet"/>
      </w:pPr>
      <w:r>
        <w:rPr>
          <w:sz w:val="21"/>
        </w:rPr>
        <w:t>Central Bank of Nigeria (CBN) AML/CFT/CPF Regulations, 2022 (as amended) and CBN guidelines for payment and e-money services.</w:t>
      </w:r>
    </w:p>
    <w:p>
      <w:pPr>
        <w:pStyle w:val="ListBullet"/>
      </w:pPr>
      <w:r>
        <w:rPr>
          <w:sz w:val="21"/>
        </w:rPr>
        <w:t>Nigerian Financial Intelligence Unit (NFIU) reporting requirements (goAML) for Suspicious Transaction Reports (STRs) and Currency / Threshold Transaction Reports (CTRs).</w:t>
      </w:r>
    </w:p>
    <w:p>
      <w:pPr>
        <w:pStyle w:val="ListBullet"/>
      </w:pPr>
      <w:r>
        <w:rPr>
          <w:sz w:val="21"/>
        </w:rPr>
        <w:t>Special Control Unit against Money Laundering (SCUML) registration requirements, where applicable.</w:t>
      </w:r>
    </w:p>
    <w:p>
      <w:pPr>
        <w:pStyle w:val="ListBullet"/>
      </w:pPr>
      <w:r>
        <w:rPr>
          <w:sz w:val="21"/>
        </w:rPr>
        <w:t>Economic and Financial Crimes Commission (Establishment) Act and the Advance Fee Fraud and Other Fraud Related Offences Act.</w:t>
      </w:r>
    </w:p>
    <w:p>
      <w:pPr>
        <w:pStyle w:val="ListBullet"/>
      </w:pPr>
      <w:r>
        <w:rPr>
          <w:sz w:val="21"/>
        </w:rPr>
        <w:t>CBN three-tiered Know-Your-Customer framework and the Bank Verification Number (BVN) / National Identity Number (NIN) regime.</w:t>
      </w:r>
    </w:p>
    <w:p>
      <w:pPr>
        <w:pStyle w:val="ListBullet"/>
      </w:pPr>
      <w:r>
        <w:rPr>
          <w:sz w:val="21"/>
        </w:rPr>
        <w:t>Nigeria Data Protection Act, 2023 (NDPA) and subsidiary regulation, governing the lawful and secure handling of customer data collected for AML purposes.</w:t>
      </w:r>
    </w:p>
    <w:p>
      <w:pPr>
        <w:pStyle w:val="ListBullet"/>
      </w:pPr>
      <w:r>
        <w:rPr>
          <w:sz w:val="21"/>
        </w:rPr>
        <w:t>Relevant United Nations Security Council (UNSC) sanctions and, where contractually required by partners, other applicable sanctions regimes (e.g. OFAC, EU, UK).</w:t>
      </w:r>
    </w:p>
    <w:p>
      <w:pPr>
        <w:pStyle w:val="Heading1"/>
      </w:pPr>
      <w:r>
        <w:t>6.  Definitions and key concepts</w:t>
      </w:r>
    </w:p>
    <w:tbl>
      <w:tblPr>
        <w:tblStyle w:val="TableGrid"/>
        <w:tblW w:type="auto" w:w="0"/>
        <w:jc w:val="center"/>
        <w:tblLook w:firstColumn="1" w:firstRow="1" w:lastColumn="0" w:lastRow="0" w:noHBand="0" w:noVBand="1" w:val="04A0"/>
      </w:tblPr>
      <w:tblGrid>
        <w:gridCol w:w="2736"/>
        <w:gridCol w:w="6768"/>
      </w:tblGrid>
      <w:tr>
        <w:tc>
          <w:tcPr>
            <w:tcW w:type="dxa" w:w="4824"/>
            <w:shd w:val="clear" w:color="auto" w:fill="03304C"/>
          </w:tcPr>
          <w:p>
            <w:r/>
            <w:r>
              <w:rPr>
                <w:rFonts w:ascii="Calibri" w:hAnsi="Calibri"/>
                <w:b/>
                <w:color w:val="FFFFFF"/>
                <w:sz w:val="20"/>
              </w:rPr>
              <w:t>Term</w:t>
            </w:r>
          </w:p>
        </w:tc>
        <w:tc>
          <w:tcPr>
            <w:tcW w:type="dxa" w:w="4824"/>
            <w:shd w:val="clear" w:color="auto" w:fill="03304C"/>
          </w:tcPr>
          <w:p>
            <w:r/>
            <w:r>
              <w:rPr>
                <w:rFonts w:ascii="Calibri" w:hAnsi="Calibri"/>
                <w:b/>
                <w:color w:val="FFFFFF"/>
                <w:sz w:val="20"/>
              </w:rPr>
              <w:t>Meaning (summary)</w:t>
            </w:r>
          </w:p>
        </w:tc>
      </w:tr>
      <w:tr>
        <w:tc>
          <w:tcPr>
            <w:tcW w:type="dxa" w:w="4824"/>
          </w:tcPr>
          <w:p>
            <w:r/>
            <w:r>
              <w:rPr>
                <w:rFonts w:ascii="Calibri" w:hAnsi="Calibri"/>
                <w:b w:val="0"/>
                <w:sz w:val="19"/>
              </w:rPr>
              <w:t>Money laundering (ML)</w:t>
            </w:r>
          </w:p>
        </w:tc>
        <w:tc>
          <w:tcPr>
            <w:tcW w:type="dxa" w:w="4824"/>
          </w:tcPr>
          <w:p>
            <w:r/>
            <w:r>
              <w:rPr>
                <w:rFonts w:ascii="Calibri" w:hAnsi="Calibri"/>
                <w:b w:val="0"/>
                <w:sz w:val="19"/>
              </w:rPr>
              <w:t>Converting, concealing or disguising the proceeds of crime to make them appear legitimate — typically across placement, layering and integration stages.</w:t>
            </w:r>
          </w:p>
        </w:tc>
      </w:tr>
      <w:tr>
        <w:tc>
          <w:tcPr>
            <w:tcW w:type="dxa" w:w="4824"/>
          </w:tcPr>
          <w:p>
            <w:r/>
            <w:r>
              <w:rPr>
                <w:rFonts w:ascii="Calibri" w:hAnsi="Calibri"/>
                <w:b w:val="0"/>
                <w:sz w:val="19"/>
              </w:rPr>
              <w:t>Terrorist financing (TF)</w:t>
            </w:r>
          </w:p>
        </w:tc>
        <w:tc>
          <w:tcPr>
            <w:tcW w:type="dxa" w:w="4824"/>
          </w:tcPr>
          <w:p>
            <w:r/>
            <w:r>
              <w:rPr>
                <w:rFonts w:ascii="Calibri" w:hAnsi="Calibri"/>
                <w:b w:val="0"/>
                <w:sz w:val="19"/>
              </w:rPr>
              <w:t>Providing or collecting funds (from legitimate or illegitimate sources) intending or knowing they are to be used for terrorism.</w:t>
            </w:r>
          </w:p>
        </w:tc>
      </w:tr>
      <w:tr>
        <w:tc>
          <w:tcPr>
            <w:tcW w:type="dxa" w:w="4824"/>
          </w:tcPr>
          <w:p>
            <w:r/>
            <w:r>
              <w:rPr>
                <w:rFonts w:ascii="Calibri" w:hAnsi="Calibri"/>
                <w:b w:val="0"/>
                <w:sz w:val="19"/>
              </w:rPr>
              <w:t>Proliferation financing (PF)</w:t>
            </w:r>
          </w:p>
        </w:tc>
        <w:tc>
          <w:tcPr>
            <w:tcW w:type="dxa" w:w="4824"/>
          </w:tcPr>
          <w:p>
            <w:r/>
            <w:r>
              <w:rPr>
                <w:rFonts w:ascii="Calibri" w:hAnsi="Calibri"/>
                <w:b w:val="0"/>
                <w:sz w:val="19"/>
              </w:rPr>
              <w:t>Providing funds or services for the manufacture, acquisition or transport of weapons of mass destruction, contrary to sanctions.</w:t>
            </w:r>
          </w:p>
        </w:tc>
      </w:tr>
      <w:tr>
        <w:tc>
          <w:tcPr>
            <w:tcW w:type="dxa" w:w="4824"/>
          </w:tcPr>
          <w:p>
            <w:r/>
            <w:r>
              <w:rPr>
                <w:rFonts w:ascii="Calibri" w:hAnsi="Calibri"/>
                <w:b w:val="0"/>
                <w:sz w:val="19"/>
              </w:rPr>
              <w:t>Politically exposed person (PEP)</w:t>
            </w:r>
          </w:p>
        </w:tc>
        <w:tc>
          <w:tcPr>
            <w:tcW w:type="dxa" w:w="4824"/>
          </w:tcPr>
          <w:p>
            <w:r/>
            <w:r>
              <w:rPr>
                <w:rFonts w:ascii="Calibri" w:hAnsi="Calibri"/>
                <w:b w:val="0"/>
                <w:sz w:val="19"/>
              </w:rPr>
              <w:t>An individual entrusted with a prominent public function, their family members and close associates — higher ML/TF risk.</w:t>
            </w:r>
          </w:p>
        </w:tc>
      </w:tr>
      <w:tr>
        <w:tc>
          <w:tcPr>
            <w:tcW w:type="dxa" w:w="4824"/>
          </w:tcPr>
          <w:p>
            <w:r/>
            <w:r>
              <w:rPr>
                <w:rFonts w:ascii="Calibri" w:hAnsi="Calibri"/>
                <w:b w:val="0"/>
                <w:sz w:val="19"/>
              </w:rPr>
              <w:t>Beneficial owner</w:t>
            </w:r>
          </w:p>
        </w:tc>
        <w:tc>
          <w:tcPr>
            <w:tcW w:type="dxa" w:w="4824"/>
          </w:tcPr>
          <w:p>
            <w:r/>
            <w:r>
              <w:rPr>
                <w:rFonts w:ascii="Calibri" w:hAnsi="Calibri"/>
                <w:b w:val="0"/>
                <w:sz w:val="19"/>
              </w:rPr>
              <w:t>The natural person(s) who ultimately own or control a customer or on whose behalf a transaction is conducted.</w:t>
            </w:r>
          </w:p>
        </w:tc>
      </w:tr>
      <w:tr>
        <w:tc>
          <w:tcPr>
            <w:tcW w:type="dxa" w:w="4824"/>
          </w:tcPr>
          <w:p>
            <w:r/>
            <w:r>
              <w:rPr>
                <w:rFonts w:ascii="Calibri" w:hAnsi="Calibri"/>
                <w:b w:val="0"/>
                <w:sz w:val="19"/>
              </w:rPr>
              <w:t>CDD / EDD</w:t>
            </w:r>
          </w:p>
        </w:tc>
        <w:tc>
          <w:tcPr>
            <w:tcW w:type="dxa" w:w="4824"/>
          </w:tcPr>
          <w:p>
            <w:r/>
            <w:r>
              <w:rPr>
                <w:rFonts w:ascii="Calibri" w:hAnsi="Calibri"/>
                <w:b w:val="0"/>
                <w:sz w:val="19"/>
              </w:rPr>
              <w:t>Customer Due Diligence / Enhanced Due Diligence — the identification, verification and risk-rating of customers, with stronger measures for higher risk.</w:t>
            </w:r>
          </w:p>
        </w:tc>
      </w:tr>
      <w:tr>
        <w:tc>
          <w:tcPr>
            <w:tcW w:type="dxa" w:w="4824"/>
          </w:tcPr>
          <w:p>
            <w:r/>
            <w:r>
              <w:rPr>
                <w:rFonts w:ascii="Calibri" w:hAnsi="Calibri"/>
                <w:b w:val="0"/>
                <w:sz w:val="19"/>
              </w:rPr>
              <w:t>STR / CTR</w:t>
            </w:r>
          </w:p>
        </w:tc>
        <w:tc>
          <w:tcPr>
            <w:tcW w:type="dxa" w:w="4824"/>
          </w:tcPr>
          <w:p>
            <w:r/>
            <w:r>
              <w:rPr>
                <w:rFonts w:ascii="Calibri" w:hAnsi="Calibri"/>
                <w:b w:val="0"/>
                <w:sz w:val="19"/>
              </w:rPr>
              <w:t>Suspicious Transaction Report / Currency (Threshold) Transaction Report submitted to the NFIU.</w:t>
            </w:r>
          </w:p>
        </w:tc>
      </w:tr>
      <w:tr>
        <w:tc>
          <w:tcPr>
            <w:tcW w:type="dxa" w:w="4824"/>
          </w:tcPr>
          <w:p>
            <w:r/>
            <w:r>
              <w:rPr>
                <w:rFonts w:ascii="Calibri" w:hAnsi="Calibri"/>
                <w:b w:val="0"/>
                <w:sz w:val="19"/>
              </w:rPr>
              <w:t>Shell bank</w:t>
            </w:r>
          </w:p>
        </w:tc>
        <w:tc>
          <w:tcPr>
            <w:tcW w:type="dxa" w:w="4824"/>
          </w:tcPr>
          <w:p>
            <w:r/>
            <w:r>
              <w:rPr>
                <w:rFonts w:ascii="Calibri" w:hAnsi="Calibri"/>
                <w:b w:val="0"/>
                <w:sz w:val="19"/>
              </w:rPr>
              <w:t>A bank with no physical presence and not part of a regulated financial group — relationships are prohibited.</w:t>
            </w:r>
          </w:p>
        </w:tc>
      </w:tr>
      <w:tr>
        <w:tc>
          <w:tcPr>
            <w:tcW w:type="dxa" w:w="4824"/>
          </w:tcPr>
          <w:p>
            <w:r/>
            <w:r>
              <w:rPr>
                <w:rFonts w:ascii="Calibri" w:hAnsi="Calibri"/>
                <w:b w:val="0"/>
                <w:sz w:val="19"/>
              </w:rPr>
              <w:t>Tipping off</w:t>
            </w:r>
          </w:p>
        </w:tc>
        <w:tc>
          <w:tcPr>
            <w:tcW w:type="dxa" w:w="4824"/>
          </w:tcPr>
          <w:p>
            <w:r/>
            <w:r>
              <w:rPr>
                <w:rFonts w:ascii="Calibri" w:hAnsi="Calibri"/>
                <w:b w:val="0"/>
                <w:sz w:val="19"/>
              </w:rPr>
              <w:t>Disclosing to a customer or third party that a report has been or may be made, or that an investigation is underway — a criminal offence.</w:t>
            </w:r>
          </w:p>
        </w:tc>
      </w:tr>
    </w:tbl>
    <w:p/>
    <w:p>
      <w:pPr>
        <w:pStyle w:val="Heading1"/>
      </w:pPr>
      <w:r>
        <w:t>7.  Money-laundering and terrorist-financing risk context</w:t>
      </w:r>
    </w:p>
    <w:p>
      <w:r>
        <w:rPr>
          <w:sz w:val="21"/>
        </w:rPr>
        <w:t>Zitch recognises ML/TF/PF risks specific to a VTU / bill-payment and wallet platform, including:</w:t>
      </w:r>
    </w:p>
    <w:p>
      <w:pPr>
        <w:pStyle w:val="ListBullet"/>
      </w:pPr>
      <w:r>
        <w:rPr>
          <w:sz w:val="21"/>
        </w:rPr>
        <w:t>Use of airtime/data/bill purchases or gift-style value to move or obscure small amounts (“smurfing” / structuring) across many low-value transactions.</w:t>
      </w:r>
    </w:p>
    <w:p>
      <w:pPr>
        <w:pStyle w:val="ListBullet"/>
      </w:pPr>
      <w:r>
        <w:rPr>
          <w:sz w:val="21"/>
        </w:rPr>
        <w:t>Use of virtual cards or FX conversion to move value across borders or out of the naira ledger.</w:t>
      </w:r>
    </w:p>
    <w:p>
      <w:pPr>
        <w:pStyle w:val="ListBullet"/>
      </w:pPr>
      <w:r>
        <w:rPr>
          <w:sz w:val="21"/>
        </w:rPr>
        <w:t>Third-party funding and “money-mule” accounts that receive and quickly forward funds.</w:t>
      </w:r>
    </w:p>
    <w:p>
      <w:pPr>
        <w:pStyle w:val="ListBullet"/>
      </w:pPr>
      <w:r>
        <w:rPr>
          <w:sz w:val="21"/>
        </w:rPr>
        <w:t>Account-takeover and synthetic-identity fraud, and use of stolen identity credentials at onboarding.</w:t>
      </w:r>
    </w:p>
    <w:p>
      <w:pPr>
        <w:pStyle w:val="ListBullet"/>
      </w:pPr>
      <w:r>
        <w:rPr>
          <w:sz w:val="21"/>
        </w:rPr>
        <w:t>Concentration of risk in fast, digital, non-face-to-face onboarding and a messaging (WhatsApp) channel.</w:t>
      </w:r>
    </w:p>
    <w:p>
      <w:r>
        <w:rPr>
          <w:sz w:val="21"/>
        </w:rPr>
        <w:t>These risks are mitigated by tiered KYC tied to BVN/NIN verification, per-transaction and daily aggregate limits, a face-verification step-up for larger transactions, transaction-PIN authentication with lockout, idempotent ledgering, sanctions/PEP screening, and ongoing monitoring (Sections 10–13).</w:t>
      </w:r>
    </w:p>
    <w:p>
      <w:pPr>
        <w:pStyle w:val="Heading1"/>
      </w:pPr>
      <w:r>
        <w:t>8.  Governance, roles and responsibilities</w:t>
      </w:r>
    </w:p>
    <w:p>
      <w:pPr>
        <w:pStyle w:val="Heading2"/>
      </w:pPr>
      <w:r>
        <w:t>8.1  Board of Directors</w:t>
      </w:r>
    </w:p>
    <w:p>
      <w:pPr>
        <w:pStyle w:val="ListBullet"/>
      </w:pPr>
      <w:r>
        <w:rPr>
          <w:sz w:val="21"/>
        </w:rPr>
        <w:t>Approves this Policy and the AML/CFT/CPF programme and risk appetite; reviews them at least annually.</w:t>
      </w:r>
    </w:p>
    <w:p>
      <w:pPr>
        <w:pStyle w:val="ListBullet"/>
      </w:pPr>
      <w:r>
        <w:rPr>
          <w:sz w:val="21"/>
        </w:rPr>
        <w:t>Appoints a suitably senior and independent Compliance Officer / MLRO and ensures the programme is adequately resourced.</w:t>
      </w:r>
    </w:p>
    <w:p>
      <w:pPr>
        <w:pStyle w:val="ListBullet"/>
      </w:pPr>
      <w:r>
        <w:rPr>
          <w:sz w:val="21"/>
        </w:rPr>
        <w:t>Receives periodic reports on AML/CFT/CPF performance, key risks, STR activity (in aggregate) and audit findings.</w:t>
      </w:r>
    </w:p>
    <w:p>
      <w:pPr>
        <w:pStyle w:val="Heading2"/>
      </w:pPr>
      <w:r>
        <w:t>8.2  Compliance Officer / Money Laundering Reporting Officer (MLRO)</w:t>
      </w:r>
    </w:p>
    <w:p>
      <w:r>
        <w:rPr>
          <w:sz w:val="21"/>
        </w:rPr>
        <w:t>Zitch designates a Compliance Officer / MLRO, approved by senior management, who is responsible for coordinating and overseeing the AML/CFT/CPF programme on a day-to-day basis. The current appointee is: [Name], [Title], [email], [phone]. The MLRO’s responsibilities include:</w:t>
      </w:r>
    </w:p>
    <w:p>
      <w:pPr>
        <w:pStyle w:val="ListBullet"/>
      </w:pPr>
      <w:r>
        <w:rPr>
          <w:sz w:val="21"/>
        </w:rPr>
        <w:t>Maintaining and updating this Policy and the supporting procedures, and the enterprise-wide risk assessment.</w:t>
      </w:r>
    </w:p>
    <w:p>
      <w:pPr>
        <w:pStyle w:val="ListBullet"/>
      </w:pPr>
      <w:r>
        <w:rPr>
          <w:sz w:val="21"/>
        </w:rPr>
        <w:t>Overseeing CDD/EDD, screening, monitoring and the alert-investigation process.</w:t>
      </w:r>
    </w:p>
    <w:p>
      <w:pPr>
        <w:pStyle w:val="ListBullet"/>
      </w:pPr>
      <w:r>
        <w:rPr>
          <w:sz w:val="21"/>
        </w:rPr>
        <w:t>Receiving internal suspicious-activity escalations, deciding on and filing STRs/CTRs with the NFIU, and maintaining confidentiality (no tipping off).</w:t>
      </w:r>
    </w:p>
    <w:p>
      <w:pPr>
        <w:pStyle w:val="ListBullet"/>
      </w:pPr>
      <w:r>
        <w:rPr>
          <w:sz w:val="21"/>
        </w:rPr>
        <w:t>Overseeing AML training, partner AML oversight, record-keeping, and liaison with regulators and partners.</w:t>
      </w:r>
    </w:p>
    <w:p>
      <w:pPr>
        <w:pStyle w:val="ListBullet"/>
      </w:pPr>
      <w:r>
        <w:rPr>
          <w:sz w:val="21"/>
        </w:rPr>
        <w:t>Escalating material matters to the Board / senior management.</w:t>
      </w:r>
    </w:p>
    <w:p>
      <w:pPr>
        <w:pStyle w:val="Heading2"/>
      </w:pPr>
      <w:r>
        <w:t>8.3  Three lines of defence</w:t>
      </w:r>
    </w:p>
    <w:p>
      <w:pPr>
        <w:pStyle w:val="ListBullet"/>
      </w:pPr>
      <w:r>
        <w:rPr>
          <w:sz w:val="21"/>
        </w:rPr>
        <w:t>First line — business and operations: apply controls, perform KYC, raise internal alerts.</w:t>
      </w:r>
    </w:p>
    <w:p>
      <w:pPr>
        <w:pStyle w:val="ListBullet"/>
      </w:pPr>
      <w:r>
        <w:rPr>
          <w:sz w:val="21"/>
        </w:rPr>
        <w:t>Second line — Compliance / MLRO: own the framework, monitor, investigate and report.</w:t>
      </w:r>
    </w:p>
    <w:p>
      <w:pPr>
        <w:pStyle w:val="ListBullet"/>
      </w:pPr>
      <w:r>
        <w:rPr>
          <w:sz w:val="21"/>
        </w:rPr>
        <w:t>Third line — Internal Audit / independent review: test the programme’s design and effectiveness (Section 16).</w:t>
      </w:r>
    </w:p>
    <w:p>
      <w:pPr>
        <w:pStyle w:val="Heading1"/>
      </w:pPr>
      <w:r>
        <w:t>9.  Risk-based approach and enterprise-wide risk assessment</w:t>
      </w:r>
    </w:p>
    <w:p>
      <w:r>
        <w:rPr>
          <w:sz w:val="21"/>
        </w:rPr>
        <w:t>Zitch applies a documented, risk-based approach. At least annually (and on material change), the MLRO conducts an enterprise-wide ML/TF/PF risk assessment covering customer, product/service, channel, transaction and geographic risk factors, and rates residual risk after controls. Customers are risk-rated (e.g. low / medium / high) at onboarding and on an ongoing basis; the rating drives the level of due diligence, monitoring intensity and the limits that apply.</w:t>
      </w:r>
    </w:p>
    <w:p>
      <w:r>
        <w:rPr>
          <w:sz w:val="21"/>
        </w:rPr>
        <w:t>Zitch specifically identifies categories of customers and activity that are unusual or higher risk — for example PEPs, customers with links to higher-risk jurisdictions, customers whose activity is inconsistent with their profile, rapid pass-through (mule) patterns, and structuring to stay below thresholds — and applies EDD to them (Sections 10.4–10.5 and 13).</w:t>
      </w:r>
    </w:p>
    <w:p>
      <w:pPr>
        <w:pStyle w:val="Heading1"/>
      </w:pPr>
      <w:r>
        <w:t>10.  Customer due diligence (CDD) and Know-Your-Customer (KYC)</w:t>
      </w:r>
    </w:p>
    <w:p>
      <w:r>
        <w:rPr>
          <w:sz w:val="21"/>
        </w:rPr>
        <w:t>Zitch identifies and verifies every customer before or shortly after establishing the relationship, on a tiered, risk-based basis aligned with the CBN three-tier KYC framework and the BVN/NIN regime. Anonymous accounts and accounts in fictitious names are prohibited.</w:t>
      </w:r>
    </w:p>
    <w:p>
      <w:pPr>
        <w:pStyle w:val="Heading2"/>
      </w:pPr>
      <w:r>
        <w:t>10.1  Information collected</w:t>
      </w:r>
    </w:p>
    <w:p>
      <w:r>
        <w:rPr>
          <w:sz w:val="21"/>
        </w:rPr>
        <w:t>Zitch collects and records, proportionate to tier and risk: full name; mobile number; email; date of birth; residential/photo address; BVN and/or NIN; a government-issued identity reference where required; a live facial image (liveness/selfie) for verification; and, for business customers, registration and beneficial-ownership information. A KYC record is created and maintained for each customer at onboarding and updated through the relationship.</w:t>
      </w:r>
    </w:p>
    <w:p>
      <w:pPr>
        <w:pStyle w:val="Heading2"/>
      </w:pPr>
      <w:r>
        <w:t>10.2  Identity verification and tiers</w:t>
      </w:r>
    </w:p>
    <w:p>
      <w:r>
        <w:rPr>
          <w:sz w:val="21"/>
        </w:rPr>
        <w:t>Identity is verified electronically against authoritative sources (BVN/NIN and partner KYC providers) and by facial-liveness matching. A customer’s tier — and therefore the transaction limits that apply — is derived from the identity checks that have been completed:</w:t>
      </w:r>
    </w:p>
    <w:tbl>
      <w:tblPr>
        <w:tblStyle w:val="TableGrid"/>
        <w:tblW w:type="auto" w:w="0"/>
        <w:jc w:val="center"/>
        <w:tblLook w:firstColumn="1" w:firstRow="1" w:lastColumn="0" w:lastRow="0" w:noHBand="0" w:noVBand="1" w:val="04A0"/>
      </w:tblPr>
      <w:tblGrid>
        <w:gridCol w:w="1800"/>
        <w:gridCol w:w="3240"/>
        <w:gridCol w:w="1728"/>
        <w:gridCol w:w="1728"/>
        <w:gridCol w:w="1728"/>
      </w:tblGrid>
      <w:tr>
        <w:tc>
          <w:tcPr>
            <w:tcW w:type="dxa" w:w="1930"/>
            <w:shd w:val="clear" w:color="auto" w:fill="03304C"/>
          </w:tcPr>
          <w:p>
            <w:r/>
            <w:r>
              <w:rPr>
                <w:rFonts w:ascii="Calibri" w:hAnsi="Calibri"/>
                <w:b/>
                <w:color w:val="FFFFFF"/>
                <w:sz w:val="20"/>
              </w:rPr>
              <w:t>KYC tier</w:t>
            </w:r>
          </w:p>
        </w:tc>
        <w:tc>
          <w:tcPr>
            <w:tcW w:type="dxa" w:w="1930"/>
            <w:shd w:val="clear" w:color="auto" w:fill="03304C"/>
          </w:tcPr>
          <w:p>
            <w:r/>
            <w:r>
              <w:rPr>
                <w:rFonts w:ascii="Calibri" w:hAnsi="Calibri"/>
                <w:b/>
                <w:color w:val="FFFFFF"/>
                <w:sz w:val="20"/>
              </w:rPr>
              <w:t>Verification completed</w:t>
            </w:r>
          </w:p>
        </w:tc>
        <w:tc>
          <w:tcPr>
            <w:tcW w:type="dxa" w:w="1930"/>
            <w:shd w:val="clear" w:color="auto" w:fill="03304C"/>
          </w:tcPr>
          <w:p>
            <w:r/>
            <w:r>
              <w:rPr>
                <w:rFonts w:ascii="Calibri" w:hAnsi="Calibri"/>
                <w:b/>
                <w:color w:val="FFFFFF"/>
                <w:sz w:val="20"/>
              </w:rPr>
              <w:t>Per-transaction limit</w:t>
            </w:r>
          </w:p>
        </w:tc>
        <w:tc>
          <w:tcPr>
            <w:tcW w:type="dxa" w:w="1930"/>
            <w:shd w:val="clear" w:color="auto" w:fill="03304C"/>
          </w:tcPr>
          <w:p>
            <w:r/>
            <w:r>
              <w:rPr>
                <w:rFonts w:ascii="Calibri" w:hAnsi="Calibri"/>
                <w:b/>
                <w:color w:val="FFFFFF"/>
                <w:sz w:val="20"/>
              </w:rPr>
              <w:t>Daily transfer limit</w:t>
            </w:r>
          </w:p>
        </w:tc>
        <w:tc>
          <w:tcPr>
            <w:tcW w:type="dxa" w:w="1930"/>
            <w:shd w:val="clear" w:color="auto" w:fill="03304C"/>
          </w:tcPr>
          <w:p>
            <w:r/>
            <w:r>
              <w:rPr>
                <w:rFonts w:ascii="Calibri" w:hAnsi="Calibri"/>
                <w:b/>
                <w:color w:val="FFFFFF"/>
                <w:sz w:val="20"/>
              </w:rPr>
              <w:t>Daily bill/VTU limit</w:t>
            </w:r>
          </w:p>
        </w:tc>
      </w:tr>
      <w:tr>
        <w:tc>
          <w:tcPr>
            <w:tcW w:type="dxa" w:w="1930"/>
          </w:tcPr>
          <w:p>
            <w:r/>
            <w:r>
              <w:rPr>
                <w:rFonts w:ascii="Calibri" w:hAnsi="Calibri"/>
                <w:b w:val="0"/>
                <w:sz w:val="19"/>
              </w:rPr>
              <w:t>Tier 1 (basic)</w:t>
            </w:r>
          </w:p>
        </w:tc>
        <w:tc>
          <w:tcPr>
            <w:tcW w:type="dxa" w:w="1930"/>
          </w:tcPr>
          <w:p>
            <w:r/>
            <w:r>
              <w:rPr>
                <w:rFonts w:ascii="Calibri" w:hAnsi="Calibri"/>
                <w:b w:val="0"/>
                <w:sz w:val="19"/>
              </w:rPr>
              <w:t>Phone + basic details; no verified BVN/NIN</w:t>
            </w:r>
          </w:p>
        </w:tc>
        <w:tc>
          <w:tcPr>
            <w:tcW w:type="dxa" w:w="1930"/>
          </w:tcPr>
          <w:p>
            <w:r/>
            <w:r>
              <w:rPr>
                <w:rFonts w:ascii="Calibri" w:hAnsi="Calibri"/>
                <w:b w:val="0"/>
                <w:sz w:val="19"/>
              </w:rPr>
              <w:t>₦50,000</w:t>
            </w:r>
          </w:p>
        </w:tc>
        <w:tc>
          <w:tcPr>
            <w:tcW w:type="dxa" w:w="1930"/>
          </w:tcPr>
          <w:p>
            <w:r/>
            <w:r>
              <w:rPr>
                <w:rFonts w:ascii="Calibri" w:hAnsi="Calibri"/>
                <w:b w:val="0"/>
                <w:sz w:val="19"/>
              </w:rPr>
              <w:t>₦50,000</w:t>
            </w:r>
          </w:p>
        </w:tc>
        <w:tc>
          <w:tcPr>
            <w:tcW w:type="dxa" w:w="1930"/>
          </w:tcPr>
          <w:p>
            <w:r/>
            <w:r>
              <w:rPr>
                <w:rFonts w:ascii="Calibri" w:hAnsi="Calibri"/>
                <w:b w:val="0"/>
                <w:sz w:val="19"/>
              </w:rPr>
              <w:t>₦20,000</w:t>
            </w:r>
          </w:p>
        </w:tc>
      </w:tr>
      <w:tr>
        <w:tc>
          <w:tcPr>
            <w:tcW w:type="dxa" w:w="1930"/>
          </w:tcPr>
          <w:p>
            <w:r/>
            <w:r>
              <w:rPr>
                <w:rFonts w:ascii="Calibri" w:hAnsi="Calibri"/>
                <w:b w:val="0"/>
                <w:sz w:val="19"/>
              </w:rPr>
              <w:t>Tier 2 (verified)</w:t>
            </w:r>
          </w:p>
        </w:tc>
        <w:tc>
          <w:tcPr>
            <w:tcW w:type="dxa" w:w="1930"/>
          </w:tcPr>
          <w:p>
            <w:r/>
            <w:r>
              <w:rPr>
                <w:rFonts w:ascii="Calibri" w:hAnsi="Calibri"/>
                <w:b w:val="0"/>
                <w:sz w:val="19"/>
              </w:rPr>
              <w:t>One of BVN or NIN verified</w:t>
            </w:r>
          </w:p>
        </w:tc>
        <w:tc>
          <w:tcPr>
            <w:tcW w:type="dxa" w:w="1930"/>
          </w:tcPr>
          <w:p>
            <w:r/>
            <w:r>
              <w:rPr>
                <w:rFonts w:ascii="Calibri" w:hAnsi="Calibri"/>
                <w:b w:val="0"/>
                <w:sz w:val="19"/>
              </w:rPr>
              <w:t>₦200,000</w:t>
            </w:r>
          </w:p>
        </w:tc>
        <w:tc>
          <w:tcPr>
            <w:tcW w:type="dxa" w:w="1930"/>
          </w:tcPr>
          <w:p>
            <w:r/>
            <w:r>
              <w:rPr>
                <w:rFonts w:ascii="Calibri" w:hAnsi="Calibri"/>
                <w:b w:val="0"/>
                <w:sz w:val="19"/>
              </w:rPr>
              <w:t>₦1,000,000</w:t>
            </w:r>
          </w:p>
        </w:tc>
        <w:tc>
          <w:tcPr>
            <w:tcW w:type="dxa" w:w="1930"/>
          </w:tcPr>
          <w:p>
            <w:r/>
            <w:r>
              <w:rPr>
                <w:rFonts w:ascii="Calibri" w:hAnsi="Calibri"/>
                <w:b w:val="0"/>
                <w:sz w:val="19"/>
              </w:rPr>
              <w:t>₦100,000</w:t>
            </w:r>
          </w:p>
        </w:tc>
      </w:tr>
      <w:tr>
        <w:tc>
          <w:tcPr>
            <w:tcW w:type="dxa" w:w="1930"/>
          </w:tcPr>
          <w:p>
            <w:r/>
            <w:r>
              <w:rPr>
                <w:rFonts w:ascii="Calibri" w:hAnsi="Calibri"/>
                <w:b w:val="0"/>
                <w:sz w:val="19"/>
              </w:rPr>
              <w:t>Tier 3 (full)</w:t>
            </w:r>
          </w:p>
        </w:tc>
        <w:tc>
          <w:tcPr>
            <w:tcW w:type="dxa" w:w="1930"/>
          </w:tcPr>
          <w:p>
            <w:r/>
            <w:r>
              <w:rPr>
                <w:rFonts w:ascii="Calibri" w:hAnsi="Calibri"/>
                <w:b w:val="0"/>
                <w:sz w:val="19"/>
              </w:rPr>
              <w:t>BVN and NIN verified</w:t>
            </w:r>
          </w:p>
        </w:tc>
        <w:tc>
          <w:tcPr>
            <w:tcW w:type="dxa" w:w="1930"/>
          </w:tcPr>
          <w:p>
            <w:r/>
            <w:r>
              <w:rPr>
                <w:rFonts w:ascii="Calibri" w:hAnsi="Calibri"/>
                <w:b w:val="0"/>
                <w:sz w:val="19"/>
              </w:rPr>
              <w:t>₦5,000,000</w:t>
            </w:r>
          </w:p>
        </w:tc>
        <w:tc>
          <w:tcPr>
            <w:tcW w:type="dxa" w:w="1930"/>
          </w:tcPr>
          <w:p>
            <w:r/>
            <w:r>
              <w:rPr>
                <w:rFonts w:ascii="Calibri" w:hAnsi="Calibri"/>
                <w:b w:val="0"/>
                <w:sz w:val="19"/>
              </w:rPr>
              <w:t>₦5,000,000</w:t>
            </w:r>
          </w:p>
        </w:tc>
        <w:tc>
          <w:tcPr>
            <w:tcW w:type="dxa" w:w="1930"/>
          </w:tcPr>
          <w:p>
            <w:r/>
            <w:r>
              <w:rPr>
                <w:rFonts w:ascii="Calibri" w:hAnsi="Calibri"/>
                <w:b w:val="0"/>
                <w:sz w:val="19"/>
              </w:rPr>
              <w:t>₦500,000</w:t>
            </w:r>
          </w:p>
        </w:tc>
      </w:tr>
    </w:tbl>
    <w:p/>
    <w:p>
      <w:r>
        <w:rPr>
          <w:sz w:val="21"/>
        </w:rPr>
        <w:t>In addition, any transaction at or above ₦100,000 requires durable, server-side facial verification of the customer (a step-up control), independent of tier. These limits and the step-up are enforced by the platform on every money-movement request and are recomputed from the customer’s verified status — a customer cannot self-assert a higher tier or limit.</w:t>
      </w:r>
    </w:p>
    <w:p>
      <w:pPr>
        <w:pStyle w:val="Heading2"/>
      </w:pPr>
      <w:r>
        <w:t>10.3  Simplified, standard and enhanced due diligence</w:t>
      </w:r>
    </w:p>
    <w:p>
      <w:pPr>
        <w:pStyle w:val="ListBullet"/>
      </w:pPr>
      <w:r>
        <w:rPr>
          <w:sz w:val="21"/>
        </w:rPr>
        <w:t>Standard CDD applies to the general low/medium-risk customer base at the appropriate tier.</w:t>
      </w:r>
    </w:p>
    <w:p>
      <w:pPr>
        <w:pStyle w:val="ListBullet"/>
      </w:pPr>
      <w:r>
        <w:rPr>
          <w:sz w:val="21"/>
        </w:rPr>
        <w:t>Simplified measures may apply only to demonstrably low-risk, low-limit (Tier 1) usage, never where suspicion exists.</w:t>
      </w:r>
    </w:p>
    <w:p>
      <w:pPr>
        <w:pStyle w:val="ListBullet"/>
      </w:pPr>
      <w:r>
        <w:rPr>
          <w:sz w:val="21"/>
        </w:rPr>
        <w:t>Enhanced Due Diligence (EDD) applies to higher-risk customers (PEPs, higher-risk geographies, unusual activity, higher limits). EDD includes additional identity/source-of-funds information, senior-management approval to onboard or continue, tighter limits and closer monitoring.</w:t>
      </w:r>
    </w:p>
    <w:p>
      <w:pPr>
        <w:pStyle w:val="Heading2"/>
      </w:pPr>
      <w:r>
        <w:t>10.4  Politically exposed persons (PEPs)</w:t>
      </w:r>
    </w:p>
    <w:p>
      <w:r>
        <w:rPr>
          <w:sz w:val="21"/>
        </w:rPr>
        <w:t>Zitch maintains policies for PEPs consistent with industry best practice and Nigerian requirements. Customers are screened against PEP data at onboarding and periodically; a positive match triggers EDD, senior-management/MLRO approval, source-of-funds enquiry and enhanced ongoing monitoring. The same applies to family members and known close associates of PEPs.</w:t>
      </w:r>
    </w:p>
    <w:p>
      <w:pPr>
        <w:pStyle w:val="Heading2"/>
      </w:pPr>
      <w:r>
        <w:t>10.5  Beneficial ownership (business customers)</w:t>
      </w:r>
    </w:p>
    <w:p>
      <w:r>
        <w:rPr>
          <w:sz w:val="21"/>
        </w:rPr>
        <w:t>For any legal-entity customer, Zitch obtains certified copies of registration documents (e.g. CAC certificate, status report), identifies and verifies the natural-person beneficial owner(s) and controllers, and understands the entity’s business and expected activity before providing services.</w:t>
      </w:r>
    </w:p>
    <w:p>
      <w:pPr>
        <w:pStyle w:val="Heading2"/>
      </w:pPr>
      <w:r>
        <w:t>10.6  Ongoing due diligence and understanding expected activity</w:t>
      </w:r>
    </w:p>
    <w:p>
      <w:r>
        <w:rPr>
          <w:sz w:val="21"/>
        </w:rPr>
        <w:t>Zitch seeks to understand the normal and expected transaction behaviour of each customer based on its risk assessment, keeps CDD information current, and reviews it on a risk-based cycle and on trigger events (e.g. a limit change, a screening hit, or anomalous activity).</w:t>
      </w:r>
    </w:p>
    <w:p>
      <w:pPr>
        <w:pStyle w:val="Heading2"/>
      </w:pPr>
      <w:r>
        <w:t>10.7  Prohibited and unacceptable relationships</w:t>
      </w:r>
    </w:p>
    <w:p>
      <w:pPr>
        <w:pStyle w:val="ListBullet"/>
      </w:pPr>
      <w:r>
        <w:rPr>
          <w:sz w:val="21"/>
        </w:rPr>
        <w:t>Anonymous, fictitious-name or unverifiable accounts.</w:t>
      </w:r>
    </w:p>
    <w:p>
      <w:pPr>
        <w:pStyle w:val="ListBullet"/>
      </w:pPr>
      <w:r>
        <w:rPr>
          <w:sz w:val="21"/>
        </w:rPr>
        <w:t>Shell banks, and any relationship that would (directly or indirectly) provide services to or through a shell bank.</w:t>
      </w:r>
    </w:p>
    <w:p>
      <w:pPr>
        <w:pStyle w:val="ListBullet"/>
      </w:pPr>
      <w:r>
        <w:rPr>
          <w:sz w:val="21"/>
        </w:rPr>
        <w:t>Sanctioned persons, entities or jurisdictions, and persons reasonably believed to be engaged in criminal activity.</w:t>
      </w:r>
    </w:p>
    <w:p>
      <w:pPr>
        <w:pStyle w:val="ListBullet"/>
      </w:pPr>
      <w:r>
        <w:rPr>
          <w:sz w:val="21"/>
        </w:rPr>
        <w:t>Customers who refuse to provide, or provide false, required CDD information.</w:t>
      </w:r>
    </w:p>
    <w:p>
      <w:pPr>
        <w:pStyle w:val="Heading1"/>
      </w:pPr>
      <w:r>
        <w:t>11.  Transaction limits and preventive controls</w:t>
      </w:r>
    </w:p>
    <w:p>
      <w:r>
        <w:rPr>
          <w:sz w:val="21"/>
        </w:rPr>
        <w:t>In addition to the tiered limits in Section 10.2, Zitch enforces preventive controls on the platform, including: a secret transaction PIN required to authorise money movement, with lockout after repeated failures; the ₦100,000 facial step-up; per-category daily aggregate caps (transfers and bills/VTU, including betting, exam-PIN and card-funding spend, and naira-source FX); idempotency controls that prevent duplicate processing; session controls; and screening of payout destinations through partner rails. Controls are calibrated to the customer’s risk rating and tier.</w:t>
      </w:r>
    </w:p>
    <w:p>
      <w:pPr>
        <w:pStyle w:val="Heading1"/>
      </w:pPr>
      <w:r>
        <w:t>12.  Sanctions, counter-terrorist and counter-proliferation financing</w:t>
      </w:r>
    </w:p>
    <w:p>
      <w:r>
        <w:rPr>
          <w:sz w:val="21"/>
        </w:rPr>
        <w:t>Zitch screens customers (and, through its partners, transaction originators and beneficiaries where applicable) against applicable sanctions and terrorism lists — including UNSC consolidated lists and other lists Zitch or its partners are required to apply — at onboarding, on list updates, and prior to or in the course of processing. Zitch will not establish or continue a relationship, or process a transaction, with a sanctioned party or a party on a recognised terrorist/proliferation list, and will not transact with sanctioned countries except as lawfully permitted. A confirmed match is frozen, escalated to the MLRO and reported as required.</w:t>
      </w:r>
    </w:p>
    <w:p>
      <w:pPr>
        <w:pStyle w:val="Heading1"/>
      </w:pPr>
      <w:r>
        <w:t>13.  Transaction monitoring and detection</w:t>
      </w:r>
    </w:p>
    <w:p>
      <w:r>
        <w:rPr>
          <w:sz w:val="21"/>
        </w:rPr>
        <w:t>Zitch operates a monitoring programme covering incoming and outgoing funds movements for suspicious or unusual activity, combining automated rules / thresholds with manual review. Monitoring looks for, among other things: structuring to evade thresholds; rapid pass-through; activity inconsistent with the customer’s profile or tier; high-velocity airtime/bill/card/FX patterns; multiple accounts/devices linked to one party; and screening hits. Alerts are investigated and dispositioned by Compliance, with escalation to the MLRO where suspicion arises. Representative red-flag indicators are set out in Appendix A.</w:t>
      </w:r>
    </w:p>
    <w:p>
      <w:pPr>
        <w:pStyle w:val="Heading1"/>
      </w:pPr>
      <w:r>
        <w:t>14.  Reliance on, and oversight of, partners and third parties</w:t>
      </w:r>
    </w:p>
    <w:p>
      <w:r>
        <w:rPr>
          <w:sz w:val="21"/>
        </w:rPr>
        <w:t>Because Zitch delivers regulated functions through licensed partners, the MLRO operates a third-party AML oversight process:</w:t>
      </w:r>
    </w:p>
    <w:p>
      <w:pPr>
        <w:pStyle w:val="ListBullet"/>
      </w:pPr>
      <w:r>
        <w:rPr>
          <w:sz w:val="21"/>
        </w:rPr>
        <w:t>Pre-engagement due diligence on each partner’s licence, ownership, AML/CFT/CPF programme, sanctions controls and regulatory standing.</w:t>
      </w:r>
    </w:p>
    <w:p>
      <w:pPr>
        <w:pStyle w:val="ListBullet"/>
      </w:pPr>
      <w:r>
        <w:rPr>
          <w:sz w:val="21"/>
        </w:rPr>
        <w:t>Contractual AML/CFT/CPF obligations, audit/information rights, breach-notification and termination rights in every partner agreement.</w:t>
      </w:r>
    </w:p>
    <w:p>
      <w:pPr>
        <w:pStyle w:val="ListBullet"/>
      </w:pPr>
      <w:r>
        <w:rPr>
          <w:sz w:val="21"/>
        </w:rPr>
        <w:t>A documented allocation of AML responsibilities (the responsibility matrix in Appendix C), so that screening, monitoring, reporting and record-keeping are owned end-to-end.</w:t>
      </w:r>
    </w:p>
    <w:p>
      <w:pPr>
        <w:pStyle w:val="ListBullet"/>
      </w:pPr>
      <w:r>
        <w:rPr>
          <w:sz w:val="21"/>
        </w:rPr>
        <w:t>Ongoing monitoring of partner performance and periodic re-assessment; prompt action where a partner’s controls are deficient.</w:t>
      </w:r>
    </w:p>
    <w:p>
      <w:r>
        <w:rPr>
          <w:sz w:val="21"/>
        </w:rPr>
        <w:t>Reliance on a partner for elements of CDD does not transfer Zitch’s own accountability for compliance; Zitch remains responsible for its programme.</w:t>
      </w:r>
    </w:p>
    <w:p>
      <w:pPr>
        <w:pStyle w:val="Heading1"/>
      </w:pPr>
      <w:r>
        <w:t>15.  Reportable and suspicious transactions; reporting to the NFIU</w:t>
      </w:r>
    </w:p>
    <w:p>
      <w:pPr>
        <w:pStyle w:val="Heading2"/>
      </w:pPr>
      <w:r>
        <w:t>15.1  Internal escalation</w:t>
      </w:r>
    </w:p>
    <w:p>
      <w:r>
        <w:rPr>
          <w:sz w:val="21"/>
        </w:rPr>
        <w:t>Any Staff member who knows or suspects ML/TF/PF, or sees a red flag, must escalate promptly and confidentially to the MLRO using the internal suspicious-activity report (Appendix D). Staff must not investigate beyond their role and must not tip off the customer.</w:t>
      </w:r>
    </w:p>
    <w:p>
      <w:pPr>
        <w:pStyle w:val="Heading2"/>
      </w:pPr>
      <w:r>
        <w:t>15.2  Suspicious Transaction Reports (STRs)</w:t>
      </w:r>
    </w:p>
    <w:p>
      <w:r>
        <w:rPr>
          <w:sz w:val="21"/>
        </w:rPr>
        <w:t>Where, after review, the MLRO forms a reasonable suspicion, the MLRO files an STR with the NFIU (via goAML) promptly and within the timeframe required by law (as a guide, without delay and within 24 hours of forming the suspicion). STRs are filed regardless of amount and regardless of whether the transaction was completed.</w:t>
      </w:r>
    </w:p>
    <w:p>
      <w:pPr>
        <w:pStyle w:val="Heading2"/>
      </w:pPr>
      <w:r>
        <w:t>15.3  Currency / Threshold Transaction Reports (CTRs)</w:t>
      </w:r>
    </w:p>
    <w:p>
      <w:r>
        <w:rPr>
          <w:sz w:val="21"/>
        </w:rPr>
        <w:t>Zitch reports qualifying threshold transactions to the NFIU as required (for example cash or single transactions at or above the regulatory reporting threshold — commonly the naira equivalent of US$10,000, and consistent with the MLPPA 2022 cash-handling limits of ₦5,000,000 for individuals and ₦10,000,000 for body corporates). As a digital VTU/wallet platform Zitch does not generally handle physical cash; equivalent threshold reporting is applied to qualifying electronic transactions and structuring designed to evade these thresholds is specifically monitored for and reported.</w:t>
      </w:r>
    </w:p>
    <w:p>
      <w:pPr>
        <w:pStyle w:val="Heading2"/>
      </w:pPr>
      <w:r>
        <w:t>15.4  Tipping-off prohibition</w:t>
      </w:r>
    </w:p>
    <w:p>
      <w:r>
        <w:rPr>
          <w:sz w:val="21"/>
        </w:rPr>
        <w:t>No Staff member may disclose to a customer or any unauthorised person that an STR has been or may be filed or that an investigation is underway. Tipping off is a criminal offence.</w:t>
      </w:r>
    </w:p>
    <w:p>
      <w:pPr>
        <w:pStyle w:val="Heading1"/>
      </w:pPr>
      <w:r>
        <w:t>16.  Record keeping and data protection</w:t>
      </w:r>
    </w:p>
    <w:p>
      <w:pPr>
        <w:pStyle w:val="ListBullet"/>
      </w:pPr>
      <w:r>
        <w:rPr>
          <w:sz w:val="21"/>
        </w:rPr>
        <w:t>CDD records, account files, and transaction records are retained for at least five (5) years after the end of the customer relationship or the date of the transaction, whichever is later (longer where required by a regulator or partner).</w:t>
      </w:r>
    </w:p>
    <w:p>
      <w:pPr>
        <w:pStyle w:val="ListBullet"/>
      </w:pPr>
      <w:r>
        <w:rPr>
          <w:sz w:val="21"/>
        </w:rPr>
        <w:t>STR/CTR records and supporting documentation are retained securely and are retrievable for regulators and audit.</w:t>
      </w:r>
    </w:p>
    <w:p>
      <w:pPr>
        <w:pStyle w:val="ListBullet"/>
      </w:pPr>
      <w:r>
        <w:rPr>
          <w:sz w:val="21"/>
        </w:rPr>
        <w:t>Sensitive identifiers (e.g. BVN/NIN) are stored using strong, keyed one-way hashing rather than raw values, and personal data is processed lawfully, minimally and securely in line with the NDPA 2023.</w:t>
      </w:r>
    </w:p>
    <w:p>
      <w:pPr>
        <w:pStyle w:val="Heading1"/>
      </w:pPr>
      <w:r>
        <w:t>17.  Training and awareness</w:t>
      </w:r>
    </w:p>
    <w:p>
      <w:r>
        <w:rPr>
          <w:sz w:val="21"/>
        </w:rPr>
        <w:t>All Staff complete AML/CFT/CPF training at induction and at least annually, with role-specific and refresher training for higher-risk functions. Training covers the law, this Policy, red flags, the escalation/STR process and tipping-off. Completion is recorded. All Staff acknowledge and agree to abide by Zitch’s Code of Conduct, which incorporates these AML obligations.</w:t>
      </w:r>
    </w:p>
    <w:p>
      <w:pPr>
        <w:pStyle w:val="Heading1"/>
      </w:pPr>
      <w:r>
        <w:t>18.  Independent testing, audit and self-assessment</w:t>
      </w:r>
    </w:p>
    <w:p>
      <w:r>
        <w:rPr>
          <w:sz w:val="21"/>
        </w:rPr>
        <w:t>Zitch maintains internal-control self-assessment procedures to assure compliance with applicable laws and this Policy, and subjects the AML/CFT/CPF programme to periodic independent testing — by an internal audit function and/or a qualified independent third party — in addition to any inspection by regulators or partners. Findings are reported to the Board and remediated on a tracked basis.</w:t>
      </w:r>
    </w:p>
    <w:p>
      <w:pPr>
        <w:pStyle w:val="Heading1"/>
      </w:pPr>
      <w:r>
        <w:t>19.  Whistleblowing and confidentiality</w:t>
      </w:r>
    </w:p>
    <w:p>
      <w:r>
        <w:rPr>
          <w:sz w:val="21"/>
        </w:rPr>
        <w:t>Staff can report suspected ML/TF/PF or breaches of this Policy confidentially and without fear of retaliation, including anonymously. Reports are handled by the MLRO under strict confidentiality.</w:t>
      </w:r>
    </w:p>
    <w:p>
      <w:pPr>
        <w:pStyle w:val="Heading1"/>
      </w:pPr>
      <w:r>
        <w:t>20.  Non-compliance and consequences</w:t>
      </w:r>
    </w:p>
    <w:p>
      <w:r>
        <w:rPr>
          <w:sz w:val="21"/>
        </w:rPr>
        <w:t>Breach of this Policy is serious misconduct and may lead to disciplinary action up to dismissal, and to civil or criminal liability under Nigerian law. Zitch will cooperate fully with lawful regulatory and law-enforcement requests.</w:t>
      </w:r>
    </w:p>
    <w:p>
      <w:pPr>
        <w:pStyle w:val="Heading1"/>
      </w:pPr>
      <w:r>
        <w:t>21.  Governance, review and approval</w:t>
      </w:r>
    </w:p>
    <w:p>
      <w:r>
        <w:rPr>
          <w:sz w:val="21"/>
        </w:rPr>
        <w:t>This Policy is reviewed at least annually and upon any material change in law, products, partners or risk. Material changes require Board (or delegated committee) approval. Records of the penalties question and the company’s regulatory history are maintained by the MLRO; as at the effective date, Zitch represents that it has [not] been subject to penalties relating to ML/TF/PF in the past five years [management to confirm/complete].</w:t>
      </w:r>
    </w:p>
    <w:p>
      <w:r>
        <w:rPr>
          <w:b/>
        </w:rPr>
        <w:br/>
        <w:t>Approved by the Board of Directors of Zitch Technologies</w:t>
      </w:r>
    </w:p>
    <w:p>
      <w:r>
        <w:rPr>
          <w:sz w:val="21"/>
        </w:rPr>
        <w:t>Name: ______________________    Signature: ______________________    Date: ____________</w:t>
      </w:r>
    </w:p>
    <w:p>
      <w:r>
        <w:rPr>
          <w:sz w:val="21"/>
        </w:rPr>
        <w:t>Chief Compliance Officer / MLRO: ______________________    Date: ____________</w:t>
      </w:r>
    </w:p>
    <w:p>
      <w:r>
        <w:br w:type="page"/>
      </w:r>
    </w:p>
    <w:p>
      <w:pPr>
        <w:pStyle w:val="Heading1"/>
      </w:pPr>
      <w:r>
        <w:t>A.  Appendix A — Red-flag / suspicious-activity indicators (illustrative)</w:t>
      </w:r>
    </w:p>
    <w:tbl>
      <w:tblPr>
        <w:tblStyle w:val="TableGrid"/>
        <w:tblW w:type="auto" w:w="0"/>
        <w:jc w:val="center"/>
        <w:tblLook w:firstColumn="1" w:firstRow="1" w:lastColumn="0" w:lastRow="0" w:noHBand="0" w:noVBand="1" w:val="04A0"/>
      </w:tblPr>
      <w:tblGrid>
        <w:gridCol w:w="2448"/>
        <w:gridCol w:w="7056"/>
      </w:tblGrid>
      <w:tr>
        <w:tc>
          <w:tcPr>
            <w:tcW w:type="dxa" w:w="4824"/>
            <w:shd w:val="clear" w:color="auto" w:fill="03304C"/>
          </w:tcPr>
          <w:p>
            <w:r/>
            <w:r>
              <w:rPr>
                <w:rFonts w:ascii="Calibri" w:hAnsi="Calibri"/>
                <w:b/>
                <w:color w:val="FFFFFF"/>
                <w:sz w:val="20"/>
              </w:rPr>
              <w:t>Category</w:t>
            </w:r>
          </w:p>
        </w:tc>
        <w:tc>
          <w:tcPr>
            <w:tcW w:type="dxa" w:w="4824"/>
            <w:shd w:val="clear" w:color="auto" w:fill="03304C"/>
          </w:tcPr>
          <w:p>
            <w:r/>
            <w:r>
              <w:rPr>
                <w:rFonts w:ascii="Calibri" w:hAnsi="Calibri"/>
                <w:b/>
                <w:color w:val="FFFFFF"/>
                <w:sz w:val="20"/>
              </w:rPr>
              <w:t>Example indicators</w:t>
            </w:r>
          </w:p>
        </w:tc>
      </w:tr>
      <w:tr>
        <w:tc>
          <w:tcPr>
            <w:tcW w:type="dxa" w:w="4824"/>
          </w:tcPr>
          <w:p>
            <w:r/>
            <w:r>
              <w:rPr>
                <w:rFonts w:ascii="Calibri" w:hAnsi="Calibri"/>
                <w:b w:val="0"/>
                <w:sz w:val="19"/>
              </w:rPr>
              <w:t>Onboarding / identity</w:t>
            </w:r>
          </w:p>
        </w:tc>
        <w:tc>
          <w:tcPr>
            <w:tcW w:type="dxa" w:w="4824"/>
          </w:tcPr>
          <w:p>
            <w:r/>
            <w:r>
              <w:rPr>
                <w:rFonts w:ascii="Calibri" w:hAnsi="Calibri"/>
                <w:b w:val="0"/>
                <w:sz w:val="19"/>
              </w:rPr>
              <w:t>Reluctance or refusal to provide CDD; inconsistent or suspected false identity; one device/identity opening many accounts; mismatched BVN/NIN vs. stated identity.</w:t>
            </w:r>
          </w:p>
        </w:tc>
      </w:tr>
      <w:tr>
        <w:tc>
          <w:tcPr>
            <w:tcW w:type="dxa" w:w="4824"/>
          </w:tcPr>
          <w:p>
            <w:r/>
            <w:r>
              <w:rPr>
                <w:rFonts w:ascii="Calibri" w:hAnsi="Calibri"/>
                <w:b w:val="0"/>
                <w:sz w:val="19"/>
              </w:rPr>
              <w:t>Structuring</w:t>
            </w:r>
          </w:p>
        </w:tc>
        <w:tc>
          <w:tcPr>
            <w:tcW w:type="dxa" w:w="4824"/>
          </w:tcPr>
          <w:p>
            <w:r/>
            <w:r>
              <w:rPr>
                <w:rFonts w:ascii="Calibri" w:hAnsi="Calibri"/>
                <w:b w:val="0"/>
                <w:sz w:val="19"/>
              </w:rPr>
              <w:t>Many transactions just below a tier/threshold limit; splitting a payment across accounts, days or channels to evade limits or reporting.</w:t>
            </w:r>
          </w:p>
        </w:tc>
      </w:tr>
      <w:tr>
        <w:tc>
          <w:tcPr>
            <w:tcW w:type="dxa" w:w="4824"/>
          </w:tcPr>
          <w:p>
            <w:r/>
            <w:r>
              <w:rPr>
                <w:rFonts w:ascii="Calibri" w:hAnsi="Calibri"/>
                <w:b w:val="0"/>
                <w:sz w:val="19"/>
              </w:rPr>
              <w:t>Mule / pass-through</w:t>
            </w:r>
          </w:p>
        </w:tc>
        <w:tc>
          <w:tcPr>
            <w:tcW w:type="dxa" w:w="4824"/>
          </w:tcPr>
          <w:p>
            <w:r/>
            <w:r>
              <w:rPr>
                <w:rFonts w:ascii="Calibri" w:hAnsi="Calibri"/>
                <w:b w:val="0"/>
                <w:sz w:val="19"/>
              </w:rPr>
              <w:t>Funds received and almost immediately forwarded out; account used only to receive and disburse; third-party funding inconsistent with profile.</w:t>
            </w:r>
          </w:p>
        </w:tc>
      </w:tr>
      <w:tr>
        <w:tc>
          <w:tcPr>
            <w:tcW w:type="dxa" w:w="4824"/>
          </w:tcPr>
          <w:p>
            <w:r/>
            <w:r>
              <w:rPr>
                <w:rFonts w:ascii="Calibri" w:hAnsi="Calibri"/>
                <w:b w:val="0"/>
                <w:sz w:val="19"/>
              </w:rPr>
              <w:t>VTU / bills</w:t>
            </w:r>
          </w:p>
        </w:tc>
        <w:tc>
          <w:tcPr>
            <w:tcW w:type="dxa" w:w="4824"/>
          </w:tcPr>
          <w:p>
            <w:r/>
            <w:r>
              <w:rPr>
                <w:rFonts w:ascii="Calibri" w:hAnsi="Calibri"/>
                <w:b w:val="0"/>
                <w:sz w:val="19"/>
              </w:rPr>
              <w:t>High-velocity airtime/data/bill purchases inconsistent with personal use; bulk purchases to a few beneficiary numbers; resale patterns.</w:t>
            </w:r>
          </w:p>
        </w:tc>
      </w:tr>
      <w:tr>
        <w:tc>
          <w:tcPr>
            <w:tcW w:type="dxa" w:w="4824"/>
          </w:tcPr>
          <w:p>
            <w:r/>
            <w:r>
              <w:rPr>
                <w:rFonts w:ascii="Calibri" w:hAnsi="Calibri"/>
                <w:b w:val="0"/>
                <w:sz w:val="19"/>
              </w:rPr>
              <w:t>Cards / FX</w:t>
            </w:r>
          </w:p>
        </w:tc>
        <w:tc>
          <w:tcPr>
            <w:tcW w:type="dxa" w:w="4824"/>
          </w:tcPr>
          <w:p>
            <w:r/>
            <w:r>
              <w:rPr>
                <w:rFonts w:ascii="Calibri" w:hAnsi="Calibri"/>
                <w:b w:val="0"/>
                <w:sz w:val="19"/>
              </w:rPr>
              <w:t>Rapid loading and offloading of virtual cards; repeated NGN→FX conversions near limits; conversion patterns suggesting value relocation.</w:t>
            </w:r>
          </w:p>
        </w:tc>
      </w:tr>
      <w:tr>
        <w:tc>
          <w:tcPr>
            <w:tcW w:type="dxa" w:w="4824"/>
          </w:tcPr>
          <w:p>
            <w:r/>
            <w:r>
              <w:rPr>
                <w:rFonts w:ascii="Calibri" w:hAnsi="Calibri"/>
                <w:b w:val="0"/>
                <w:sz w:val="19"/>
              </w:rPr>
              <w:t>Behavioural</w:t>
            </w:r>
          </w:p>
        </w:tc>
        <w:tc>
          <w:tcPr>
            <w:tcW w:type="dxa" w:w="4824"/>
          </w:tcPr>
          <w:p>
            <w:r/>
            <w:r>
              <w:rPr>
                <w:rFonts w:ascii="Calibri" w:hAnsi="Calibri"/>
                <w:b w:val="0"/>
                <w:sz w:val="19"/>
              </w:rPr>
              <w:t>Activity inconsistent with stated occupation/income; sudden change in pattern; transactions with higher-risk geographies; nervousness about CDD or limits.</w:t>
            </w:r>
          </w:p>
        </w:tc>
      </w:tr>
      <w:tr>
        <w:tc>
          <w:tcPr>
            <w:tcW w:type="dxa" w:w="4824"/>
          </w:tcPr>
          <w:p>
            <w:r/>
            <w:r>
              <w:rPr>
                <w:rFonts w:ascii="Calibri" w:hAnsi="Calibri"/>
                <w:b w:val="0"/>
                <w:sz w:val="19"/>
              </w:rPr>
              <w:t>Screening</w:t>
            </w:r>
          </w:p>
        </w:tc>
        <w:tc>
          <w:tcPr>
            <w:tcW w:type="dxa" w:w="4824"/>
          </w:tcPr>
          <w:p>
            <w:r/>
            <w:r>
              <w:rPr>
                <w:rFonts w:ascii="Calibri" w:hAnsi="Calibri"/>
                <w:b w:val="0"/>
                <w:sz w:val="19"/>
              </w:rPr>
              <w:t>Name/identity matches a sanctions, terrorism or PEP list; links to a person under investigation.</w:t>
            </w:r>
          </w:p>
        </w:tc>
      </w:tr>
    </w:tbl>
    <w:p/>
    <w:p>
      <w:pPr>
        <w:pStyle w:val="Heading1"/>
      </w:pPr>
      <w:r>
        <w:t>B.  Appendix B — KYC tier &amp; limit matrix</w:t>
      </w:r>
    </w:p>
    <w:tbl>
      <w:tblPr>
        <w:tblStyle w:val="TableGrid"/>
        <w:tblW w:type="auto" w:w="0"/>
        <w:jc w:val="center"/>
        <w:tblLook w:firstColumn="1" w:firstRow="1" w:lastColumn="0" w:lastRow="0" w:noHBand="0" w:noVBand="1" w:val="04A0"/>
      </w:tblPr>
      <w:tblGrid>
        <w:gridCol w:w="1440"/>
        <w:gridCol w:w="2880"/>
        <w:gridCol w:w="1512"/>
        <w:gridCol w:w="1800"/>
        <w:gridCol w:w="1656"/>
        <w:gridCol w:w="1656"/>
      </w:tblGrid>
      <w:tr>
        <w:tc>
          <w:tcPr>
            <w:tcW w:type="dxa" w:w="1608"/>
            <w:shd w:val="clear" w:color="auto" w:fill="03304C"/>
          </w:tcPr>
          <w:p>
            <w:r/>
            <w:r>
              <w:rPr>
                <w:rFonts w:ascii="Calibri" w:hAnsi="Calibri"/>
                <w:b/>
                <w:color w:val="FFFFFF"/>
                <w:sz w:val="20"/>
              </w:rPr>
              <w:t>KYC tier</w:t>
            </w:r>
          </w:p>
        </w:tc>
        <w:tc>
          <w:tcPr>
            <w:tcW w:type="dxa" w:w="1608"/>
            <w:shd w:val="clear" w:color="auto" w:fill="03304C"/>
          </w:tcPr>
          <w:p>
            <w:r/>
            <w:r>
              <w:rPr>
                <w:rFonts w:ascii="Calibri" w:hAnsi="Calibri"/>
                <w:b/>
                <w:color w:val="FFFFFF"/>
                <w:sz w:val="20"/>
              </w:rPr>
              <w:t>Verification</w:t>
            </w:r>
          </w:p>
        </w:tc>
        <w:tc>
          <w:tcPr>
            <w:tcW w:type="dxa" w:w="1608"/>
            <w:shd w:val="clear" w:color="auto" w:fill="03304C"/>
          </w:tcPr>
          <w:p>
            <w:r/>
            <w:r>
              <w:rPr>
                <w:rFonts w:ascii="Calibri" w:hAnsi="Calibri"/>
                <w:b/>
                <w:color w:val="FFFFFF"/>
                <w:sz w:val="20"/>
              </w:rPr>
              <w:t>Per-txn</w:t>
            </w:r>
          </w:p>
        </w:tc>
        <w:tc>
          <w:tcPr>
            <w:tcW w:type="dxa" w:w="1608"/>
            <w:shd w:val="clear" w:color="auto" w:fill="03304C"/>
          </w:tcPr>
          <w:p>
            <w:r/>
            <w:r>
              <w:rPr>
                <w:rFonts w:ascii="Calibri" w:hAnsi="Calibri"/>
                <w:b/>
                <w:color w:val="FFFFFF"/>
                <w:sz w:val="20"/>
              </w:rPr>
              <w:t>Daily transfer</w:t>
            </w:r>
          </w:p>
        </w:tc>
        <w:tc>
          <w:tcPr>
            <w:tcW w:type="dxa" w:w="1608"/>
            <w:shd w:val="clear" w:color="auto" w:fill="03304C"/>
          </w:tcPr>
          <w:p>
            <w:r/>
            <w:r>
              <w:rPr>
                <w:rFonts w:ascii="Calibri" w:hAnsi="Calibri"/>
                <w:b/>
                <w:color w:val="FFFFFF"/>
                <w:sz w:val="20"/>
              </w:rPr>
              <w:t>Daily bill/VTU</w:t>
            </w:r>
          </w:p>
        </w:tc>
        <w:tc>
          <w:tcPr>
            <w:tcW w:type="dxa" w:w="1608"/>
            <w:shd w:val="clear" w:color="auto" w:fill="03304C"/>
          </w:tcPr>
          <w:p>
            <w:r/>
            <w:r>
              <w:rPr>
                <w:rFonts w:ascii="Calibri" w:hAnsi="Calibri"/>
                <w:b/>
                <w:color w:val="FFFFFF"/>
                <w:sz w:val="20"/>
              </w:rPr>
              <w:t>Face step-up</w:t>
            </w:r>
          </w:p>
        </w:tc>
      </w:tr>
      <w:tr>
        <w:tc>
          <w:tcPr>
            <w:tcW w:type="dxa" w:w="1608"/>
          </w:tcPr>
          <w:p>
            <w:r/>
            <w:r>
              <w:rPr>
                <w:rFonts w:ascii="Calibri" w:hAnsi="Calibri"/>
                <w:b w:val="0"/>
                <w:sz w:val="19"/>
              </w:rPr>
              <w:t>Tier 1</w:t>
            </w:r>
          </w:p>
        </w:tc>
        <w:tc>
          <w:tcPr>
            <w:tcW w:type="dxa" w:w="1608"/>
          </w:tcPr>
          <w:p>
            <w:r/>
            <w:r>
              <w:rPr>
                <w:rFonts w:ascii="Calibri" w:hAnsi="Calibri"/>
                <w:b w:val="0"/>
                <w:sz w:val="19"/>
              </w:rPr>
              <w:t>Phone + basic details</w:t>
            </w:r>
          </w:p>
        </w:tc>
        <w:tc>
          <w:tcPr>
            <w:tcW w:type="dxa" w:w="1608"/>
          </w:tcPr>
          <w:p>
            <w:r/>
            <w:r>
              <w:rPr>
                <w:rFonts w:ascii="Calibri" w:hAnsi="Calibri"/>
                <w:b w:val="0"/>
                <w:sz w:val="19"/>
              </w:rPr>
              <w:t>₦50,000</w:t>
            </w:r>
          </w:p>
        </w:tc>
        <w:tc>
          <w:tcPr>
            <w:tcW w:type="dxa" w:w="1608"/>
          </w:tcPr>
          <w:p>
            <w:r/>
            <w:r>
              <w:rPr>
                <w:rFonts w:ascii="Calibri" w:hAnsi="Calibri"/>
                <w:b w:val="0"/>
                <w:sz w:val="19"/>
              </w:rPr>
              <w:t>₦50,000</w:t>
            </w:r>
          </w:p>
        </w:tc>
        <w:tc>
          <w:tcPr>
            <w:tcW w:type="dxa" w:w="1608"/>
          </w:tcPr>
          <w:p>
            <w:r/>
            <w:r>
              <w:rPr>
                <w:rFonts w:ascii="Calibri" w:hAnsi="Calibri"/>
                <w:b w:val="0"/>
                <w:sz w:val="19"/>
              </w:rPr>
              <w:t>₦20,000</w:t>
            </w:r>
          </w:p>
        </w:tc>
        <w:tc>
          <w:tcPr>
            <w:tcW w:type="dxa" w:w="1608"/>
          </w:tcPr>
          <w:p>
            <w:r/>
            <w:r>
              <w:rPr>
                <w:rFonts w:ascii="Calibri" w:hAnsi="Calibri"/>
                <w:b w:val="0"/>
                <w:sz w:val="19"/>
              </w:rPr>
              <w:t>≥₦100,000</w:t>
            </w:r>
          </w:p>
        </w:tc>
      </w:tr>
      <w:tr>
        <w:tc>
          <w:tcPr>
            <w:tcW w:type="dxa" w:w="1608"/>
          </w:tcPr>
          <w:p>
            <w:r/>
            <w:r>
              <w:rPr>
                <w:rFonts w:ascii="Calibri" w:hAnsi="Calibri"/>
                <w:b w:val="0"/>
                <w:sz w:val="19"/>
              </w:rPr>
              <w:t>Tier 2</w:t>
            </w:r>
          </w:p>
        </w:tc>
        <w:tc>
          <w:tcPr>
            <w:tcW w:type="dxa" w:w="1608"/>
          </w:tcPr>
          <w:p>
            <w:r/>
            <w:r>
              <w:rPr>
                <w:rFonts w:ascii="Calibri" w:hAnsi="Calibri"/>
                <w:b w:val="0"/>
                <w:sz w:val="19"/>
              </w:rPr>
              <w:t>BVN or NIN verified</w:t>
            </w:r>
          </w:p>
        </w:tc>
        <w:tc>
          <w:tcPr>
            <w:tcW w:type="dxa" w:w="1608"/>
          </w:tcPr>
          <w:p>
            <w:r/>
            <w:r>
              <w:rPr>
                <w:rFonts w:ascii="Calibri" w:hAnsi="Calibri"/>
                <w:b w:val="0"/>
                <w:sz w:val="19"/>
              </w:rPr>
              <w:t>₦200,000</w:t>
            </w:r>
          </w:p>
        </w:tc>
        <w:tc>
          <w:tcPr>
            <w:tcW w:type="dxa" w:w="1608"/>
          </w:tcPr>
          <w:p>
            <w:r/>
            <w:r>
              <w:rPr>
                <w:rFonts w:ascii="Calibri" w:hAnsi="Calibri"/>
                <w:b w:val="0"/>
                <w:sz w:val="19"/>
              </w:rPr>
              <w:t>₦1,000,000</w:t>
            </w:r>
          </w:p>
        </w:tc>
        <w:tc>
          <w:tcPr>
            <w:tcW w:type="dxa" w:w="1608"/>
          </w:tcPr>
          <w:p>
            <w:r/>
            <w:r>
              <w:rPr>
                <w:rFonts w:ascii="Calibri" w:hAnsi="Calibri"/>
                <w:b w:val="0"/>
                <w:sz w:val="19"/>
              </w:rPr>
              <w:t>₦100,000</w:t>
            </w:r>
          </w:p>
        </w:tc>
        <w:tc>
          <w:tcPr>
            <w:tcW w:type="dxa" w:w="1608"/>
          </w:tcPr>
          <w:p>
            <w:r/>
            <w:r>
              <w:rPr>
                <w:rFonts w:ascii="Calibri" w:hAnsi="Calibri"/>
                <w:b w:val="0"/>
                <w:sz w:val="19"/>
              </w:rPr>
              <w:t>≥₦100,000</w:t>
            </w:r>
          </w:p>
        </w:tc>
      </w:tr>
      <w:tr>
        <w:tc>
          <w:tcPr>
            <w:tcW w:type="dxa" w:w="1608"/>
          </w:tcPr>
          <w:p>
            <w:r/>
            <w:r>
              <w:rPr>
                <w:rFonts w:ascii="Calibri" w:hAnsi="Calibri"/>
                <w:b w:val="0"/>
                <w:sz w:val="19"/>
              </w:rPr>
              <w:t>Tier 3</w:t>
            </w:r>
          </w:p>
        </w:tc>
        <w:tc>
          <w:tcPr>
            <w:tcW w:type="dxa" w:w="1608"/>
          </w:tcPr>
          <w:p>
            <w:r/>
            <w:r>
              <w:rPr>
                <w:rFonts w:ascii="Calibri" w:hAnsi="Calibri"/>
                <w:b w:val="0"/>
                <w:sz w:val="19"/>
              </w:rPr>
              <w:t>BVN and NIN verified</w:t>
            </w:r>
          </w:p>
        </w:tc>
        <w:tc>
          <w:tcPr>
            <w:tcW w:type="dxa" w:w="1608"/>
          </w:tcPr>
          <w:p>
            <w:r/>
            <w:r>
              <w:rPr>
                <w:rFonts w:ascii="Calibri" w:hAnsi="Calibri"/>
                <w:b w:val="0"/>
                <w:sz w:val="19"/>
              </w:rPr>
              <w:t>₦5,000,000</w:t>
            </w:r>
          </w:p>
        </w:tc>
        <w:tc>
          <w:tcPr>
            <w:tcW w:type="dxa" w:w="1608"/>
          </w:tcPr>
          <w:p>
            <w:r/>
            <w:r>
              <w:rPr>
                <w:rFonts w:ascii="Calibri" w:hAnsi="Calibri"/>
                <w:b w:val="0"/>
                <w:sz w:val="19"/>
              </w:rPr>
              <w:t>₦5,000,000</w:t>
            </w:r>
          </w:p>
        </w:tc>
        <w:tc>
          <w:tcPr>
            <w:tcW w:type="dxa" w:w="1608"/>
          </w:tcPr>
          <w:p>
            <w:r/>
            <w:r>
              <w:rPr>
                <w:rFonts w:ascii="Calibri" w:hAnsi="Calibri"/>
                <w:b w:val="0"/>
                <w:sz w:val="19"/>
              </w:rPr>
              <w:t>₦500,000</w:t>
            </w:r>
          </w:p>
        </w:tc>
        <w:tc>
          <w:tcPr>
            <w:tcW w:type="dxa" w:w="1608"/>
          </w:tcPr>
          <w:p>
            <w:r/>
            <w:r>
              <w:rPr>
                <w:rFonts w:ascii="Calibri" w:hAnsi="Calibri"/>
                <w:b w:val="0"/>
                <w:sz w:val="19"/>
              </w:rPr>
              <w:t>≥₦100,000</w:t>
            </w:r>
          </w:p>
        </w:tc>
      </w:tr>
    </w:tbl>
    <w:p/>
    <w:p>
      <w:pPr>
        <w:pStyle w:val="Heading1"/>
      </w:pPr>
      <w:r>
        <w:t>C.  Appendix C — Partner / third-party AML responsibility matrix (RACI)</w:t>
      </w:r>
    </w:p>
    <w:tbl>
      <w:tblPr>
        <w:tblStyle w:val="TableGrid"/>
        <w:tblW w:type="auto" w:w="0"/>
        <w:jc w:val="center"/>
        <w:tblLook w:firstColumn="1" w:firstRow="1" w:lastColumn="0" w:lastRow="0" w:noHBand="0" w:noVBand="1" w:val="04A0"/>
      </w:tblPr>
      <w:tblGrid>
        <w:gridCol w:w="3024"/>
        <w:gridCol w:w="1584"/>
        <w:gridCol w:w="2736"/>
        <w:gridCol w:w="2160"/>
      </w:tblGrid>
      <w:tr>
        <w:tc>
          <w:tcPr>
            <w:tcW w:type="dxa" w:w="2412"/>
            <w:shd w:val="clear" w:color="auto" w:fill="03304C"/>
          </w:tcPr>
          <w:p>
            <w:r/>
            <w:r>
              <w:rPr>
                <w:rFonts w:ascii="Calibri" w:hAnsi="Calibri"/>
                <w:b/>
                <w:color w:val="FFFFFF"/>
                <w:sz w:val="20"/>
              </w:rPr>
              <w:t>Activity</w:t>
            </w:r>
          </w:p>
        </w:tc>
        <w:tc>
          <w:tcPr>
            <w:tcW w:type="dxa" w:w="2412"/>
            <w:shd w:val="clear" w:color="auto" w:fill="03304C"/>
          </w:tcPr>
          <w:p>
            <w:r/>
            <w:r>
              <w:rPr>
                <w:rFonts w:ascii="Calibri" w:hAnsi="Calibri"/>
                <w:b/>
                <w:color w:val="FFFFFF"/>
                <w:sz w:val="20"/>
              </w:rPr>
              <w:t>Zitch</w:t>
            </w:r>
          </w:p>
        </w:tc>
        <w:tc>
          <w:tcPr>
            <w:tcW w:type="dxa" w:w="2412"/>
            <w:shd w:val="clear" w:color="auto" w:fill="03304C"/>
          </w:tcPr>
          <w:p>
            <w:r/>
            <w:r>
              <w:rPr>
                <w:rFonts w:ascii="Calibri" w:hAnsi="Calibri"/>
                <w:b/>
                <w:color w:val="FFFFFF"/>
                <w:sz w:val="20"/>
              </w:rPr>
              <w:t>Partner</w:t>
            </w:r>
          </w:p>
        </w:tc>
        <w:tc>
          <w:tcPr>
            <w:tcW w:type="dxa" w:w="2412"/>
            <w:shd w:val="clear" w:color="auto" w:fill="03304C"/>
          </w:tcPr>
          <w:p>
            <w:r/>
            <w:r>
              <w:rPr>
                <w:rFonts w:ascii="Calibri" w:hAnsi="Calibri"/>
                <w:b/>
                <w:color w:val="FFFFFF"/>
                <w:sz w:val="20"/>
              </w:rPr>
              <w:t>Notes</w:t>
            </w:r>
          </w:p>
        </w:tc>
      </w:tr>
      <w:tr>
        <w:tc>
          <w:tcPr>
            <w:tcW w:type="dxa" w:w="2412"/>
          </w:tcPr>
          <w:p>
            <w:r/>
            <w:r>
              <w:rPr>
                <w:rFonts w:ascii="Calibri" w:hAnsi="Calibri"/>
                <w:b w:val="0"/>
                <w:sz w:val="19"/>
              </w:rPr>
              <w:t>Customer identification &amp; tiered KYC</w:t>
            </w:r>
          </w:p>
        </w:tc>
        <w:tc>
          <w:tcPr>
            <w:tcW w:type="dxa" w:w="2412"/>
          </w:tcPr>
          <w:p>
            <w:r/>
            <w:r>
              <w:rPr>
                <w:rFonts w:ascii="Calibri" w:hAnsi="Calibri"/>
                <w:b w:val="0"/>
                <w:sz w:val="19"/>
              </w:rPr>
              <w:t>Owns</w:t>
            </w:r>
          </w:p>
        </w:tc>
        <w:tc>
          <w:tcPr>
            <w:tcW w:type="dxa" w:w="2412"/>
          </w:tcPr>
          <w:p>
            <w:r/>
            <w:r>
              <w:rPr>
                <w:rFonts w:ascii="Calibri" w:hAnsi="Calibri"/>
                <w:b w:val="0"/>
                <w:sz w:val="19"/>
              </w:rPr>
              <w:t>Supports (BVN/NIN, KYC data)</w:t>
            </w:r>
          </w:p>
        </w:tc>
        <w:tc>
          <w:tcPr>
            <w:tcW w:type="dxa" w:w="2412"/>
          </w:tcPr>
          <w:p>
            <w:r/>
            <w:r>
              <w:rPr>
                <w:rFonts w:ascii="Calibri" w:hAnsi="Calibri"/>
                <w:b w:val="0"/>
                <w:sz w:val="19"/>
              </w:rPr>
              <w:t>Zitch sets tier from verified status.</w:t>
            </w:r>
          </w:p>
        </w:tc>
      </w:tr>
      <w:tr>
        <w:tc>
          <w:tcPr>
            <w:tcW w:type="dxa" w:w="2412"/>
          </w:tcPr>
          <w:p>
            <w:r/>
            <w:r>
              <w:rPr>
                <w:rFonts w:ascii="Calibri" w:hAnsi="Calibri"/>
                <w:b w:val="0"/>
                <w:sz w:val="19"/>
              </w:rPr>
              <w:t>Sanctions / PEP screening</w:t>
            </w:r>
          </w:p>
        </w:tc>
        <w:tc>
          <w:tcPr>
            <w:tcW w:type="dxa" w:w="2412"/>
          </w:tcPr>
          <w:p>
            <w:r/>
            <w:r>
              <w:rPr>
                <w:rFonts w:ascii="Calibri" w:hAnsi="Calibri"/>
                <w:b w:val="0"/>
                <w:sz w:val="19"/>
              </w:rPr>
              <w:t>Owns (customer)</w:t>
            </w:r>
          </w:p>
        </w:tc>
        <w:tc>
          <w:tcPr>
            <w:tcW w:type="dxa" w:w="2412"/>
          </w:tcPr>
          <w:p>
            <w:r/>
            <w:r>
              <w:rPr>
                <w:rFonts w:ascii="Calibri" w:hAnsi="Calibri"/>
                <w:b w:val="0"/>
                <w:sz w:val="19"/>
              </w:rPr>
              <w:t>Owns (payment rails / their customers)</w:t>
            </w:r>
          </w:p>
        </w:tc>
        <w:tc>
          <w:tcPr>
            <w:tcW w:type="dxa" w:w="2412"/>
          </w:tcPr>
          <w:p>
            <w:r/>
            <w:r>
              <w:rPr>
                <w:rFonts w:ascii="Calibri" w:hAnsi="Calibri"/>
                <w:b w:val="0"/>
                <w:sz w:val="19"/>
              </w:rPr>
              <w:t>Both layers applied; results reconciled.</w:t>
            </w:r>
          </w:p>
        </w:tc>
      </w:tr>
      <w:tr>
        <w:tc>
          <w:tcPr>
            <w:tcW w:type="dxa" w:w="2412"/>
          </w:tcPr>
          <w:p>
            <w:r/>
            <w:r>
              <w:rPr>
                <w:rFonts w:ascii="Calibri" w:hAnsi="Calibri"/>
                <w:b w:val="0"/>
                <w:sz w:val="19"/>
              </w:rPr>
              <w:t>Transaction monitoring</w:t>
            </w:r>
          </w:p>
        </w:tc>
        <w:tc>
          <w:tcPr>
            <w:tcW w:type="dxa" w:w="2412"/>
          </w:tcPr>
          <w:p>
            <w:r/>
            <w:r>
              <w:rPr>
                <w:rFonts w:ascii="Calibri" w:hAnsi="Calibri"/>
                <w:b w:val="0"/>
                <w:sz w:val="19"/>
              </w:rPr>
              <w:t>Owns (platform behaviour)</w:t>
            </w:r>
          </w:p>
        </w:tc>
        <w:tc>
          <w:tcPr>
            <w:tcW w:type="dxa" w:w="2412"/>
          </w:tcPr>
          <w:p>
            <w:r/>
            <w:r>
              <w:rPr>
                <w:rFonts w:ascii="Calibri" w:hAnsi="Calibri"/>
                <w:b w:val="0"/>
                <w:sz w:val="19"/>
              </w:rPr>
              <w:t>Owns (their rail)</w:t>
            </w:r>
          </w:p>
        </w:tc>
        <w:tc>
          <w:tcPr>
            <w:tcW w:type="dxa" w:w="2412"/>
          </w:tcPr>
          <w:p>
            <w:r/>
            <w:r>
              <w:rPr>
                <w:rFonts w:ascii="Calibri" w:hAnsi="Calibri"/>
                <w:b w:val="0"/>
                <w:sz w:val="19"/>
              </w:rPr>
              <w:t>Alerts shared per contract.</w:t>
            </w:r>
          </w:p>
        </w:tc>
      </w:tr>
      <w:tr>
        <w:tc>
          <w:tcPr>
            <w:tcW w:type="dxa" w:w="2412"/>
          </w:tcPr>
          <w:p>
            <w:r/>
            <w:r>
              <w:rPr>
                <w:rFonts w:ascii="Calibri" w:hAnsi="Calibri"/>
                <w:b w:val="0"/>
                <w:sz w:val="19"/>
              </w:rPr>
              <w:t>Funds movement / settlement</w:t>
            </w:r>
          </w:p>
        </w:tc>
        <w:tc>
          <w:tcPr>
            <w:tcW w:type="dxa" w:w="2412"/>
          </w:tcPr>
          <w:p>
            <w:r/>
            <w:r>
              <w:rPr>
                <w:rFonts w:ascii="Calibri" w:hAnsi="Calibri"/>
                <w:b w:val="0"/>
                <w:sz w:val="19"/>
              </w:rPr>
              <w:t>Instructs</w:t>
            </w:r>
          </w:p>
        </w:tc>
        <w:tc>
          <w:tcPr>
            <w:tcW w:type="dxa" w:w="2412"/>
          </w:tcPr>
          <w:p>
            <w:r/>
            <w:r>
              <w:rPr>
                <w:rFonts w:ascii="Calibri" w:hAnsi="Calibri"/>
                <w:b w:val="0"/>
                <w:sz w:val="19"/>
              </w:rPr>
              <w:t>Owns / executes</w:t>
            </w:r>
          </w:p>
        </w:tc>
        <w:tc>
          <w:tcPr>
            <w:tcW w:type="dxa" w:w="2412"/>
          </w:tcPr>
          <w:p>
            <w:r/>
            <w:r>
              <w:rPr>
                <w:rFonts w:ascii="Calibri" w:hAnsi="Calibri"/>
                <w:b w:val="0"/>
                <w:sz w:val="19"/>
              </w:rPr>
              <w:t>Partner is the licensed mover of funds.</w:t>
            </w:r>
          </w:p>
        </w:tc>
      </w:tr>
      <w:tr>
        <w:tc>
          <w:tcPr>
            <w:tcW w:type="dxa" w:w="2412"/>
          </w:tcPr>
          <w:p>
            <w:r/>
            <w:r>
              <w:rPr>
                <w:rFonts w:ascii="Calibri" w:hAnsi="Calibri"/>
                <w:b w:val="0"/>
                <w:sz w:val="19"/>
              </w:rPr>
              <w:t>STR/CTR filing to NFIU</w:t>
            </w:r>
          </w:p>
        </w:tc>
        <w:tc>
          <w:tcPr>
            <w:tcW w:type="dxa" w:w="2412"/>
          </w:tcPr>
          <w:p>
            <w:r/>
            <w:r>
              <w:rPr>
                <w:rFonts w:ascii="Calibri" w:hAnsi="Calibri"/>
                <w:b w:val="0"/>
                <w:sz w:val="19"/>
              </w:rPr>
              <w:t>Owns (Zitch activity)</w:t>
            </w:r>
          </w:p>
        </w:tc>
        <w:tc>
          <w:tcPr>
            <w:tcW w:type="dxa" w:w="2412"/>
          </w:tcPr>
          <w:p>
            <w:r/>
            <w:r>
              <w:rPr>
                <w:rFonts w:ascii="Calibri" w:hAnsi="Calibri"/>
                <w:b w:val="0"/>
                <w:sz w:val="19"/>
              </w:rPr>
              <w:t>Owns (partner activity)</w:t>
            </w:r>
          </w:p>
        </w:tc>
        <w:tc>
          <w:tcPr>
            <w:tcW w:type="dxa" w:w="2412"/>
          </w:tcPr>
          <w:p>
            <w:r/>
            <w:r>
              <w:rPr>
                <w:rFonts w:ascii="Calibri" w:hAnsi="Calibri"/>
                <w:b w:val="0"/>
                <w:sz w:val="19"/>
              </w:rPr>
              <w:t>No double-omission; each files for its part.</w:t>
            </w:r>
          </w:p>
        </w:tc>
      </w:tr>
      <w:tr>
        <w:tc>
          <w:tcPr>
            <w:tcW w:type="dxa" w:w="2412"/>
          </w:tcPr>
          <w:p>
            <w:r/>
            <w:r>
              <w:rPr>
                <w:rFonts w:ascii="Calibri" w:hAnsi="Calibri"/>
                <w:b w:val="0"/>
                <w:sz w:val="19"/>
              </w:rPr>
              <w:t>Record keeping (CDD/txn)</w:t>
            </w:r>
          </w:p>
        </w:tc>
        <w:tc>
          <w:tcPr>
            <w:tcW w:type="dxa" w:w="2412"/>
          </w:tcPr>
          <w:p>
            <w:r/>
            <w:r>
              <w:rPr>
                <w:rFonts w:ascii="Calibri" w:hAnsi="Calibri"/>
                <w:b w:val="0"/>
                <w:sz w:val="19"/>
              </w:rPr>
              <w:t>Owns</w:t>
            </w:r>
          </w:p>
        </w:tc>
        <w:tc>
          <w:tcPr>
            <w:tcW w:type="dxa" w:w="2412"/>
          </w:tcPr>
          <w:p>
            <w:r/>
            <w:r>
              <w:rPr>
                <w:rFonts w:ascii="Calibri" w:hAnsi="Calibri"/>
                <w:b w:val="0"/>
                <w:sz w:val="19"/>
              </w:rPr>
              <w:t>Owns (their records)</w:t>
            </w:r>
          </w:p>
        </w:tc>
        <w:tc>
          <w:tcPr>
            <w:tcW w:type="dxa" w:w="2412"/>
          </w:tcPr>
          <w:p>
            <w:r/>
            <w:r>
              <w:rPr>
                <w:rFonts w:ascii="Calibri" w:hAnsi="Calibri"/>
                <w:b w:val="0"/>
                <w:sz w:val="19"/>
              </w:rPr>
              <w:t>5-year minimum each.</w:t>
            </w:r>
          </w:p>
        </w:tc>
      </w:tr>
    </w:tbl>
    <w:p/>
    <w:p>
      <w:pPr>
        <w:pStyle w:val="Heading1"/>
      </w:pPr>
      <w:r>
        <w:t>D.  Appendix D — Internal suspicious-activity report (template fields)</w:t>
      </w:r>
    </w:p>
    <w:p>
      <w:pPr>
        <w:pStyle w:val="ListBullet"/>
      </w:pPr>
      <w:r>
        <w:rPr>
          <w:sz w:val="21"/>
        </w:rPr>
        <w:t>Reporter name, role, date/time.</w:t>
      </w:r>
    </w:p>
    <w:p>
      <w:pPr>
        <w:pStyle w:val="ListBullet"/>
      </w:pPr>
      <w:r>
        <w:rPr>
          <w:sz w:val="21"/>
        </w:rPr>
        <w:t>Customer identifier(s) and account/wallet reference.</w:t>
      </w:r>
    </w:p>
    <w:p>
      <w:pPr>
        <w:pStyle w:val="ListBullet"/>
      </w:pPr>
      <w:r>
        <w:rPr>
          <w:sz w:val="21"/>
        </w:rPr>
        <w:t>Description of the activity and why it appears suspicious (red flags observed).</w:t>
      </w:r>
    </w:p>
    <w:p>
      <w:pPr>
        <w:pStyle w:val="ListBullet"/>
      </w:pPr>
      <w:r>
        <w:rPr>
          <w:sz w:val="21"/>
        </w:rPr>
        <w:t>Transactions involved (references, amounts, dates, counterparties).</w:t>
      </w:r>
    </w:p>
    <w:p>
      <w:pPr>
        <w:pStyle w:val="ListBullet"/>
      </w:pPr>
      <w:r>
        <w:rPr>
          <w:sz w:val="21"/>
        </w:rPr>
        <w:t>Actions already taken (e.g. hold) and supporting documents attached.</w:t>
      </w:r>
    </w:p>
    <w:p>
      <w:pPr>
        <w:pStyle w:val="ListBullet"/>
      </w:pPr>
      <w:r>
        <w:rPr>
          <w:sz w:val="21"/>
        </w:rPr>
        <w:t>MLRO use only: assessment, decision (STR filed / no action), NFIU reference, date.</w:t>
      </w:r>
    </w:p>
    <w:p>
      <w:pPr>
        <w:pStyle w:val="Heading1"/>
      </w:pPr>
      <w:r>
        <w:t>E.  Appendix E — Key contacts and references</w:t>
      </w:r>
    </w:p>
    <w:tbl>
      <w:tblPr>
        <w:tblStyle w:val="TableGrid"/>
        <w:tblW w:type="auto" w:w="0"/>
        <w:jc w:val="center"/>
        <w:tblLook w:firstColumn="1" w:firstRow="1" w:lastColumn="0" w:lastRow="0" w:noHBand="0" w:noVBand="1" w:val="04A0"/>
      </w:tblPr>
      <w:tblGrid>
        <w:gridCol w:w="3456"/>
        <w:gridCol w:w="6048"/>
      </w:tblGrid>
      <w:tr>
        <w:tc>
          <w:tcPr>
            <w:tcW w:type="dxa" w:w="4824"/>
            <w:shd w:val="clear" w:color="auto" w:fill="03304C"/>
          </w:tcPr>
          <w:p>
            <w:r/>
            <w:r>
              <w:rPr>
                <w:rFonts w:ascii="Calibri" w:hAnsi="Calibri"/>
                <w:b/>
                <w:color w:val="FFFFFF"/>
                <w:sz w:val="20"/>
              </w:rPr>
              <w:t>Item</w:t>
            </w:r>
          </w:p>
        </w:tc>
        <w:tc>
          <w:tcPr>
            <w:tcW w:type="dxa" w:w="4824"/>
            <w:shd w:val="clear" w:color="auto" w:fill="03304C"/>
          </w:tcPr>
          <w:p>
            <w:r/>
            <w:r>
              <w:rPr>
                <w:rFonts w:ascii="Calibri" w:hAnsi="Calibri"/>
                <w:b/>
                <w:color w:val="FFFFFF"/>
                <w:sz w:val="20"/>
              </w:rPr>
              <w:t>Detail</w:t>
            </w:r>
          </w:p>
        </w:tc>
      </w:tr>
      <w:tr>
        <w:tc>
          <w:tcPr>
            <w:tcW w:type="dxa" w:w="4824"/>
          </w:tcPr>
          <w:p>
            <w:r/>
            <w:r>
              <w:rPr>
                <w:rFonts w:ascii="Calibri" w:hAnsi="Calibri"/>
                <w:b w:val="0"/>
                <w:sz w:val="19"/>
              </w:rPr>
              <w:t>Chief Compliance Officer / MLRO</w:t>
            </w:r>
          </w:p>
        </w:tc>
        <w:tc>
          <w:tcPr>
            <w:tcW w:type="dxa" w:w="4824"/>
          </w:tcPr>
          <w:p>
            <w:r/>
            <w:r>
              <w:rPr>
                <w:rFonts w:ascii="Calibri" w:hAnsi="Calibri"/>
                <w:b w:val="0"/>
                <w:sz w:val="19"/>
              </w:rPr>
              <w:t>[Name] · [email] · [phone]</w:t>
            </w:r>
          </w:p>
        </w:tc>
      </w:tr>
      <w:tr>
        <w:tc>
          <w:tcPr>
            <w:tcW w:type="dxa" w:w="4824"/>
          </w:tcPr>
          <w:p>
            <w:r/>
            <w:r>
              <w:rPr>
                <w:rFonts w:ascii="Calibri" w:hAnsi="Calibri"/>
                <w:b w:val="0"/>
                <w:sz w:val="19"/>
              </w:rPr>
              <w:t>Deputy / alternate MLRO</w:t>
            </w:r>
          </w:p>
        </w:tc>
        <w:tc>
          <w:tcPr>
            <w:tcW w:type="dxa" w:w="4824"/>
          </w:tcPr>
          <w:p>
            <w:r/>
            <w:r>
              <w:rPr>
                <w:rFonts w:ascii="Calibri" w:hAnsi="Calibri"/>
                <w:b w:val="0"/>
                <w:sz w:val="19"/>
              </w:rPr>
              <w:t>[Name] · [email]</w:t>
            </w:r>
          </w:p>
        </w:tc>
      </w:tr>
      <w:tr>
        <w:tc>
          <w:tcPr>
            <w:tcW w:type="dxa" w:w="4824"/>
          </w:tcPr>
          <w:p>
            <w:r/>
            <w:r>
              <w:rPr>
                <w:rFonts w:ascii="Calibri" w:hAnsi="Calibri"/>
                <w:b w:val="0"/>
                <w:sz w:val="19"/>
              </w:rPr>
              <w:t>Regulator — financial intelligence</w:t>
            </w:r>
          </w:p>
        </w:tc>
        <w:tc>
          <w:tcPr>
            <w:tcW w:type="dxa" w:w="4824"/>
          </w:tcPr>
          <w:p>
            <w:r/>
            <w:r>
              <w:rPr>
                <w:rFonts w:ascii="Calibri" w:hAnsi="Calibri"/>
                <w:b w:val="0"/>
                <w:sz w:val="19"/>
              </w:rPr>
              <w:t>Nigerian Financial Intelligence Unit (NFIU) — goAML portal</w:t>
            </w:r>
          </w:p>
        </w:tc>
      </w:tr>
      <w:tr>
        <w:tc>
          <w:tcPr>
            <w:tcW w:type="dxa" w:w="4824"/>
          </w:tcPr>
          <w:p>
            <w:r/>
            <w:r>
              <w:rPr>
                <w:rFonts w:ascii="Calibri" w:hAnsi="Calibri"/>
                <w:b w:val="0"/>
                <w:sz w:val="19"/>
              </w:rPr>
              <w:t>Regulator — central bank</w:t>
            </w:r>
          </w:p>
        </w:tc>
        <w:tc>
          <w:tcPr>
            <w:tcW w:type="dxa" w:w="4824"/>
          </w:tcPr>
          <w:p>
            <w:r/>
            <w:r>
              <w:rPr>
                <w:rFonts w:ascii="Calibri" w:hAnsi="Calibri"/>
                <w:b w:val="0"/>
                <w:sz w:val="19"/>
              </w:rPr>
              <w:t>Central Bank of Nigeria (CBN)</w:t>
            </w:r>
          </w:p>
        </w:tc>
      </w:tr>
      <w:tr>
        <w:tc>
          <w:tcPr>
            <w:tcW w:type="dxa" w:w="4824"/>
          </w:tcPr>
          <w:p>
            <w:r/>
            <w:r>
              <w:rPr>
                <w:rFonts w:ascii="Calibri" w:hAnsi="Calibri"/>
                <w:b w:val="0"/>
                <w:sz w:val="19"/>
              </w:rPr>
              <w:t>AML registration</w:t>
            </w:r>
          </w:p>
        </w:tc>
        <w:tc>
          <w:tcPr>
            <w:tcW w:type="dxa" w:w="4824"/>
          </w:tcPr>
          <w:p>
            <w:r/>
            <w:r>
              <w:rPr>
                <w:rFonts w:ascii="Calibri" w:hAnsi="Calibri"/>
                <w:b w:val="0"/>
                <w:sz w:val="19"/>
              </w:rPr>
              <w:t>SCUML registration number: [____] (where applicable)</w:t>
            </w:r>
          </w:p>
        </w:tc>
      </w:tr>
      <w:tr>
        <w:tc>
          <w:tcPr>
            <w:tcW w:type="dxa" w:w="4824"/>
          </w:tcPr>
          <w:p>
            <w:r/>
            <w:r>
              <w:rPr>
                <w:rFonts w:ascii="Calibri" w:hAnsi="Calibri"/>
                <w:b w:val="0"/>
                <w:sz w:val="19"/>
              </w:rPr>
              <w:t>Company registration</w:t>
            </w:r>
          </w:p>
        </w:tc>
        <w:tc>
          <w:tcPr>
            <w:tcW w:type="dxa" w:w="4824"/>
          </w:tcPr>
          <w:p>
            <w:r/>
            <w:r>
              <w:rPr>
                <w:rFonts w:ascii="Calibri" w:hAnsi="Calibri"/>
                <w:b w:val="0"/>
                <w:sz w:val="19"/>
              </w:rPr>
              <w:t>CAC / RC number: [____]</w:t>
            </w:r>
          </w:p>
        </w:tc>
      </w:tr>
    </w:tbl>
    <w:p/>
    <w:p>
      <w:pPr>
        <w:pStyle w:val="Heading1"/>
      </w:pPr>
      <w:r>
        <w:t>F.  Appendix F — Revision history</w:t>
      </w:r>
    </w:p>
    <w:tbl>
      <w:tblPr>
        <w:tblStyle w:val="TableGrid"/>
        <w:tblW w:type="auto" w:w="0"/>
        <w:jc w:val="center"/>
        <w:tblLook w:firstColumn="1" w:firstRow="1" w:lastColumn="0" w:lastRow="0" w:noHBand="0" w:noVBand="1" w:val="04A0"/>
      </w:tblPr>
      <w:tblGrid>
        <w:gridCol w:w="1296"/>
        <w:gridCol w:w="3168"/>
        <w:gridCol w:w="2592"/>
        <w:gridCol w:w="2448"/>
      </w:tblGrid>
      <w:tr>
        <w:tc>
          <w:tcPr>
            <w:tcW w:type="dxa" w:w="2412"/>
            <w:shd w:val="clear" w:color="auto" w:fill="03304C"/>
          </w:tcPr>
          <w:p>
            <w:r/>
            <w:r>
              <w:rPr>
                <w:rFonts w:ascii="Calibri" w:hAnsi="Calibri"/>
                <w:b/>
                <w:color w:val="FFFFFF"/>
                <w:sz w:val="20"/>
              </w:rPr>
              <w:t>Version</w:t>
            </w:r>
          </w:p>
        </w:tc>
        <w:tc>
          <w:tcPr>
            <w:tcW w:type="dxa" w:w="2412"/>
            <w:shd w:val="clear" w:color="auto" w:fill="03304C"/>
          </w:tcPr>
          <w:p>
            <w:r/>
            <w:r>
              <w:rPr>
                <w:rFonts w:ascii="Calibri" w:hAnsi="Calibri"/>
                <w:b/>
                <w:color w:val="FFFFFF"/>
                <w:sz w:val="20"/>
              </w:rPr>
              <w:t>Date</w:t>
            </w:r>
          </w:p>
        </w:tc>
        <w:tc>
          <w:tcPr>
            <w:tcW w:type="dxa" w:w="2412"/>
            <w:shd w:val="clear" w:color="auto" w:fill="03304C"/>
          </w:tcPr>
          <w:p>
            <w:r/>
            <w:r>
              <w:rPr>
                <w:rFonts w:ascii="Calibri" w:hAnsi="Calibri"/>
                <w:b/>
                <w:color w:val="FFFFFF"/>
                <w:sz w:val="20"/>
              </w:rPr>
              <w:t>Author</w:t>
            </w:r>
          </w:p>
        </w:tc>
        <w:tc>
          <w:tcPr>
            <w:tcW w:type="dxa" w:w="2412"/>
            <w:shd w:val="clear" w:color="auto" w:fill="03304C"/>
          </w:tcPr>
          <w:p>
            <w:r/>
            <w:r>
              <w:rPr>
                <w:rFonts w:ascii="Calibri" w:hAnsi="Calibri"/>
                <w:b/>
                <w:color w:val="FFFFFF"/>
                <w:sz w:val="20"/>
              </w:rPr>
              <w:t>Summary of change</w:t>
            </w:r>
          </w:p>
        </w:tc>
      </w:tr>
      <w:tr>
        <w:tc>
          <w:tcPr>
            <w:tcW w:type="dxa" w:w="2412"/>
          </w:tcPr>
          <w:p>
            <w:r/>
            <w:r>
              <w:rPr>
                <w:rFonts w:ascii="Calibri" w:hAnsi="Calibri"/>
                <w:b w:val="0"/>
                <w:sz w:val="19"/>
              </w:rPr>
              <w:t>1.0</w:t>
            </w:r>
          </w:p>
        </w:tc>
        <w:tc>
          <w:tcPr>
            <w:tcW w:type="dxa" w:w="2412"/>
          </w:tcPr>
          <w:p>
            <w:r/>
            <w:r>
              <w:rPr>
                <w:rFonts w:ascii="Calibri" w:hAnsi="Calibri"/>
                <w:b w:val="0"/>
                <w:sz w:val="19"/>
              </w:rPr>
              <w:t>Effective date: ___________</w:t>
            </w:r>
          </w:p>
        </w:tc>
        <w:tc>
          <w:tcPr>
            <w:tcW w:type="dxa" w:w="2412"/>
          </w:tcPr>
          <w:p>
            <w:r/>
            <w:r>
              <w:rPr>
                <w:rFonts w:ascii="Calibri" w:hAnsi="Calibri"/>
                <w:b w:val="0"/>
                <w:sz w:val="19"/>
              </w:rPr>
              <w:t>Compliance / MLRO</w:t>
            </w:r>
          </w:p>
        </w:tc>
        <w:tc>
          <w:tcPr>
            <w:tcW w:type="dxa" w:w="2412"/>
          </w:tcPr>
          <w:p>
            <w:r/>
            <w:r>
              <w:rPr>
                <w:rFonts w:ascii="Calibri" w:hAnsi="Calibri"/>
                <w:b w:val="0"/>
                <w:sz w:val="19"/>
              </w:rPr>
              <w:t>Initial issue for Board approval.</w:t>
            </w:r>
          </w:p>
        </w:tc>
      </w:tr>
    </w:tbl>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 xml:space="preserve">Zitch · AML/CFT/CPF Policy v1.0   |   Confidential — for the named recipient's due-diligence use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330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330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330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