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3304C"/>
          <w:sz w:val="32"/>
        </w:rPr>
        <w:t>ZITCH TECHNOLOGIES LIMITED</w:t>
      </w:r>
    </w:p>
    <w:p>
      <w:r>
        <w:rPr>
          <w:b/>
          <w:color w:val="03304C"/>
          <w:sz w:val="26"/>
        </w:rPr>
        <w:t>DATA PROTECTION POLICY</w:t>
      </w:r>
    </w:p>
    <w:p>
      <w:r>
        <w:rPr>
          <w:color w:val="555555"/>
          <w:sz w:val="19"/>
        </w:rPr>
        <w:t>Version 1.0 — [Effective date: ___________]   ·   Classification: Internal</w:t>
      </w:r>
    </w:p>
    <w:p>
      <w:r>
        <w:rPr>
          <w:color w:val="555555"/>
          <w:sz w:val="18"/>
        </w:rPr>
        <w:t>RC [insert RC number] · 41, Awoniyi Elemo Street, Lagos State, Nigeria</w:t>
      </w:r>
    </w:p>
    <w:p/>
    <w:tbl>
      <w:tblPr>
        <w:tblStyle w:val="TableGrid"/>
        <w:tblW w:type="auto" w:w="0"/>
        <w:tblLook w:firstColumn="1" w:firstRow="1" w:lastColumn="0" w:lastRow="0" w:noHBand="0" w:noVBand="1" w:val="04A0"/>
      </w:tblPr>
      <w:tblGrid>
        <w:gridCol w:w="2448"/>
        <w:gridCol w:w="7056"/>
      </w:tblGrid>
      <w:tr>
        <w:tc>
          <w:tcPr>
            <w:tcW w:type="dxa" w:w="4752"/>
          </w:tcPr>
          <w:p>
            <w:r/>
            <w:r>
              <w:rPr>
                <w:rFonts w:ascii="Calibri" w:hAnsi="Calibri"/>
                <w:b/>
                <w:color w:val="03304C"/>
                <w:sz w:val="19"/>
              </w:rPr>
              <w:t>Document</w:t>
            </w:r>
          </w:p>
        </w:tc>
        <w:tc>
          <w:tcPr>
            <w:tcW w:type="dxa" w:w="4752"/>
          </w:tcPr>
          <w:p>
            <w:r/>
            <w:r>
              <w:rPr>
                <w:rFonts w:ascii="Calibri" w:hAnsi="Calibri"/>
                <w:b w:val="0"/>
                <w:sz w:val="19"/>
              </w:rPr>
              <w:t>Data Protection Policy</w:t>
            </w:r>
          </w:p>
        </w:tc>
      </w:tr>
      <w:tr>
        <w:tc>
          <w:tcPr>
            <w:tcW w:type="dxa" w:w="4752"/>
          </w:tcPr>
          <w:p>
            <w:r/>
            <w:r>
              <w:rPr>
                <w:rFonts w:ascii="Calibri" w:hAnsi="Calibri"/>
                <w:b/>
                <w:color w:val="03304C"/>
                <w:sz w:val="19"/>
              </w:rPr>
              <w:t>Owner</w:t>
            </w:r>
          </w:p>
        </w:tc>
        <w:tc>
          <w:tcPr>
            <w:tcW w:type="dxa" w:w="4752"/>
          </w:tcPr>
          <w:p>
            <w:r/>
            <w:r>
              <w:rPr>
                <w:rFonts w:ascii="Calibri" w:hAnsi="Calibri"/>
                <w:b w:val="0"/>
                <w:sz w:val="19"/>
              </w:rPr>
              <w:t>[Owner / role]</w:t>
            </w:r>
          </w:p>
        </w:tc>
      </w:tr>
      <w:tr>
        <w:tc>
          <w:tcPr>
            <w:tcW w:type="dxa" w:w="4752"/>
          </w:tcPr>
          <w:p>
            <w:r/>
            <w:r>
              <w:rPr>
                <w:rFonts w:ascii="Calibri" w:hAnsi="Calibri"/>
                <w:b/>
                <w:color w:val="03304C"/>
                <w:sz w:val="19"/>
              </w:rPr>
              <w:t>Approved by</w:t>
            </w:r>
          </w:p>
        </w:tc>
        <w:tc>
          <w:tcPr>
            <w:tcW w:type="dxa" w:w="4752"/>
          </w:tcPr>
          <w:p>
            <w:r/>
            <w:r>
              <w:rPr>
                <w:rFonts w:ascii="Calibri" w:hAnsi="Calibri"/>
                <w:b w:val="0"/>
                <w:sz w:val="19"/>
              </w:rPr>
              <w:t>Board / senior management</w:t>
            </w:r>
          </w:p>
        </w:tc>
      </w:tr>
      <w:tr>
        <w:tc>
          <w:tcPr>
            <w:tcW w:type="dxa" w:w="4752"/>
          </w:tcPr>
          <w:p>
            <w:r/>
            <w:r>
              <w:rPr>
                <w:rFonts w:ascii="Calibri" w:hAnsi="Calibri"/>
                <w:b/>
                <w:color w:val="03304C"/>
                <w:sz w:val="19"/>
              </w:rPr>
              <w:t>Version</w:t>
            </w:r>
          </w:p>
        </w:tc>
        <w:tc>
          <w:tcPr>
            <w:tcW w:type="dxa" w:w="4752"/>
          </w:tcPr>
          <w:p>
            <w:r/>
            <w:r>
              <w:rPr>
                <w:rFonts w:ascii="Calibri" w:hAnsi="Calibri"/>
                <w:b w:val="0"/>
                <w:sz w:val="19"/>
              </w:rPr>
              <w:t>1.0</w:t>
            </w:r>
          </w:p>
        </w:tc>
      </w:tr>
      <w:tr>
        <w:tc>
          <w:tcPr>
            <w:tcW w:type="dxa" w:w="4752"/>
          </w:tcPr>
          <w:p>
            <w:r/>
            <w:r>
              <w:rPr>
                <w:rFonts w:ascii="Calibri" w:hAnsi="Calibri"/>
                <w:b/>
                <w:color w:val="03304C"/>
                <w:sz w:val="19"/>
              </w:rPr>
              <w:t>Effective date</w:t>
            </w:r>
          </w:p>
        </w:tc>
        <w:tc>
          <w:tcPr>
            <w:tcW w:type="dxa" w:w="4752"/>
          </w:tcPr>
          <w:p>
            <w:r/>
            <w:r>
              <w:rPr>
                <w:rFonts w:ascii="Calibri" w:hAnsi="Calibri"/>
                <w:b w:val="0"/>
                <w:sz w:val="19"/>
              </w:rPr>
              <w:t>[Effective date: ___________]</w:t>
            </w:r>
          </w:p>
        </w:tc>
      </w:tr>
      <w:tr>
        <w:tc>
          <w:tcPr>
            <w:tcW w:type="dxa" w:w="4752"/>
          </w:tcPr>
          <w:p>
            <w:r/>
            <w:r>
              <w:rPr>
                <w:rFonts w:ascii="Calibri" w:hAnsi="Calibri"/>
                <w:b/>
                <w:color w:val="03304C"/>
                <w:sz w:val="19"/>
              </w:rPr>
              <w:t>Review</w:t>
            </w:r>
          </w:p>
        </w:tc>
        <w:tc>
          <w:tcPr>
            <w:tcW w:type="dxa" w:w="4752"/>
          </w:tcPr>
          <w:p>
            <w:r/>
            <w:r>
              <w:rPr>
                <w:rFonts w:ascii="Calibri" w:hAnsi="Calibri"/>
                <w:b w:val="0"/>
                <w:sz w:val="19"/>
              </w:rPr>
              <w:t>Annually or on material change</w:t>
            </w:r>
          </w:p>
        </w:tc>
      </w:tr>
    </w:tbl>
    <w:p/>
    <w:p>
      <w:pPr>
        <w:pStyle w:val="Heading1"/>
      </w:pPr>
      <w:r>
        <w:t>1.  Purpose and scope</w:t>
      </w:r>
    </w:p>
    <w:p>
      <w:r>
        <w:rPr>
          <w:b w:val="0"/>
          <w:sz w:val="21"/>
        </w:rPr>
        <w:t>This internal Data Protection Policy sets how Zitch staff and systems handle personal data in compliance with the Nigeria Data Protection Act, 2023 (NDPA), the General Application and Implementation Directive, 2025 (GAID) and subsidiary regulation. It operationalises, for staff, the commitments in our customer-facing Privacy and Data Protection Policy. It applies to all staff, contractors and systems that process personal data.</w:t>
      </w:r>
    </w:p>
    <w:p>
      <w:pPr>
        <w:pStyle w:val="Heading1"/>
      </w:pPr>
      <w:r>
        <w:t>2.  Roles</w:t>
      </w:r>
    </w:p>
    <w:p>
      <w:pPr>
        <w:pStyle w:val="ListBullet"/>
      </w:pPr>
      <w:r>
        <w:rPr>
          <w:sz w:val="21"/>
        </w:rPr>
        <w:t>Zitch Technologies Limited is the data controller; named third-party processors — including our licensed identity-verification providers, Prembly and Dojah — act on our documented instructions under contract.</w:t>
      </w:r>
    </w:p>
    <w:p>
      <w:pPr>
        <w:pStyle w:val="ListBullet"/>
      </w:pPr>
      <w:r>
        <w:rPr>
          <w:sz w:val="21"/>
        </w:rPr>
        <w:t>The Data Protection Officer (DPO) — [Name], [email] — oversees compliance, advises the business, handles data-subject requests and breaches, and liaises with the NDPC.</w:t>
      </w:r>
    </w:p>
    <w:p>
      <w:pPr>
        <w:pStyle w:val="ListBullet"/>
      </w:pPr>
      <w:r>
        <w:rPr>
          <w:sz w:val="21"/>
        </w:rPr>
        <w:t>All staff are responsible for protecting personal data in their work and reporting incidents.</w:t>
      </w:r>
    </w:p>
    <w:p>
      <w:pPr>
        <w:pStyle w:val="Heading1"/>
      </w:pPr>
      <w:r>
        <w:t>3.  Data-protection principles</w:t>
      </w:r>
    </w:p>
    <w:p>
      <w:pPr>
        <w:pStyle w:val="ListBullet"/>
      </w:pPr>
      <w:r>
        <w:rPr>
          <w:sz w:val="21"/>
        </w:rPr>
        <w:t>Lawfulness, fairness and transparency — process only on a valid NDPA lawful basis.</w:t>
      </w:r>
    </w:p>
    <w:p>
      <w:pPr>
        <w:pStyle w:val="ListBullet"/>
      </w:pPr>
      <w:r>
        <w:rPr>
          <w:sz w:val="21"/>
        </w:rPr>
        <w:t>Purpose limitation — collect for specified, legitimate purposes only.</w:t>
      </w:r>
    </w:p>
    <w:p>
      <w:pPr>
        <w:pStyle w:val="ListBullet"/>
      </w:pPr>
      <w:r>
        <w:rPr>
          <w:sz w:val="21"/>
        </w:rPr>
        <w:t>Data minimisation — collect only what is necessary.</w:t>
      </w:r>
    </w:p>
    <w:p>
      <w:pPr>
        <w:pStyle w:val="ListBullet"/>
      </w:pPr>
      <w:r>
        <w:rPr>
          <w:sz w:val="21"/>
        </w:rPr>
        <w:t>Accuracy — keep data accurate and up to date.</w:t>
      </w:r>
    </w:p>
    <w:p>
      <w:pPr>
        <w:pStyle w:val="ListBullet"/>
      </w:pPr>
      <w:r>
        <w:rPr>
          <w:sz w:val="21"/>
        </w:rPr>
        <w:t>Storage limitation — retain no longer than necessary (see §7).</w:t>
      </w:r>
    </w:p>
    <w:p>
      <w:pPr>
        <w:pStyle w:val="ListBullet"/>
      </w:pPr>
      <w:r>
        <w:rPr>
          <w:sz w:val="21"/>
        </w:rPr>
        <w:t>Integrity and confidentiality — protect data with appropriate security (see §6).</w:t>
      </w:r>
    </w:p>
    <w:p>
      <w:pPr>
        <w:pStyle w:val="ListBullet"/>
      </w:pPr>
      <w:r>
        <w:rPr>
          <w:sz w:val="21"/>
        </w:rPr>
        <w:t>Accountability — document and be able to demonstrate compliance.</w:t>
      </w:r>
    </w:p>
    <w:p>
      <w:pPr>
        <w:pStyle w:val="Heading1"/>
      </w:pPr>
      <w:r>
        <w:t>4.  Lawful basis and special-category / sensitive data</w:t>
      </w:r>
    </w:p>
    <w:p>
      <w:r>
        <w:rPr>
          <w:b w:val="0"/>
          <w:sz w:val="21"/>
        </w:rPr>
        <w:t>Each processing activity is mapped to a lawful basis (contract, legal obligation, legitimate interests, consent, or vital interests). Biometric (facial/liveness) and government-identifier data (BVN/NIN) are treated as sensitive and handled with heightened protection — stored as keyed hashes (not raw), access-restricted, and used only for identity verification and fraud/AML purposes. This data is obtained through our licensed identity-verification processors, Prembly and Dojah (via their Connect, Lookup and Prove products); we request only the fields each check requires, retain only the verification result and the minimum matched details for the customer’s tier, and store BVN/NIN as one-way keyed hashes rather than raw numbers, in line with the NDPA and the GAID.</w:t>
      </w:r>
    </w:p>
    <w:p>
      <w:pPr>
        <w:pStyle w:val="Heading1"/>
      </w:pPr>
      <w:r>
        <w:t>5.  Data-subject rights</w:t>
      </w:r>
    </w:p>
    <w:p>
      <w:r>
        <w:rPr>
          <w:b w:val="0"/>
          <w:sz w:val="21"/>
        </w:rPr>
        <w:t>We uphold the NDPA rights — access, rectification, erasure, restriction, portability, objection, withdrawal of consent, and rights regarding automated decisions. Requests are logged, identity-verified, and answered within the NDPA timeframe by the DPO; statutory retention (e.g. the five-year financial-records rule) may limit erasure.</w:t>
      </w:r>
    </w:p>
    <w:p>
      <w:pPr>
        <w:pStyle w:val="Heading1"/>
      </w:pPr>
      <w:r>
        <w:t>6.  Security of processing</w:t>
      </w:r>
    </w:p>
    <w:p>
      <w:pPr>
        <w:pStyle w:val="ListBullet"/>
      </w:pPr>
      <w:r>
        <w:rPr>
          <w:sz w:val="21"/>
        </w:rPr>
        <w:t>Encryption of personal data in transit and at rest; keyed one-way hashing of BVN/NIN so raw values are not retained.</w:t>
      </w:r>
    </w:p>
    <w:p>
      <w:pPr>
        <w:pStyle w:val="ListBullet"/>
      </w:pPr>
      <w:r>
        <w:rPr>
          <w:sz w:val="21"/>
        </w:rPr>
        <w:t>Role-based, least-privilege access with multi-factor authentication for staff and admin systems (see the Access Management &amp; MFA Policy).</w:t>
      </w:r>
    </w:p>
    <w:p>
      <w:pPr>
        <w:pStyle w:val="ListBullet"/>
      </w:pPr>
      <w:r>
        <w:rPr>
          <w:sz w:val="21"/>
        </w:rPr>
        <w:t>Logging, monitoring and audit trails; secure software development and change control; timely patching.</w:t>
      </w:r>
    </w:p>
    <w:p>
      <w:pPr>
        <w:pStyle w:val="ListBullet"/>
      </w:pPr>
      <w:r>
        <w:rPr>
          <w:sz w:val="21"/>
        </w:rPr>
        <w:t>Pseudonymisation/minimisation in non-production environments; secure deletion at end of retention.</w:t>
      </w:r>
    </w:p>
    <w:p>
      <w:pPr>
        <w:pStyle w:val="Heading1"/>
      </w:pPr>
      <w:r>
        <w:t>7.  Retention</w:t>
      </w:r>
    </w:p>
    <w:p>
      <w:r>
        <w:rPr>
          <w:b w:val="0"/>
          <w:sz w:val="21"/>
        </w:rPr>
        <w:t>Retain personal data only as long as necessary and as required by law — in particular, customer identification and transaction records for at least five (5) years after the transaction or end of the relationship; then securely delete or irreversibly anonymise.</w:t>
      </w:r>
    </w:p>
    <w:p>
      <w:pPr>
        <w:pStyle w:val="Heading1"/>
      </w:pPr>
      <w:r>
        <w:t>8.  Processors, contracts and international transfers</w:t>
      </w:r>
    </w:p>
    <w:p>
      <w:pPr>
        <w:pStyle w:val="ListBullet"/>
      </w:pPr>
      <w:r>
        <w:rPr>
          <w:sz w:val="21"/>
        </w:rPr>
        <w:t>Engage processors only under contracts (data-processing agreements) imposing NDPA-equivalent obligations, confidentiality, security and breach-notification duties; conduct due diligence (see the third-party vendor attestation). Named processors include Prembly and Dojah (identity verification / KYC), alongside our payment, messaging, hosting and other service providers, each engaged under such an agreement.</w:t>
      </w:r>
    </w:p>
    <w:p>
      <w:pPr>
        <w:pStyle w:val="ListBullet"/>
      </w:pPr>
      <w:r>
        <w:rPr>
          <w:sz w:val="21"/>
        </w:rPr>
        <w:t>Where data is transferred or processed outside Nigeria (e.g. cloud hosting), ensure an adequate legal transfer mechanism and protection consistent with the NDPA.</w:t>
      </w:r>
    </w:p>
    <w:p>
      <w:pPr>
        <w:pStyle w:val="Heading1"/>
      </w:pPr>
      <w:r>
        <w:t>9.  Breach management, DPIAs, training and accountability</w:t>
      </w:r>
    </w:p>
    <w:p>
      <w:pPr>
        <w:pStyle w:val="ListBullet"/>
      </w:pPr>
      <w:r>
        <w:rPr>
          <w:sz w:val="21"/>
        </w:rPr>
        <w:t>Handle personal-data breaches under the Incident Response Plan, including NDPC notification (as a guide, within 72 hours) where required and notice to affected individuals.</w:t>
      </w:r>
    </w:p>
    <w:p>
      <w:pPr>
        <w:pStyle w:val="ListBullet"/>
      </w:pPr>
      <w:r>
        <w:rPr>
          <w:sz w:val="21"/>
        </w:rPr>
        <w:t>Conduct a Data Protection Impact Assessment (DPIA) for high-risk processing before it begins.</w:t>
      </w:r>
    </w:p>
    <w:p>
      <w:pPr>
        <w:pStyle w:val="ListBullet"/>
      </w:pPr>
      <w:r>
        <w:rPr>
          <w:sz w:val="21"/>
        </w:rPr>
        <w:t>Train all staff on data protection at induction and at least annually; maintain records of processing activities and demonstrate accountability.</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Zitch · Data Protection Policy v1.0   |   Confidential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330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3304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330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