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03304C"/>
          <w:sz w:val="52"/>
        </w:rPr>
        <w:t>ZITCH TECHNOLOGIES</w:t>
      </w:r>
    </w:p>
    <w:p>
      <w:pPr>
        <w:jc w:val="center"/>
      </w:pPr>
      <w:r>
        <w:rPr>
          <w:color w:val="0FA295"/>
          <w:sz w:val="24"/>
        </w:rPr>
        <w:t>●  ●  ●</w:t>
      </w:r>
    </w:p>
    <w:p/>
    <w:p>
      <w:pPr>
        <w:jc w:val="center"/>
      </w:pPr>
      <w:r>
        <w:rPr>
          <w:b/>
          <w:color w:val="03304C"/>
          <w:sz w:val="40"/>
        </w:rPr>
        <w:t>Anti-Money Laundering Questionnaire — Response</w:t>
      </w:r>
    </w:p>
    <w:p>
      <w:pPr>
        <w:jc w:val="center"/>
      </w:pPr>
      <w:r>
        <w:rPr>
          <w:color w:val="555555"/>
          <w:sz w:val="24"/>
        </w:rPr>
        <w:t>Completed AML / CFT / CPF &amp; Anti-Bribery Questionnaire</w:t>
      </w:r>
    </w:p>
    <w:p/>
    <w:p/>
    <w:p/>
    <w:p/>
    <w:p/>
    <w:p/>
    <w:p/>
    <w:p/>
    <w:p>
      <w:pPr>
        <w:jc w:val="center"/>
      </w:pPr>
      <w:r>
        <w:rPr>
          <w:color w:val="555555"/>
          <w:sz w:val="20"/>
        </w:rPr>
        <w:t>Document version 1.0   ·   [Effective date: ___________]</w:t>
      </w:r>
    </w:p>
    <w:p>
      <w:pPr>
        <w:jc w:val="center"/>
      </w:pPr>
      <w:r>
        <w:rPr>
          <w:color w:val="555555"/>
          <w:sz w:val="20"/>
        </w:rPr>
        <w:t>Classification: Internal / Regulatory</w:t>
      </w:r>
    </w:p>
    <w:p>
      <w:r>
        <w:br w:type="page"/>
      </w:r>
    </w:p>
    <w:p>
      <w:pPr>
        <w:pStyle w:val="Heading2"/>
      </w:pPr>
      <w:r>
        <w:t>How to read this response</w:t>
      </w:r>
    </w:p>
    <w:p>
      <w:r>
        <w:rPr>
          <w:sz w:val="21"/>
        </w:rPr>
        <w:t>This document answers the standard AML / ABC due-diligence questionnaire for Zitch Technologies. “Yes” means the control exists in, or is established by, Zitch’s Board-approved AML/CFT/CPF Policy and/or Anti-Bribery &amp; Corruption Policy (the “Policies”), which accompany this response. “N/A” means the item does not apply to Zitch’s model as a VTU / bill-payment and wallet platform that delivers regulated functions through licensed partners. Bracketed items [ ] are to be confirmed/completed by Zitch management. References (e.g. “AML §10”) point to the relevant policy section.</w:t>
      </w:r>
    </w:p>
    <w:p>
      <w:r>
        <w:rPr>
          <w:sz w:val="21"/>
        </w:rPr>
        <w:t>Respondent: [Name], Chief Compliance Officer / MLRO, Zitch Technologies · [email] · [phone] · Date: ____________</w:t>
      </w:r>
    </w:p>
    <w:p>
      <w:pPr>
        <w:pStyle w:val="Heading2"/>
      </w:pPr>
      <w:r>
        <w:t>I. General AML policies, practices and procedures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"/>
        <w:gridCol w:w="4824"/>
        <w:gridCol w:w="1008"/>
        <w:gridCol w:w="3168"/>
      </w:tblGrid>
      <w:tr>
        <w:tc>
          <w:tcPr>
            <w:tcW w:type="dxa" w:w="2412"/>
            <w:shd w:val="clear" w:color="auto" w:fill="03304C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2412"/>
            <w:shd w:val="clear" w:color="auto" w:fill="03304C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Question (summary)</w:t>
            </w:r>
          </w:p>
        </w:tc>
        <w:tc>
          <w:tcPr>
            <w:tcW w:type="dxa" w:w="2412"/>
            <w:shd w:val="clear" w:color="auto" w:fill="03304C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Response</w:t>
            </w:r>
          </w:p>
        </w:tc>
        <w:tc>
          <w:tcPr>
            <w:tcW w:type="dxa" w:w="2412"/>
            <w:shd w:val="clear" w:color="auto" w:fill="03304C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Basis / reference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alibri" w:hAnsi="Calibri"/>
                <w:b w:val="0"/>
                <w:sz w:val="19"/>
              </w:rPr>
              <w:t>1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b w:val="0"/>
                <w:sz w:val="19"/>
              </w:rPr>
              <w:t>AML compliance programme approved by the Board / senior committee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b w:val="0"/>
                <w:sz w:val="19"/>
              </w:rPr>
              <w:t>Yes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b w:val="0"/>
                <w:sz w:val="19"/>
              </w:rPr>
              <w:t>Board-approved AML Policy; AML §1, §8.1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alibri" w:hAnsi="Calibri"/>
                <w:b w:val="0"/>
                <w:sz w:val="19"/>
              </w:rPr>
              <w:t>2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b w:val="0"/>
                <w:sz w:val="19"/>
              </w:rPr>
              <w:t>Designated Compliance Officer overseeing the programme day-to-day, approved by senior management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b w:val="0"/>
                <w:sz w:val="19"/>
              </w:rPr>
              <w:t>Yes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b w:val="0"/>
                <w:sz w:val="19"/>
              </w:rPr>
              <w:t>MLRO designated; AML §8.2 [name to insert]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alibri" w:hAnsi="Calibri"/>
                <w:b w:val="0"/>
                <w:sz w:val="19"/>
              </w:rPr>
              <w:t>3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b w:val="0"/>
                <w:sz w:val="19"/>
              </w:rPr>
              <w:t>Written AML/CFT/CPF policy documenting prevent/detect/report processes, approved and regularly updated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b w:val="0"/>
                <w:sz w:val="19"/>
              </w:rPr>
              <w:t>Yes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b w:val="0"/>
                <w:sz w:val="19"/>
              </w:rPr>
              <w:t>This AML Policy; reviewed ≥ annually; AML §3, §21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alibri" w:hAnsi="Calibri"/>
                <w:b w:val="0"/>
                <w:sz w:val="19"/>
              </w:rPr>
              <w:t>4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b w:val="0"/>
                <w:sz w:val="19"/>
              </w:rPr>
              <w:t>Self-assessment / internal-control procedures to assure compliance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b w:val="0"/>
                <w:sz w:val="19"/>
              </w:rPr>
              <w:t>Yes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b w:val="0"/>
                <w:sz w:val="19"/>
              </w:rPr>
              <w:t>AML §18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alibri" w:hAnsi="Calibri"/>
                <w:b w:val="0"/>
                <w:sz w:val="19"/>
              </w:rPr>
              <w:t>5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b w:val="0"/>
                <w:sz w:val="19"/>
              </w:rPr>
              <w:t>Internal audit or independent third party assesses AML practices regularly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b w:val="0"/>
                <w:sz w:val="19"/>
              </w:rPr>
              <w:t>Yes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b w:val="0"/>
                <w:sz w:val="19"/>
              </w:rPr>
              <w:t>AML §8.3, §18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alibri" w:hAnsi="Calibri"/>
                <w:b w:val="0"/>
                <w:sz w:val="19"/>
              </w:rPr>
              <w:t>6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b w:val="0"/>
                <w:sz w:val="19"/>
              </w:rPr>
              <w:t>Policy prohibiting shell banks, anonymous persons and fictitious-name customers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b w:val="0"/>
                <w:sz w:val="19"/>
              </w:rPr>
              <w:t>Yes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b w:val="0"/>
                <w:sz w:val="19"/>
              </w:rPr>
              <w:t>AML §10.7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alibri" w:hAnsi="Calibri"/>
                <w:b w:val="0"/>
                <w:sz w:val="19"/>
              </w:rPr>
              <w:t>7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b w:val="0"/>
                <w:sz w:val="19"/>
              </w:rPr>
              <w:t>Policy covering PEPs consistent with best practice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b w:val="0"/>
                <w:sz w:val="19"/>
              </w:rPr>
              <w:t>Yes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b w:val="0"/>
                <w:sz w:val="19"/>
              </w:rPr>
              <w:t>AML §10.4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alibri" w:hAnsi="Calibri"/>
                <w:b w:val="0"/>
                <w:sz w:val="19"/>
              </w:rPr>
              <w:t>8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b w:val="0"/>
                <w:sz w:val="19"/>
              </w:rPr>
              <w:t>Appropriate record-retention procedures per applicable law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b w:val="0"/>
                <w:sz w:val="19"/>
              </w:rPr>
              <w:t>Yes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b w:val="0"/>
                <w:sz w:val="19"/>
              </w:rPr>
              <w:t>≥ 5 years; AML §16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alibri" w:hAnsi="Calibri"/>
                <w:b w:val="0"/>
                <w:sz w:val="19"/>
              </w:rPr>
              <w:t>9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b w:val="0"/>
                <w:sz w:val="19"/>
              </w:rPr>
              <w:t>Code of Conduct, with employee understanding/agreement incl. AML provisions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b w:val="0"/>
                <w:sz w:val="19"/>
              </w:rPr>
              <w:t>Yes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b w:val="0"/>
                <w:sz w:val="19"/>
              </w:rPr>
              <w:t>AML §17; ABC §8 [Code of Conduct]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alibri" w:hAnsi="Calibri"/>
                <w:b w:val="0"/>
                <w:sz w:val="19"/>
              </w:rPr>
              <w:t>10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b w:val="0"/>
                <w:sz w:val="19"/>
              </w:rPr>
              <w:t>AML policies applied to all branches and subsidiaries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b w:val="0"/>
                <w:sz w:val="19"/>
              </w:rPr>
              <w:t>Yes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b w:val="0"/>
                <w:sz w:val="19"/>
              </w:rPr>
              <w:t>Enterprise-wide; AML §1, §3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alibri" w:hAnsi="Calibri"/>
                <w:b w:val="0"/>
                <w:sz w:val="19"/>
              </w:rPr>
              <w:t>11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b w:val="0"/>
                <w:sz w:val="19"/>
              </w:rPr>
              <w:t>Any ML/TF/PF-related regulatory penalties in the past five years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b w:val="0"/>
                <w:sz w:val="19"/>
              </w:rPr>
              <w:t>[No]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b w:val="0"/>
                <w:sz w:val="19"/>
              </w:rPr>
              <w:t>Management representation; AML §21 [confirm]</w:t>
            </w:r>
          </w:p>
        </w:tc>
      </w:tr>
    </w:tbl>
    <w:p/>
    <w:p>
      <w:pPr>
        <w:pStyle w:val="Heading2"/>
      </w:pPr>
      <w:r>
        <w:t>II. Risk assessment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"/>
        <w:gridCol w:w="4824"/>
        <w:gridCol w:w="1008"/>
        <w:gridCol w:w="3168"/>
      </w:tblGrid>
      <w:tr>
        <w:tc>
          <w:tcPr>
            <w:tcW w:type="dxa" w:w="2412"/>
            <w:shd w:val="clear" w:color="auto" w:fill="03304C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2412"/>
            <w:shd w:val="clear" w:color="auto" w:fill="03304C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Question (summary)</w:t>
            </w:r>
          </w:p>
        </w:tc>
        <w:tc>
          <w:tcPr>
            <w:tcW w:type="dxa" w:w="2412"/>
            <w:shd w:val="clear" w:color="auto" w:fill="03304C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Response</w:t>
            </w:r>
          </w:p>
        </w:tc>
        <w:tc>
          <w:tcPr>
            <w:tcW w:type="dxa" w:w="2412"/>
            <w:shd w:val="clear" w:color="auto" w:fill="03304C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Basis / reference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alibri" w:hAnsi="Calibri"/>
                <w:b w:val="0"/>
                <w:sz w:val="19"/>
              </w:rPr>
              <w:t>12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b w:val="0"/>
                <w:sz w:val="19"/>
              </w:rPr>
              <w:t>Risk-focused assessment of the customer base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b w:val="0"/>
                <w:sz w:val="19"/>
              </w:rPr>
              <w:t>Yes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b w:val="0"/>
                <w:sz w:val="19"/>
              </w:rPr>
              <w:t>Enterprise-wide &amp; per-customer risk rating; AML §9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alibri" w:hAnsi="Calibri"/>
                <w:b w:val="0"/>
                <w:sz w:val="19"/>
              </w:rPr>
              <w:t>13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b w:val="0"/>
                <w:sz w:val="19"/>
              </w:rPr>
              <w:t>Identification of customer categories whose activity is unusual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b w:val="0"/>
                <w:sz w:val="19"/>
              </w:rPr>
              <w:t>Yes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b w:val="0"/>
                <w:sz w:val="19"/>
              </w:rPr>
              <w:t>AML §9, §13; Appendix A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alibri" w:hAnsi="Calibri"/>
                <w:b w:val="0"/>
                <w:sz w:val="19"/>
              </w:rPr>
              <w:t>14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b w:val="0"/>
                <w:sz w:val="19"/>
              </w:rPr>
              <w:t>Determination of EDD level for higher-risk customer categories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b w:val="0"/>
                <w:sz w:val="19"/>
              </w:rPr>
              <w:t>Yes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b w:val="0"/>
                <w:sz w:val="19"/>
              </w:rPr>
              <w:t>AML §9, §10.3–10.4</w:t>
            </w:r>
          </w:p>
        </w:tc>
      </w:tr>
    </w:tbl>
    <w:p/>
    <w:p>
      <w:pPr>
        <w:pStyle w:val="Heading2"/>
      </w:pPr>
      <w:r>
        <w:t>III. Know-your-customer, due diligence and enhanced due diligence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"/>
        <w:gridCol w:w="4824"/>
        <w:gridCol w:w="1008"/>
        <w:gridCol w:w="3168"/>
      </w:tblGrid>
      <w:tr>
        <w:tc>
          <w:tcPr>
            <w:tcW w:type="dxa" w:w="2412"/>
            <w:shd w:val="clear" w:color="auto" w:fill="03304C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2412"/>
            <w:shd w:val="clear" w:color="auto" w:fill="03304C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Question (summary)</w:t>
            </w:r>
          </w:p>
        </w:tc>
        <w:tc>
          <w:tcPr>
            <w:tcW w:type="dxa" w:w="2412"/>
            <w:shd w:val="clear" w:color="auto" w:fill="03304C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Response</w:t>
            </w:r>
          </w:p>
        </w:tc>
        <w:tc>
          <w:tcPr>
            <w:tcW w:type="dxa" w:w="2412"/>
            <w:shd w:val="clear" w:color="auto" w:fill="03304C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Basis / reference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alibri" w:hAnsi="Calibri"/>
                <w:b w:val="0"/>
                <w:sz w:val="19"/>
              </w:rPr>
              <w:t>15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b w:val="0"/>
                <w:sz w:val="19"/>
              </w:rPr>
              <w:t>Systems to identify customers (name, address, ID, DOB, etc.)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b w:val="0"/>
                <w:sz w:val="19"/>
              </w:rPr>
              <w:t>Yes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b w:val="0"/>
                <w:sz w:val="19"/>
              </w:rPr>
              <w:t>Tiered KYC + BVN/NIN + liveness; AML §10.1–10.2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alibri" w:hAnsi="Calibri"/>
                <w:b w:val="0"/>
                <w:sz w:val="19"/>
              </w:rPr>
              <w:t>16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b w:val="0"/>
                <w:sz w:val="19"/>
              </w:rPr>
              <w:t>Requirement to collect information on customers’ business activity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b w:val="0"/>
                <w:sz w:val="19"/>
              </w:rPr>
              <w:t>Yes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b w:val="0"/>
                <w:sz w:val="19"/>
              </w:rPr>
              <w:t>AML §10.1, §10.5–10.6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alibri" w:hAnsi="Calibri"/>
                <w:b w:val="0"/>
                <w:sz w:val="19"/>
              </w:rPr>
              <w:t>17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b w:val="0"/>
                <w:sz w:val="19"/>
              </w:rPr>
              <w:t>Collect/assess customers’ own AML policies where applicable (e.g. business customers)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b w:val="0"/>
                <w:sz w:val="19"/>
              </w:rPr>
              <w:t>Yes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b w:val="0"/>
                <w:sz w:val="19"/>
              </w:rPr>
              <w:t>Risk-based for entity customers; AML §10.5, §14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alibri" w:hAnsi="Calibri"/>
                <w:b w:val="0"/>
                <w:sz w:val="19"/>
              </w:rPr>
              <w:t>18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b w:val="0"/>
                <w:sz w:val="19"/>
              </w:rPr>
              <w:t>Record of each customer’s ID and KYC information at account opening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b w:val="0"/>
                <w:sz w:val="19"/>
              </w:rPr>
              <w:t>Yes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b w:val="0"/>
                <w:sz w:val="19"/>
              </w:rPr>
              <w:t>KYC record per customer; AML §10.1, §16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alibri" w:hAnsi="Calibri"/>
                <w:b w:val="0"/>
                <w:sz w:val="19"/>
              </w:rPr>
              <w:t>19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b w:val="0"/>
                <w:sz w:val="19"/>
              </w:rPr>
              <w:t>Steps to understand normal/expected transactions per risk assessment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b w:val="0"/>
                <w:sz w:val="19"/>
              </w:rPr>
              <w:t>Yes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b w:val="0"/>
                <w:sz w:val="19"/>
              </w:rPr>
              <w:t>AML §10.6, §13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alibri" w:hAnsi="Calibri"/>
                <w:b w:val="0"/>
                <w:sz w:val="19"/>
              </w:rPr>
              <w:t>20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b w:val="0"/>
                <w:sz w:val="19"/>
              </w:rPr>
              <w:t>For legal entities, obtain registration documents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b w:val="0"/>
                <w:sz w:val="19"/>
              </w:rPr>
              <w:t>Yes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b w:val="0"/>
                <w:sz w:val="19"/>
              </w:rPr>
              <w:t>CAC docs + beneficial owners; AML §10.5</w:t>
            </w:r>
          </w:p>
        </w:tc>
      </w:tr>
    </w:tbl>
    <w:p/>
    <w:p>
      <w:pPr>
        <w:pStyle w:val="Heading2"/>
      </w:pPr>
      <w:r>
        <w:t>IV. Reportable transactions; detection of illegally obtained funds; sanctions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"/>
        <w:gridCol w:w="4824"/>
        <w:gridCol w:w="1008"/>
        <w:gridCol w:w="3168"/>
      </w:tblGrid>
      <w:tr>
        <w:tc>
          <w:tcPr>
            <w:tcW w:type="dxa" w:w="2412"/>
            <w:shd w:val="clear" w:color="auto" w:fill="03304C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2412"/>
            <w:shd w:val="clear" w:color="auto" w:fill="03304C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Question (summary)</w:t>
            </w:r>
          </w:p>
        </w:tc>
        <w:tc>
          <w:tcPr>
            <w:tcW w:type="dxa" w:w="2412"/>
            <w:shd w:val="clear" w:color="auto" w:fill="03304C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Response</w:t>
            </w:r>
          </w:p>
        </w:tc>
        <w:tc>
          <w:tcPr>
            <w:tcW w:type="dxa" w:w="2412"/>
            <w:shd w:val="clear" w:color="auto" w:fill="03304C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Basis / reference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alibri" w:hAnsi="Calibri"/>
                <w:b w:val="0"/>
                <w:sz w:val="19"/>
              </w:rPr>
              <w:t>21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b w:val="0"/>
                <w:sz w:val="19"/>
              </w:rPr>
              <w:t>Policies/practices to identify and report transactions reportable to authorities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b w:val="0"/>
                <w:sz w:val="19"/>
              </w:rPr>
              <w:t>Yes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b w:val="0"/>
                <w:sz w:val="19"/>
              </w:rPr>
              <w:t>STR/CTR to NFIU; AML §15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alibri" w:hAnsi="Calibri"/>
                <w:b w:val="0"/>
                <w:sz w:val="19"/>
              </w:rPr>
              <w:t>22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b w:val="0"/>
                <w:sz w:val="19"/>
              </w:rPr>
              <w:t>Procedures to identify structuring to avoid large-transaction reporting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b w:val="0"/>
                <w:sz w:val="19"/>
              </w:rPr>
              <w:t>Yes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b w:val="0"/>
                <w:sz w:val="19"/>
              </w:rPr>
              <w:t>AML §13, §15.3; Appendix A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alibri" w:hAnsi="Calibri"/>
                <w:b w:val="0"/>
                <w:sz w:val="19"/>
              </w:rPr>
              <w:t>23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b w:val="0"/>
                <w:sz w:val="19"/>
              </w:rPr>
              <w:t>Automated screening of transactions (originators/beneficiaries) vs. terrorist/narcotics lists prior to a transaction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b w:val="0"/>
                <w:sz w:val="19"/>
              </w:rPr>
              <w:t>Yes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b w:val="0"/>
                <w:sz w:val="19"/>
              </w:rPr>
              <w:t>Customer + partner-rail screening; AML §12, §14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alibri" w:hAnsi="Calibri"/>
                <w:b w:val="0"/>
                <w:sz w:val="19"/>
              </w:rPr>
              <w:t>24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b w:val="0"/>
                <w:sz w:val="19"/>
              </w:rPr>
              <w:t>Policies to avoid transactions with sanctioned countries/entities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b w:val="0"/>
                <w:sz w:val="19"/>
              </w:rPr>
              <w:t>Yes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b w:val="0"/>
                <w:sz w:val="19"/>
              </w:rPr>
              <w:t>AML §12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alibri" w:hAnsi="Calibri"/>
                <w:b w:val="0"/>
                <w:sz w:val="19"/>
              </w:rPr>
              <w:t>25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b w:val="0"/>
                <w:sz w:val="19"/>
              </w:rPr>
              <w:t>Process to ensure no transactions with/through shell banks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b w:val="0"/>
                <w:sz w:val="19"/>
              </w:rPr>
              <w:t>Yes / N/A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b w:val="0"/>
                <w:sz w:val="19"/>
              </w:rPr>
              <w:t>No correspondent banking; AML §10.7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alibri" w:hAnsi="Calibri"/>
                <w:b w:val="0"/>
                <w:sz w:val="19"/>
              </w:rPr>
              <w:t>26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b w:val="0"/>
                <w:sz w:val="19"/>
              </w:rPr>
              <w:t>Establish relationships only with banks licensed in their country of origin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b w:val="0"/>
                <w:sz w:val="19"/>
              </w:rPr>
              <w:t>N/A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b w:val="0"/>
                <w:sz w:val="19"/>
              </w:rPr>
              <w:t>Zitch uses licensed partners, not correspondent banks; partner DD — AML §14</w:t>
            </w:r>
          </w:p>
        </w:tc>
      </w:tr>
    </w:tbl>
    <w:p/>
    <w:p>
      <w:pPr>
        <w:pStyle w:val="Heading2"/>
      </w:pPr>
      <w:r>
        <w:t>V. Transaction monitoring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"/>
        <w:gridCol w:w="4824"/>
        <w:gridCol w:w="1008"/>
        <w:gridCol w:w="3168"/>
      </w:tblGrid>
      <w:tr>
        <w:tc>
          <w:tcPr>
            <w:tcW w:type="dxa" w:w="2412"/>
            <w:shd w:val="clear" w:color="auto" w:fill="03304C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2412"/>
            <w:shd w:val="clear" w:color="auto" w:fill="03304C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Question (summary)</w:t>
            </w:r>
          </w:p>
        </w:tc>
        <w:tc>
          <w:tcPr>
            <w:tcW w:type="dxa" w:w="2412"/>
            <w:shd w:val="clear" w:color="auto" w:fill="03304C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Response</w:t>
            </w:r>
          </w:p>
        </w:tc>
        <w:tc>
          <w:tcPr>
            <w:tcW w:type="dxa" w:w="2412"/>
            <w:shd w:val="clear" w:color="auto" w:fill="03304C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Basis / reference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alibri" w:hAnsi="Calibri"/>
                <w:b w:val="0"/>
                <w:sz w:val="19"/>
              </w:rPr>
              <w:t>27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b w:val="0"/>
                <w:sz w:val="19"/>
              </w:rPr>
              <w:t>Monitoring programme covering incoming/outgoing transfers for suspicious or unusual activity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b w:val="0"/>
                <w:sz w:val="19"/>
              </w:rPr>
              <w:t>Yes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b w:val="0"/>
                <w:sz w:val="19"/>
              </w:rPr>
              <w:t>Automated + manual monitoring; AML §13; Appendix A</w:t>
            </w:r>
          </w:p>
        </w:tc>
      </w:tr>
    </w:tbl>
    <w:p/>
    <w:p>
      <w:pPr>
        <w:pStyle w:val="Heading2"/>
      </w:pPr>
      <w:r>
        <w:t>VI. Anti-Bribery &amp; Corruption (AB&amp;C)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"/>
        <w:gridCol w:w="4824"/>
        <w:gridCol w:w="1008"/>
        <w:gridCol w:w="3168"/>
      </w:tblGrid>
      <w:tr>
        <w:tc>
          <w:tcPr>
            <w:tcW w:type="dxa" w:w="2412"/>
            <w:shd w:val="clear" w:color="auto" w:fill="03304C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2412"/>
            <w:shd w:val="clear" w:color="auto" w:fill="03304C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Question (summary)</w:t>
            </w:r>
          </w:p>
        </w:tc>
        <w:tc>
          <w:tcPr>
            <w:tcW w:type="dxa" w:w="2412"/>
            <w:shd w:val="clear" w:color="auto" w:fill="03304C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Response</w:t>
            </w:r>
          </w:p>
        </w:tc>
        <w:tc>
          <w:tcPr>
            <w:tcW w:type="dxa" w:w="2412"/>
            <w:shd w:val="clear" w:color="auto" w:fill="03304C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Basis / reference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alibri" w:hAnsi="Calibri"/>
                <w:b w:val="0"/>
                <w:sz w:val="19"/>
              </w:rPr>
              <w:t>28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b w:val="0"/>
                <w:sz w:val="19"/>
              </w:rPr>
              <w:t>Documented ABC policies/procedures to prevent, detect and report bribery and corruption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b w:val="0"/>
                <w:sz w:val="19"/>
              </w:rPr>
              <w:t>Yes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b w:val="0"/>
                <w:sz w:val="19"/>
              </w:rPr>
              <w:t>ABC Policy §1–9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alibri" w:hAnsi="Calibri"/>
                <w:b w:val="0"/>
                <w:sz w:val="19"/>
              </w:rPr>
              <w:t>29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b w:val="0"/>
                <w:sz w:val="19"/>
              </w:rPr>
              <w:t>Enterprise-wide programme setting minimum ABC standards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b w:val="0"/>
                <w:sz w:val="19"/>
              </w:rPr>
              <w:t>Yes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b w:val="0"/>
                <w:sz w:val="19"/>
              </w:rPr>
              <w:t>ABC §2, §4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alibri" w:hAnsi="Calibri"/>
                <w:b w:val="0"/>
                <w:sz w:val="19"/>
              </w:rPr>
              <w:t>30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b w:val="0"/>
                <w:sz w:val="19"/>
              </w:rPr>
              <w:t>Designated officer(s) with sufficient experience to coordinate the ABC programme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b w:val="0"/>
                <w:sz w:val="19"/>
              </w:rPr>
              <w:t>Yes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b w:val="0"/>
                <w:sz w:val="19"/>
              </w:rPr>
              <w:t>ABC Officer; ABC §3 [name to insert]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alibri" w:hAnsi="Calibri"/>
                <w:b w:val="0"/>
                <w:sz w:val="19"/>
              </w:rPr>
              <w:t>31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b w:val="0"/>
                <w:sz w:val="19"/>
              </w:rPr>
              <w:t>Adequate staff with appropriate experience/expertise to implement the ABC programme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b w:val="0"/>
                <w:sz w:val="19"/>
              </w:rPr>
              <w:t>Yes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b w:val="0"/>
                <w:sz w:val="19"/>
              </w:rPr>
              <w:t>ABC §3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alibri" w:hAnsi="Calibri"/>
                <w:b w:val="0"/>
                <w:sz w:val="19"/>
              </w:rPr>
              <w:t>32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b w:val="0"/>
                <w:sz w:val="19"/>
              </w:rPr>
              <w:t>ABC programme prohibits giving and receiving of bribes (promising/offering/giving, soliciting/accepting)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b w:val="0"/>
                <w:sz w:val="19"/>
              </w:rPr>
              <w:t>Yes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b w:val="0"/>
                <w:sz w:val="19"/>
              </w:rPr>
              <w:t>ABC §4 (incl. facilitation payments, third parties)</w:t>
            </w:r>
          </w:p>
        </w:tc>
      </w:tr>
    </w:tbl>
    <w:p/>
    <w:p>
      <w:r>
        <w:rPr>
          <w:sz w:val="21"/>
        </w:rPr>
      </w:r>
    </w:p>
    <w:p>
      <w:r>
        <w:rPr>
          <w:b/>
          <w:color w:val="03304C"/>
        </w:rPr>
        <w:t>Attestation</w:t>
      </w:r>
    </w:p>
    <w:p>
      <w:r>
        <w:rPr>
          <w:sz w:val="21"/>
        </w:rPr>
        <w:t>I confirm that the responses above are accurate to the best of my knowledge and are supported by Zitch’s Board-approved AML/CFT/CPF Policy and Anti-Bribery &amp; Corruption Policy, copies of which are provided herewith.</w:t>
      </w:r>
    </w:p>
    <w:p>
      <w:r>
        <w:rPr>
          <w:sz w:val="21"/>
        </w:rPr>
        <w:t>Signed: ______________________   Name: [____]   Title: Chief Compliance Officer / MLRO   Date: ____________</w:t>
      </w:r>
    </w:p>
    <w:sectPr w:rsidR="00FC693F" w:rsidRPr="0006063C" w:rsidSect="00034616">
      <w:footerReference w:type="default" r:id="rId9"/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555"/>
        <w:sz w:val="16"/>
      </w:rPr>
      <w:t xml:space="preserve">Zitch · AML/ABC Questionnaire Response v1.0   |   Confidential — for the named recipient's due-diligence use   |  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3304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3304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3304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