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3304C"/>
          <w:sz w:val="52"/>
        </w:rPr>
        <w:t>ZITCH TECHNOLOGIES</w:t>
      </w:r>
    </w:p>
    <w:p>
      <w:pPr>
        <w:jc w:val="center"/>
      </w:pPr>
      <w:r>
        <w:rPr>
          <w:color w:val="0FA295"/>
          <w:sz w:val="24"/>
        </w:rPr>
        <w:t>●  ●  ●</w:t>
      </w:r>
    </w:p>
    <w:p/>
    <w:p>
      <w:pPr>
        <w:jc w:val="center"/>
      </w:pPr>
      <w:r>
        <w:rPr>
          <w:b/>
          <w:color w:val="03304C"/>
          <w:sz w:val="40"/>
        </w:rPr>
        <w:t>Anti-Bribery &amp; Corruption (ABC) Policy</w:t>
      </w:r>
    </w:p>
    <w:p>
      <w:pPr>
        <w:jc w:val="center"/>
      </w:pPr>
      <w:r>
        <w:rPr>
          <w:color w:val="555555"/>
          <w:sz w:val="24"/>
        </w:rPr>
        <w:t>Anti-Bribery &amp; Corruption Policy</w:t>
      </w:r>
    </w:p>
    <w:p/>
    <w:p/>
    <w:p/>
    <w:p/>
    <w:p/>
    <w:p/>
    <w:p/>
    <w:p/>
    <w:p>
      <w:pPr>
        <w:jc w:val="center"/>
      </w:pPr>
      <w:r>
        <w:rPr>
          <w:color w:val="555555"/>
          <w:sz w:val="20"/>
        </w:rPr>
        <w:t>Document version 1.0   ·   [Effective date: ___________]</w:t>
      </w:r>
    </w:p>
    <w:p>
      <w:pPr>
        <w:jc w:val="center"/>
      </w:pPr>
      <w:r>
        <w:rPr>
          <w:color w:val="555555"/>
          <w:sz w:val="20"/>
        </w:rPr>
        <w:t>Classification: Internal / Regulatory</w:t>
      </w:r>
    </w:p>
    <w:p>
      <w:r>
        <w:br w:type="page"/>
      </w:r>
    </w:p>
    <w:p>
      <w:pPr>
        <w:pStyle w:val="Heading2"/>
      </w:pPr>
      <w:r>
        <w:t>Document control</w:t>
      </w:r>
    </w:p>
    <w:tbl>
      <w:tblPr>
        <w:tblStyle w:val="TableGrid"/>
        <w:tblW w:type="auto" w:w="0"/>
        <w:tblLook w:firstColumn="1" w:firstRow="1" w:lastColumn="0" w:lastRow="0" w:noHBand="0" w:noVBand="1" w:val="04A0"/>
      </w:tblPr>
      <w:tblGrid>
        <w:gridCol w:w="2880"/>
        <w:gridCol w:w="6624"/>
      </w:tblGrid>
      <w:tr>
        <w:tc>
          <w:tcPr>
            <w:tcW w:type="dxa" w:w="4824"/>
          </w:tcPr>
          <w:p>
            <w:r/>
            <w:r>
              <w:rPr>
                <w:rFonts w:ascii="Calibri" w:hAnsi="Calibri"/>
                <w:b/>
                <w:color w:val="03304C"/>
                <w:sz w:val="20"/>
              </w:rPr>
              <w:t>Document title</w:t>
            </w:r>
          </w:p>
        </w:tc>
        <w:tc>
          <w:tcPr>
            <w:tcW w:type="dxa" w:w="4824"/>
          </w:tcPr>
          <w:p>
            <w:r/>
            <w:r>
              <w:rPr>
                <w:rFonts w:ascii="Calibri" w:hAnsi="Calibri"/>
                <w:b w:val="0"/>
                <w:sz w:val="20"/>
              </w:rPr>
              <w:t>Anti-Bribery &amp; Corruption (ABC) Policy</w:t>
            </w:r>
          </w:p>
        </w:tc>
      </w:tr>
      <w:tr>
        <w:tc>
          <w:tcPr>
            <w:tcW w:type="dxa" w:w="4824"/>
          </w:tcPr>
          <w:p>
            <w:r/>
            <w:r>
              <w:rPr>
                <w:rFonts w:ascii="Calibri" w:hAnsi="Calibri"/>
                <w:b/>
                <w:color w:val="03304C"/>
                <w:sz w:val="20"/>
              </w:rPr>
              <w:t>Owner / approver</w:t>
            </w:r>
          </w:p>
        </w:tc>
        <w:tc>
          <w:tcPr>
            <w:tcW w:type="dxa" w:w="4824"/>
          </w:tcPr>
          <w:p>
            <w:r/>
            <w:r>
              <w:rPr>
                <w:rFonts w:ascii="Calibri" w:hAnsi="Calibri"/>
                <w:b w:val="0"/>
                <w:sz w:val="20"/>
              </w:rPr>
              <w:t>Board of Directors (approval) · Chief Compliance Officer / MLRO (owner)</w:t>
            </w:r>
          </w:p>
        </w:tc>
      </w:tr>
      <w:tr>
        <w:tc>
          <w:tcPr>
            <w:tcW w:type="dxa" w:w="4824"/>
          </w:tcPr>
          <w:p>
            <w:r/>
            <w:r>
              <w:rPr>
                <w:rFonts w:ascii="Calibri" w:hAnsi="Calibri"/>
                <w:b/>
                <w:color w:val="03304C"/>
                <w:sz w:val="20"/>
              </w:rPr>
              <w:t>Version</w:t>
            </w:r>
          </w:p>
        </w:tc>
        <w:tc>
          <w:tcPr>
            <w:tcW w:type="dxa" w:w="4824"/>
          </w:tcPr>
          <w:p>
            <w:r/>
            <w:r>
              <w:rPr>
                <w:rFonts w:ascii="Calibri" w:hAnsi="Calibri"/>
                <w:b w:val="0"/>
                <w:sz w:val="20"/>
              </w:rPr>
              <w:t>1.0</w:t>
            </w:r>
          </w:p>
        </w:tc>
      </w:tr>
      <w:tr>
        <w:tc>
          <w:tcPr>
            <w:tcW w:type="dxa" w:w="4824"/>
          </w:tcPr>
          <w:p>
            <w:r/>
            <w:r>
              <w:rPr>
                <w:rFonts w:ascii="Calibri" w:hAnsi="Calibri"/>
                <w:b/>
                <w:color w:val="03304C"/>
                <w:sz w:val="20"/>
              </w:rPr>
              <w:t>Status</w:t>
            </w:r>
          </w:p>
        </w:tc>
        <w:tc>
          <w:tcPr>
            <w:tcW w:type="dxa" w:w="4824"/>
          </w:tcPr>
          <w:p>
            <w:r/>
            <w:r>
              <w:rPr>
                <w:rFonts w:ascii="Calibri" w:hAnsi="Calibri"/>
                <w:b w:val="0"/>
                <w:sz w:val="20"/>
              </w:rPr>
              <w:t>Approved [to be confirmed on adoption]</w:t>
            </w:r>
          </w:p>
        </w:tc>
      </w:tr>
      <w:tr>
        <w:tc>
          <w:tcPr>
            <w:tcW w:type="dxa" w:w="4824"/>
          </w:tcPr>
          <w:p>
            <w:r/>
            <w:r>
              <w:rPr>
                <w:rFonts w:ascii="Calibri" w:hAnsi="Calibri"/>
                <w:b/>
                <w:color w:val="03304C"/>
                <w:sz w:val="20"/>
              </w:rPr>
              <w:t>Effective date</w:t>
            </w:r>
          </w:p>
        </w:tc>
        <w:tc>
          <w:tcPr>
            <w:tcW w:type="dxa" w:w="4824"/>
          </w:tcPr>
          <w:p>
            <w:r/>
            <w:r>
              <w:rPr>
                <w:rFonts w:ascii="Calibri" w:hAnsi="Calibri"/>
                <w:b w:val="0"/>
                <w:sz w:val="20"/>
              </w:rPr>
              <w:t>[Effective date: ___________]</w:t>
            </w:r>
          </w:p>
        </w:tc>
      </w:tr>
      <w:tr>
        <w:tc>
          <w:tcPr>
            <w:tcW w:type="dxa" w:w="4824"/>
          </w:tcPr>
          <w:p>
            <w:r/>
            <w:r>
              <w:rPr>
                <w:rFonts w:ascii="Calibri" w:hAnsi="Calibri"/>
                <w:b/>
                <w:color w:val="03304C"/>
                <w:sz w:val="20"/>
              </w:rPr>
              <w:t>Next review</w:t>
            </w:r>
          </w:p>
        </w:tc>
        <w:tc>
          <w:tcPr>
            <w:tcW w:type="dxa" w:w="4824"/>
          </w:tcPr>
          <w:p>
            <w:r/>
            <w:r>
              <w:rPr>
                <w:rFonts w:ascii="Calibri" w:hAnsi="Calibri"/>
                <w:b w:val="0"/>
                <w:sz w:val="20"/>
              </w:rPr>
              <w:t>Annually, or upon a material change in law, products, partners or risk</w:t>
            </w:r>
          </w:p>
        </w:tc>
      </w:tr>
      <w:tr>
        <w:tc>
          <w:tcPr>
            <w:tcW w:type="dxa" w:w="4824"/>
          </w:tcPr>
          <w:p>
            <w:r/>
            <w:r>
              <w:rPr>
                <w:rFonts w:ascii="Calibri" w:hAnsi="Calibri"/>
                <w:b/>
                <w:color w:val="03304C"/>
                <w:sz w:val="20"/>
              </w:rPr>
              <w:t>Distribution</w:t>
            </w:r>
          </w:p>
        </w:tc>
        <w:tc>
          <w:tcPr>
            <w:tcW w:type="dxa" w:w="4824"/>
          </w:tcPr>
          <w:p>
            <w:r/>
            <w:r>
              <w:rPr>
                <w:rFonts w:ascii="Calibri" w:hAnsi="Calibri"/>
                <w:b w:val="0"/>
                <w:sz w:val="20"/>
              </w:rPr>
              <w:t>All directors, officers, employees, contractors and agents of Zitch</w:t>
            </w:r>
          </w:p>
        </w:tc>
      </w:tr>
      <w:tr>
        <w:tc>
          <w:tcPr>
            <w:tcW w:type="dxa" w:w="4824"/>
          </w:tcPr>
          <w:p>
            <w:r/>
            <w:r>
              <w:rPr>
                <w:rFonts w:ascii="Calibri" w:hAnsi="Calibri"/>
                <w:b/>
                <w:color w:val="03304C"/>
                <w:sz w:val="20"/>
              </w:rPr>
              <w:t>Classification</w:t>
            </w:r>
          </w:p>
        </w:tc>
        <w:tc>
          <w:tcPr>
            <w:tcW w:type="dxa" w:w="4824"/>
          </w:tcPr>
          <w:p>
            <w:r/>
            <w:r>
              <w:rPr>
                <w:rFonts w:ascii="Calibri" w:hAnsi="Calibri"/>
                <w:b w:val="0"/>
                <w:sz w:val="20"/>
              </w:rPr>
              <w:t>Confidential — Internal / Regulatory</w:t>
            </w:r>
          </w:p>
        </w:tc>
      </w:tr>
    </w:tbl>
    <w:p>
      <w:pPr>
        <w:pStyle w:val="Heading2"/>
      </w:pPr>
      <w:r>
        <w:t>Important note on use</w:t>
      </w:r>
    </w:p>
    <w:p>
      <w:r>
        <w:rPr>
          <w:sz w:val="21"/>
        </w:rPr>
        <w:t>This document is a controlled template prepared for Zitch Technologies (“Zitch”). It must be reviewed, completed (all bracketed placeholders), formally approved by the Board or its delegated committee, and adopted before it has effect. Zitch operates as a virtual top-up (VTU) and bill-payment technology platform and delivers regulated payment, wallet, card, settlement and open-banking functionality through licensed partners; the specific obligations that apply to Zitch depend on its own licensing status and on the contractual allocation of responsibilities with those partners. Qualified Nigerian legal and compliance counsel should confirm that the controls below match Zitch’s current licences, products and partner agreements before this policy is relied upon with any regulator or counterparty.</w:t>
      </w:r>
    </w:p>
    <w:p>
      <w:r>
        <w:br w:type="page"/>
      </w:r>
    </w:p>
    <w:p>
      <w:pPr>
        <w:pStyle w:val="Heading1"/>
      </w:pPr>
      <w:r>
        <w:t>1.  Policy statement</w:t>
      </w:r>
    </w:p>
    <w:p>
      <w:r>
        <w:rPr>
          <w:sz w:val="21"/>
        </w:rPr>
        <w:t>Zitch conducts business honestly and without bribery or corruption. Zitch has zero tolerance for bribery and corruption in any form, whether involving public officials or private parties, and is committed to acting professionally, fairly and with integrity in all dealings. This Policy is approved by the Board and applies enterprise-wide to Zitch and all of its branches and subsidiaries, and to every director, officer, employee, contractor, agent and business partner.</w:t>
      </w:r>
    </w:p>
    <w:p>
      <w:pPr>
        <w:pStyle w:val="Heading1"/>
      </w:pPr>
      <w:r>
        <w:t>2.  Purpose and scope</w:t>
      </w:r>
    </w:p>
    <w:p>
      <w:r>
        <w:rPr>
          <w:sz w:val="21"/>
        </w:rPr>
        <w:t>This Policy sets enterprise-wide minimum ABC standards consistent with applicable Nigerian law — including the Corrupt Practices and Other Related Offences Act (ICPC Act), the EFCC (Establishment) Act, the Money Laundering (Prevention and Prohibition) Act 2022, and the Public Procurement Act — and with international best practice (e.g. the principles underlying the UK Bribery Act and the US FCPA) to the extent applicable to Zitch and its partners. It is designed to reasonably prevent, detect and report bribery and corruption.</w:t>
      </w:r>
    </w:p>
    <w:p>
      <w:pPr>
        <w:pStyle w:val="Heading1"/>
      </w:pPr>
      <w:r>
        <w:t>3.  Governance and responsibility</w:t>
      </w:r>
    </w:p>
    <w:p>
      <w:pPr>
        <w:pStyle w:val="ListBullet"/>
      </w:pPr>
      <w:r>
        <w:rPr>
          <w:sz w:val="21"/>
        </w:rPr>
        <w:t>The Board owns this Policy and the ABC programme and reviews them at least annually.</w:t>
      </w:r>
    </w:p>
    <w:p>
      <w:pPr>
        <w:pStyle w:val="ListBullet"/>
      </w:pPr>
      <w:r>
        <w:rPr>
          <w:sz w:val="21"/>
        </w:rPr>
        <w:t>A designated officer with sufficient experience and expertise — the Chief Compliance Officer (also serving as ABC Officer): [Name], [email], [phone] — coordinates the ABC programme day-to-day.</w:t>
      </w:r>
    </w:p>
    <w:p>
      <w:pPr>
        <w:pStyle w:val="ListBullet"/>
      </w:pPr>
      <w:r>
        <w:rPr>
          <w:sz w:val="21"/>
        </w:rPr>
        <w:t>Zitch maintains adequate, suitably experienced staff to implement the programme; the ABC Officer may be supported by Legal, HR, Finance and Internal Audit.</w:t>
      </w:r>
    </w:p>
    <w:p>
      <w:pPr>
        <w:pStyle w:val="ListBullet"/>
      </w:pPr>
      <w:r>
        <w:rPr>
          <w:sz w:val="21"/>
        </w:rPr>
        <w:t>Senior management is responsible for embedding the programme in their areas.</w:t>
      </w:r>
    </w:p>
    <w:p>
      <w:pPr>
        <w:pStyle w:val="Heading1"/>
      </w:pPr>
      <w:r>
        <w:t>4.  What is prohibited</w:t>
      </w:r>
    </w:p>
    <w:p>
      <w:r>
        <w:rPr>
          <w:sz w:val="21"/>
        </w:rPr>
        <w:t>The ABC programme prohibits the giving and receiving of bribes. Specifically, Staff and parties acting for Zitch must not, directly or through a third party:</w:t>
      </w:r>
    </w:p>
    <w:p>
      <w:pPr>
        <w:pStyle w:val="ListBullet"/>
      </w:pPr>
      <w:r>
        <w:rPr>
          <w:sz w:val="21"/>
        </w:rPr>
        <w:t>Promise, offer, give, authorise, solicit, receive or accept any bribe — i.e. any financial or other advantage — to or from any person (including any public official or private party) to improperly obtain or retain business or a business advantage, or to induce or reward improper performance of a function.</w:t>
      </w:r>
    </w:p>
    <w:p>
      <w:pPr>
        <w:pStyle w:val="ListBullet"/>
      </w:pPr>
      <w:r>
        <w:rPr>
          <w:sz w:val="21"/>
        </w:rPr>
        <w:t>Make facilitation or “grease” payments to expedite routine official actions.</w:t>
      </w:r>
    </w:p>
    <w:p>
      <w:pPr>
        <w:pStyle w:val="ListBullet"/>
      </w:pPr>
      <w:r>
        <w:rPr>
          <w:sz w:val="21"/>
        </w:rPr>
        <w:t>Use charitable or political donations, sponsorships, or gifts and hospitality as a means of concealing a bribe.</w:t>
      </w:r>
    </w:p>
    <w:p>
      <w:pPr>
        <w:pStyle w:val="ListBullet"/>
      </w:pPr>
      <w:r>
        <w:rPr>
          <w:sz w:val="21"/>
        </w:rPr>
        <w:t>Engage a third party (agent, partner, consultant) to do anything that Zitch itself is prohibited from doing.</w:t>
      </w:r>
    </w:p>
    <w:p>
      <w:pPr>
        <w:pStyle w:val="Heading1"/>
      </w:pPr>
      <w:r>
        <w:t>5.  Gifts, hospitality, donations and conflicts of interest</w:t>
      </w:r>
    </w:p>
    <w:p>
      <w:pPr>
        <w:pStyle w:val="ListBullet"/>
      </w:pPr>
      <w:r>
        <w:rPr>
          <w:sz w:val="21"/>
        </w:rPr>
        <w:t>Gifts and hospitality must be reasonable, proportionate, infrequent, transparent, of modest value, properly recorded, and never intended to influence a decision. Anything above the recorded threshold [₦____] requires prior approval and registration in the gifts register.</w:t>
      </w:r>
    </w:p>
    <w:p>
      <w:pPr>
        <w:pStyle w:val="ListBullet"/>
      </w:pPr>
      <w:r>
        <w:rPr>
          <w:sz w:val="21"/>
        </w:rPr>
        <w:t>Political donations are prohibited; charitable donations and sponsorships are permitted only with prior approval and due diligence to ensure they are not a disguised bribe.</w:t>
      </w:r>
    </w:p>
    <w:p>
      <w:pPr>
        <w:pStyle w:val="ListBullet"/>
      </w:pPr>
      <w:r>
        <w:rPr>
          <w:sz w:val="21"/>
        </w:rPr>
        <w:t>Actual or potential conflicts of interest must be declared to Compliance/HR and managed.</w:t>
      </w:r>
    </w:p>
    <w:p>
      <w:pPr>
        <w:pStyle w:val="ListBullet"/>
      </w:pPr>
      <w:r>
        <w:rPr>
          <w:sz w:val="21"/>
        </w:rPr>
        <w:t>Books and records must accurately reflect all transactions; no off-book accounts or false records.</w:t>
      </w:r>
    </w:p>
    <w:p>
      <w:pPr>
        <w:pStyle w:val="Heading1"/>
      </w:pPr>
      <w:r>
        <w:t>6.  Third parties, partners and intermediaries</w:t>
      </w:r>
    </w:p>
    <w:p>
      <w:r>
        <w:rPr>
          <w:sz w:val="21"/>
        </w:rPr>
        <w:t>Bribery and corruption risk often arises through third parties. Zitch conducts risk-based ABC due diligence on partners, agents and intermediaries; includes ABC representations, audit and termination rights in contracts; and monitors the relationship. Zitch requires its infrastructure partners to maintain ABC standards consistent with this Policy.</w:t>
      </w:r>
    </w:p>
    <w:p>
      <w:pPr>
        <w:pStyle w:val="Heading1"/>
      </w:pPr>
      <w:r>
        <w:t>7.  Reporting, “speak-up” and non-retaliation</w:t>
      </w:r>
    </w:p>
    <w:p>
      <w:r>
        <w:rPr>
          <w:sz w:val="21"/>
        </w:rPr>
        <w:t>Staff and partners must report suspected bribery or corruption to the ABC Officer or via the confidential whistleblowing channel. Reports may be made anonymously. Zitch prohibits retaliation against anyone who reports in good faith. Suspicions that also indicate money laundering are escalated under the AML/CFT/CPF Policy.</w:t>
      </w:r>
    </w:p>
    <w:p>
      <w:pPr>
        <w:pStyle w:val="Heading1"/>
      </w:pPr>
      <w:r>
        <w:t>8.  Training and awareness</w:t>
      </w:r>
    </w:p>
    <w:p>
      <w:r>
        <w:rPr>
          <w:sz w:val="21"/>
        </w:rPr>
        <w:t>All Staff receive ABC training at induction and periodically. Staff acknowledge this Policy and the Code of Conduct (which incorporates ABC obligations) and agree to abide by them; acknowledgement is recorded.</w:t>
      </w:r>
    </w:p>
    <w:p>
      <w:pPr>
        <w:pStyle w:val="Heading1"/>
      </w:pPr>
      <w:r>
        <w:t>9.  Monitoring, audit and consequences</w:t>
      </w:r>
    </w:p>
    <w:p>
      <w:r>
        <w:rPr>
          <w:sz w:val="21"/>
        </w:rPr>
        <w:t>The ABC programme is subject to internal-control self-assessment and periodic independent audit. Breach is serious misconduct and may result in disciplinary action up to dismissal, termination of a partner relationship, and civil or criminal liability.</w:t>
      </w:r>
    </w:p>
    <w:p>
      <w:pPr>
        <w:pStyle w:val="Heading1"/>
      </w:pPr>
      <w:r>
        <w:t>10.  Review and approval</w:t>
      </w:r>
    </w:p>
    <w:p>
      <w:r>
        <w:rPr>
          <w:sz w:val="21"/>
        </w:rPr>
        <w:t>This Policy is reviewed at least annually and on material change, and approved by the Board.</w:t>
      </w:r>
    </w:p>
    <w:p>
      <w:r>
        <w:rPr>
          <w:b/>
        </w:rPr>
        <w:br/>
        <w:t>Approved by the Board of Directors of Zitch Technologies</w:t>
      </w:r>
    </w:p>
    <w:p>
      <w:r>
        <w:rPr>
          <w:sz w:val="21"/>
        </w:rPr>
        <w:t>Name: ______________________    Signature: ______________________    Date: ____________</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 xml:space="preserve">Zitch · Anti-Bribery &amp; Corruption Policy v1.0   |   Confidential — for the named recipient's due-diligence use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330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330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330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