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3304C"/>
          <w:sz w:val="52"/>
        </w:rPr>
        <w:t>ZITCH TECHNOLOGIES</w:t>
      </w:r>
    </w:p>
    <w:p>
      <w:pPr>
        <w:jc w:val="center"/>
      </w:pPr>
      <w:r>
        <w:rPr>
          <w:color w:val="0FA295"/>
          <w:sz w:val="24"/>
        </w:rPr>
        <w:t>●  ●  ●</w:t>
      </w:r>
    </w:p>
    <w:p/>
    <w:p>
      <w:pPr>
        <w:jc w:val="center"/>
      </w:pPr>
      <w:r>
        <w:rPr>
          <w:b/>
          <w:color w:val="03304C"/>
          <w:sz w:val="38"/>
        </w:rPr>
        <w:t>Know Your Customer (KYC) / Customer Due</w:t>
        <w:br/>
        <w:t>Diligence (CDD) Operating Procedure</w:t>
      </w:r>
    </w:p>
    <w:p>
      <w:pPr>
        <w:jc w:val="center"/>
      </w:pPr>
      <w:r>
        <w:rPr>
          <w:color w:val="555555"/>
          <w:sz w:val="23"/>
        </w:rPr>
        <w:t>Standard Operating Procedure under the AML/CFT/CPF Policy</w:t>
      </w:r>
    </w:p>
    <w:p/>
    <w:p/>
    <w:p/>
    <w:p/>
    <w:p/>
    <w:p/>
    <w:p/>
    <w:p/>
    <w:p>
      <w:pPr>
        <w:jc w:val="center"/>
      </w:pPr>
      <w:r>
        <w:rPr>
          <w:color w:val="555555"/>
          <w:sz w:val="20"/>
        </w:rPr>
        <w:t>Version 1.0   ·   [Effective date: ___________]   ·   Classification: Internal</w:t>
      </w:r>
    </w:p>
    <w:p>
      <w:r>
        <w:br w:type="page"/>
      </w:r>
    </w:p>
    <w:p>
      <w:pPr>
        <w:pStyle w:val="Heading2"/>
      </w:pPr>
      <w:r>
        <w:t>Document control</w:t>
      </w:r>
    </w:p>
    <w:tbl>
      <w:tblPr>
        <w:tblStyle w:val="TableGrid"/>
        <w:tblW w:type="auto" w:w="0"/>
        <w:tblLook w:firstColumn="1" w:firstRow="1" w:lastColumn="0" w:lastRow="0" w:noHBand="0" w:noVBand="1" w:val="04A0"/>
      </w:tblPr>
      <w:tblGrid>
        <w:gridCol w:w="2736"/>
        <w:gridCol w:w="6768"/>
      </w:tblGrid>
      <w:tr>
        <w:tc>
          <w:tcPr>
            <w:tcW w:type="dxa" w:w="4824"/>
          </w:tcPr>
          <w:p>
            <w:r/>
            <w:r>
              <w:rPr>
                <w:rFonts w:ascii="Calibri" w:hAnsi="Calibri"/>
                <w:b/>
                <w:color w:val="03304C"/>
                <w:sz w:val="19"/>
              </w:rPr>
              <w:t>Title</w:t>
            </w:r>
          </w:p>
        </w:tc>
        <w:tc>
          <w:tcPr>
            <w:tcW w:type="dxa" w:w="4824"/>
          </w:tcPr>
          <w:p>
            <w:r/>
            <w:r>
              <w:rPr>
                <w:rFonts w:ascii="Calibri" w:hAnsi="Calibri"/>
                <w:b w:val="0"/>
                <w:sz w:val="19"/>
              </w:rPr>
              <w:t>KYC / CDD Operating Procedure</w:t>
            </w:r>
          </w:p>
        </w:tc>
      </w:tr>
      <w:tr>
        <w:tc>
          <w:tcPr>
            <w:tcW w:type="dxa" w:w="4824"/>
          </w:tcPr>
          <w:p>
            <w:r/>
            <w:r>
              <w:rPr>
                <w:rFonts w:ascii="Calibri" w:hAnsi="Calibri"/>
                <w:b/>
                <w:color w:val="03304C"/>
                <w:sz w:val="19"/>
              </w:rPr>
              <w:t>Owner</w:t>
            </w:r>
          </w:p>
        </w:tc>
        <w:tc>
          <w:tcPr>
            <w:tcW w:type="dxa" w:w="4824"/>
          </w:tcPr>
          <w:p>
            <w:r/>
            <w:r>
              <w:rPr>
                <w:rFonts w:ascii="Calibri" w:hAnsi="Calibri"/>
                <w:b w:val="0"/>
                <w:sz w:val="19"/>
              </w:rPr>
              <w:t>Chief Compliance Officer / MLRO</w:t>
            </w:r>
          </w:p>
        </w:tc>
      </w:tr>
      <w:tr>
        <w:tc>
          <w:tcPr>
            <w:tcW w:type="dxa" w:w="4824"/>
          </w:tcPr>
          <w:p>
            <w:r/>
            <w:r>
              <w:rPr>
                <w:rFonts w:ascii="Calibri" w:hAnsi="Calibri"/>
                <w:b/>
                <w:color w:val="03304C"/>
                <w:sz w:val="19"/>
              </w:rPr>
              <w:t>Parent policy</w:t>
            </w:r>
          </w:p>
        </w:tc>
        <w:tc>
          <w:tcPr>
            <w:tcW w:type="dxa" w:w="4824"/>
          </w:tcPr>
          <w:p>
            <w:r/>
            <w:r>
              <w:rPr>
                <w:rFonts w:ascii="Calibri" w:hAnsi="Calibri"/>
                <w:b w:val="0"/>
                <w:sz w:val="19"/>
              </w:rPr>
              <w:t>Zitch AML/CFT/CPF Policy</w:t>
            </w:r>
          </w:p>
        </w:tc>
      </w:tr>
      <w:tr>
        <w:tc>
          <w:tcPr>
            <w:tcW w:type="dxa" w:w="4824"/>
          </w:tcPr>
          <w:p>
            <w:r/>
            <w:r>
              <w:rPr>
                <w:rFonts w:ascii="Calibri" w:hAnsi="Calibri"/>
                <w:b/>
                <w:color w:val="03304C"/>
                <w:sz w:val="19"/>
              </w:rPr>
              <w:t>Version</w:t>
            </w:r>
          </w:p>
        </w:tc>
        <w:tc>
          <w:tcPr>
            <w:tcW w:type="dxa" w:w="4824"/>
          </w:tcPr>
          <w:p>
            <w:r/>
            <w:r>
              <w:rPr>
                <w:rFonts w:ascii="Calibri" w:hAnsi="Calibri"/>
                <w:b w:val="0"/>
                <w:sz w:val="19"/>
              </w:rPr>
              <w:t>1.0</w:t>
            </w:r>
          </w:p>
        </w:tc>
      </w:tr>
      <w:tr>
        <w:tc>
          <w:tcPr>
            <w:tcW w:type="dxa" w:w="4824"/>
          </w:tcPr>
          <w:p>
            <w:r/>
            <w:r>
              <w:rPr>
                <w:rFonts w:ascii="Calibri" w:hAnsi="Calibri"/>
                <w:b/>
                <w:color w:val="03304C"/>
                <w:sz w:val="19"/>
              </w:rPr>
              <w:t>Effective date</w:t>
            </w:r>
          </w:p>
        </w:tc>
        <w:tc>
          <w:tcPr>
            <w:tcW w:type="dxa" w:w="4824"/>
          </w:tcPr>
          <w:p>
            <w:r/>
            <w:r>
              <w:rPr>
                <w:rFonts w:ascii="Calibri" w:hAnsi="Calibri"/>
                <w:b w:val="0"/>
                <w:sz w:val="19"/>
              </w:rPr>
              <w:t>[Effective date: ___________]</w:t>
            </w:r>
          </w:p>
        </w:tc>
      </w:tr>
      <w:tr>
        <w:tc>
          <w:tcPr>
            <w:tcW w:type="dxa" w:w="4824"/>
          </w:tcPr>
          <w:p>
            <w:r/>
            <w:r>
              <w:rPr>
                <w:rFonts w:ascii="Calibri" w:hAnsi="Calibri"/>
                <w:b/>
                <w:color w:val="03304C"/>
                <w:sz w:val="19"/>
              </w:rPr>
              <w:t>Review cycle</w:t>
            </w:r>
          </w:p>
        </w:tc>
        <w:tc>
          <w:tcPr>
            <w:tcW w:type="dxa" w:w="4824"/>
          </w:tcPr>
          <w:p>
            <w:r/>
            <w:r>
              <w:rPr>
                <w:rFonts w:ascii="Calibri" w:hAnsi="Calibri"/>
                <w:b w:val="0"/>
                <w:sz w:val="19"/>
              </w:rPr>
              <w:t>Annually or on material change</w:t>
            </w:r>
          </w:p>
        </w:tc>
      </w:tr>
      <w:tr>
        <w:tc>
          <w:tcPr>
            <w:tcW w:type="dxa" w:w="4824"/>
          </w:tcPr>
          <w:p>
            <w:r/>
            <w:r>
              <w:rPr>
                <w:rFonts w:ascii="Calibri" w:hAnsi="Calibri"/>
                <w:b/>
                <w:color w:val="03304C"/>
                <w:sz w:val="19"/>
              </w:rPr>
              <w:t>Audience</w:t>
            </w:r>
          </w:p>
        </w:tc>
        <w:tc>
          <w:tcPr>
            <w:tcW w:type="dxa" w:w="4824"/>
          </w:tcPr>
          <w:p>
            <w:r/>
            <w:r>
              <w:rPr>
                <w:rFonts w:ascii="Calibri" w:hAnsi="Calibri"/>
                <w:b w:val="0"/>
                <w:sz w:val="19"/>
              </w:rPr>
              <w:t>Onboarding, Operations, Compliance, Engineering</w:t>
            </w:r>
          </w:p>
        </w:tc>
      </w:tr>
    </w:tbl>
    <w:p>
      <w:pPr>
        <w:pStyle w:val="Heading1"/>
      </w:pPr>
      <w:r>
        <w:t>1.  Purpose and scope</w:t>
      </w:r>
    </w:p>
    <w:p>
      <w:r>
        <w:rPr>
          <w:sz w:val="21"/>
        </w:rPr>
        <w:t>This procedure tells Onboarding, Operations and Compliance staff exactly how to identify and verify Zitch customers, assign the correct KYC tier and transaction limits, escalate problems, and keep records. It implements the Customer Due Diligence requirements of the AML/CFT/CPF Policy for a VTU / bill-payment and wallet platform that delivers regulated functions through licensed partners, and aligns with the CBN tiered-KYC framework and the BVN/NIN regime. It applies to all onboarding channels (the app and WhatsApp).</w:t>
      </w:r>
    </w:p>
    <w:p>
      <w:pPr>
        <w:pStyle w:val="Heading1"/>
      </w:pPr>
      <w:r>
        <w:t>2.  The four KYC tiers</w:t>
      </w:r>
    </w:p>
    <w:p>
      <w:r>
        <w:rPr>
          <w:sz w:val="21"/>
        </w:rPr>
        <w:t>A customer’s tier is derived ON THE SERVER from the verifications they have completed and is re-computed automatically after every verification step (it can never be set by the client). Each tier unlocks the limits below; every money-movement request is checked against them.</w:t>
      </w:r>
    </w:p>
    <w:tbl>
      <w:tblPr>
        <w:tblStyle w:val="TableGrid"/>
        <w:tblW w:type="auto" w:w="0"/>
        <w:jc w:val="center"/>
        <w:tblLook w:firstColumn="1" w:firstRow="1" w:lastColumn="0" w:lastRow="0" w:noHBand="0" w:noVBand="1" w:val="04A0"/>
      </w:tblPr>
      <w:tblGrid>
        <w:gridCol w:w="2160"/>
        <w:gridCol w:w="3456"/>
        <w:gridCol w:w="1440"/>
        <w:gridCol w:w="1512"/>
        <w:gridCol w:w="1512"/>
      </w:tblGrid>
      <w:tr>
        <w:tc>
          <w:tcPr>
            <w:tcW w:type="dxa" w:w="1930"/>
            <w:shd w:val="clear" w:color="auto" w:fill="03304C"/>
          </w:tcPr>
          <w:p>
            <w:r/>
            <w:r>
              <w:rPr>
                <w:rFonts w:ascii="Calibri" w:hAnsi="Calibri"/>
                <w:b/>
                <w:color w:val="FFFFFF"/>
                <w:sz w:val="20"/>
              </w:rPr>
              <w:t>Tier</w:t>
            </w:r>
          </w:p>
        </w:tc>
        <w:tc>
          <w:tcPr>
            <w:tcW w:type="dxa" w:w="1930"/>
            <w:shd w:val="clear" w:color="auto" w:fill="03304C"/>
          </w:tcPr>
          <w:p>
            <w:r/>
            <w:r>
              <w:rPr>
                <w:rFonts w:ascii="Calibri" w:hAnsi="Calibri"/>
                <w:b/>
                <w:color w:val="FFFFFF"/>
                <w:sz w:val="20"/>
              </w:rPr>
              <w:t>Requirements (cumulative)</w:t>
            </w:r>
          </w:p>
        </w:tc>
        <w:tc>
          <w:tcPr>
            <w:tcW w:type="dxa" w:w="1930"/>
            <w:shd w:val="clear" w:color="auto" w:fill="03304C"/>
          </w:tcPr>
          <w:p>
            <w:r/>
            <w:r>
              <w:rPr>
                <w:rFonts w:ascii="Calibri" w:hAnsi="Calibri"/>
                <w:b/>
                <w:color w:val="FFFFFF"/>
                <w:sz w:val="20"/>
              </w:rPr>
              <w:t>Per-transaction</w:t>
            </w:r>
          </w:p>
        </w:tc>
        <w:tc>
          <w:tcPr>
            <w:tcW w:type="dxa" w:w="1930"/>
            <w:shd w:val="clear" w:color="auto" w:fill="03304C"/>
          </w:tcPr>
          <w:p>
            <w:r/>
            <w:r>
              <w:rPr>
                <w:rFonts w:ascii="Calibri" w:hAnsi="Calibri"/>
                <w:b/>
                <w:color w:val="FFFFFF"/>
                <w:sz w:val="20"/>
              </w:rPr>
              <w:t>Daily transfer</w:t>
            </w:r>
          </w:p>
        </w:tc>
        <w:tc>
          <w:tcPr>
            <w:tcW w:type="dxa" w:w="1930"/>
            <w:shd w:val="clear" w:color="auto" w:fill="03304C"/>
          </w:tcPr>
          <w:p>
            <w:r/>
            <w:r>
              <w:rPr>
                <w:rFonts w:ascii="Calibri" w:hAnsi="Calibri"/>
                <w:b/>
                <w:color w:val="FFFFFF"/>
                <w:sz w:val="20"/>
              </w:rPr>
              <w:t>Daily bill / VTU</w:t>
            </w:r>
          </w:p>
        </w:tc>
      </w:tr>
      <w:tr>
        <w:tc>
          <w:tcPr>
            <w:tcW w:type="dxa" w:w="1930"/>
          </w:tcPr>
          <w:p>
            <w:r/>
            <w:r>
              <w:rPr>
                <w:rFonts w:ascii="Calibri" w:hAnsi="Calibri"/>
                <w:b w:val="0"/>
                <w:sz w:val="19"/>
              </w:rPr>
              <w:t>Tier 0 — Unverified</w:t>
            </w:r>
          </w:p>
        </w:tc>
        <w:tc>
          <w:tcPr>
            <w:tcW w:type="dxa" w:w="1930"/>
          </w:tcPr>
          <w:p>
            <w:r/>
            <w:r>
              <w:rPr>
                <w:rFonts w:ascii="Calibri" w:hAnsi="Calibri"/>
                <w:b w:val="0"/>
                <w:sz w:val="19"/>
              </w:rPr>
              <w:t>Email + phone (verified at sign-up)</w:t>
            </w:r>
          </w:p>
        </w:tc>
        <w:tc>
          <w:tcPr>
            <w:tcW w:type="dxa" w:w="1930"/>
          </w:tcPr>
          <w:p>
            <w:r/>
            <w:r>
              <w:rPr>
                <w:rFonts w:ascii="Calibri" w:hAnsi="Calibri"/>
                <w:b w:val="0"/>
                <w:sz w:val="19"/>
              </w:rPr>
              <w:t>₦20,000</w:t>
            </w:r>
          </w:p>
        </w:tc>
        <w:tc>
          <w:tcPr>
            <w:tcW w:type="dxa" w:w="1930"/>
          </w:tcPr>
          <w:p>
            <w:r/>
            <w:r>
              <w:rPr>
                <w:rFonts w:ascii="Calibri" w:hAnsi="Calibri"/>
                <w:b w:val="0"/>
                <w:sz w:val="19"/>
              </w:rPr>
              <w:t>₦20,000</w:t>
            </w:r>
          </w:p>
        </w:tc>
        <w:tc>
          <w:tcPr>
            <w:tcW w:type="dxa" w:w="1930"/>
          </w:tcPr>
          <w:p>
            <w:r/>
            <w:r>
              <w:rPr>
                <w:rFonts w:ascii="Calibri" w:hAnsi="Calibri"/>
                <w:b w:val="0"/>
                <w:sz w:val="19"/>
              </w:rPr>
              <w:t>₦10,000</w:t>
            </w:r>
          </w:p>
        </w:tc>
      </w:tr>
      <w:tr>
        <w:tc>
          <w:tcPr>
            <w:tcW w:type="dxa" w:w="1930"/>
          </w:tcPr>
          <w:p>
            <w:r/>
            <w:r>
              <w:rPr>
                <w:rFonts w:ascii="Calibri" w:hAnsi="Calibri"/>
                <w:b w:val="0"/>
                <w:sz w:val="19"/>
              </w:rPr>
              <w:t>Tier 1 — Verified</w:t>
            </w:r>
          </w:p>
        </w:tc>
        <w:tc>
          <w:tcPr>
            <w:tcW w:type="dxa" w:w="1930"/>
          </w:tcPr>
          <w:p>
            <w:r/>
            <w:r>
              <w:rPr>
                <w:rFonts w:ascii="Calibri" w:hAnsi="Calibri"/>
                <w:b w:val="0"/>
                <w:sz w:val="19"/>
              </w:rPr>
              <w:t>+ BVN verified AND NIN verified</w:t>
            </w:r>
          </w:p>
        </w:tc>
        <w:tc>
          <w:tcPr>
            <w:tcW w:type="dxa" w:w="1930"/>
          </w:tcPr>
          <w:p>
            <w:r/>
            <w:r>
              <w:rPr>
                <w:rFonts w:ascii="Calibri" w:hAnsi="Calibri"/>
                <w:b w:val="0"/>
                <w:sz w:val="19"/>
              </w:rPr>
              <w:t>₦50,000</w:t>
            </w:r>
          </w:p>
        </w:tc>
        <w:tc>
          <w:tcPr>
            <w:tcW w:type="dxa" w:w="1930"/>
          </w:tcPr>
          <w:p>
            <w:r/>
            <w:r>
              <w:rPr>
                <w:rFonts w:ascii="Calibri" w:hAnsi="Calibri"/>
                <w:b w:val="0"/>
                <w:sz w:val="19"/>
              </w:rPr>
              <w:t>₦50,000</w:t>
            </w:r>
          </w:p>
        </w:tc>
        <w:tc>
          <w:tcPr>
            <w:tcW w:type="dxa" w:w="1930"/>
          </w:tcPr>
          <w:p>
            <w:r/>
            <w:r>
              <w:rPr>
                <w:rFonts w:ascii="Calibri" w:hAnsi="Calibri"/>
                <w:b w:val="0"/>
                <w:sz w:val="19"/>
              </w:rPr>
              <w:t>₦20,000</w:t>
            </w:r>
          </w:p>
        </w:tc>
      </w:tr>
      <w:tr>
        <w:tc>
          <w:tcPr>
            <w:tcW w:type="dxa" w:w="1930"/>
          </w:tcPr>
          <w:p>
            <w:r/>
            <w:r>
              <w:rPr>
                <w:rFonts w:ascii="Calibri" w:hAnsi="Calibri"/>
                <w:b w:val="0"/>
                <w:sz w:val="19"/>
              </w:rPr>
              <w:t>Tier 2 — Enhanced</w:t>
            </w:r>
          </w:p>
        </w:tc>
        <w:tc>
          <w:tcPr>
            <w:tcW w:type="dxa" w:w="1930"/>
          </w:tcPr>
          <w:p>
            <w:r/>
            <w:r>
              <w:rPr>
                <w:rFonts w:ascii="Calibri" w:hAnsi="Calibri"/>
                <w:b w:val="0"/>
                <w:sz w:val="19"/>
              </w:rPr>
              <w:t>+ Facial (liveness) AND residential address verified</w:t>
            </w:r>
          </w:p>
        </w:tc>
        <w:tc>
          <w:tcPr>
            <w:tcW w:type="dxa" w:w="1930"/>
          </w:tcPr>
          <w:p>
            <w:r/>
            <w:r>
              <w:rPr>
                <w:rFonts w:ascii="Calibri" w:hAnsi="Calibri"/>
                <w:b w:val="0"/>
                <w:sz w:val="19"/>
              </w:rPr>
              <w:t>₦200,000</w:t>
            </w:r>
          </w:p>
        </w:tc>
        <w:tc>
          <w:tcPr>
            <w:tcW w:type="dxa" w:w="1930"/>
          </w:tcPr>
          <w:p>
            <w:r/>
            <w:r>
              <w:rPr>
                <w:rFonts w:ascii="Calibri" w:hAnsi="Calibri"/>
                <w:b w:val="0"/>
                <w:sz w:val="19"/>
              </w:rPr>
              <w:t>₦1,000,000</w:t>
            </w:r>
          </w:p>
        </w:tc>
        <w:tc>
          <w:tcPr>
            <w:tcW w:type="dxa" w:w="1930"/>
          </w:tcPr>
          <w:p>
            <w:r/>
            <w:r>
              <w:rPr>
                <w:rFonts w:ascii="Calibri" w:hAnsi="Calibri"/>
                <w:b w:val="0"/>
                <w:sz w:val="19"/>
              </w:rPr>
              <w:t>₦100,000</w:t>
            </w:r>
          </w:p>
        </w:tc>
      </w:tr>
      <w:tr>
        <w:tc>
          <w:tcPr>
            <w:tcW w:type="dxa" w:w="1930"/>
          </w:tcPr>
          <w:p>
            <w:r/>
            <w:r>
              <w:rPr>
                <w:rFonts w:ascii="Calibri" w:hAnsi="Calibri"/>
                <w:b w:val="0"/>
                <w:sz w:val="19"/>
              </w:rPr>
              <w:t>Tier 3 — Premium</w:t>
            </w:r>
          </w:p>
        </w:tc>
        <w:tc>
          <w:tcPr>
            <w:tcW w:type="dxa" w:w="1930"/>
          </w:tcPr>
          <w:p>
            <w:r/>
            <w:r>
              <w:rPr>
                <w:rFonts w:ascii="Calibri" w:hAnsi="Calibri"/>
                <w:b w:val="0"/>
                <w:sz w:val="19"/>
              </w:rPr>
              <w:t>+ Government-issued ID document verified</w:t>
            </w:r>
          </w:p>
        </w:tc>
        <w:tc>
          <w:tcPr>
            <w:tcW w:type="dxa" w:w="1930"/>
          </w:tcPr>
          <w:p>
            <w:r/>
            <w:r>
              <w:rPr>
                <w:rFonts w:ascii="Calibri" w:hAnsi="Calibri"/>
                <w:b w:val="0"/>
                <w:sz w:val="19"/>
              </w:rPr>
              <w:t>₦5,000,000</w:t>
            </w:r>
          </w:p>
        </w:tc>
        <w:tc>
          <w:tcPr>
            <w:tcW w:type="dxa" w:w="1930"/>
          </w:tcPr>
          <w:p>
            <w:r/>
            <w:r>
              <w:rPr>
                <w:rFonts w:ascii="Calibri" w:hAnsi="Calibri"/>
                <w:b w:val="0"/>
                <w:sz w:val="19"/>
              </w:rPr>
              <w:t>₦5,000,000</w:t>
            </w:r>
          </w:p>
        </w:tc>
        <w:tc>
          <w:tcPr>
            <w:tcW w:type="dxa" w:w="1930"/>
          </w:tcPr>
          <w:p>
            <w:r/>
            <w:r>
              <w:rPr>
                <w:rFonts w:ascii="Calibri" w:hAnsi="Calibri"/>
                <w:b w:val="0"/>
                <w:sz w:val="19"/>
              </w:rPr>
              <w:t>₦500,000</w:t>
            </w:r>
          </w:p>
        </w:tc>
      </w:tr>
    </w:tbl>
    <w:p/>
    <w:p>
      <w:r>
        <w:rPr>
          <w:sz w:val="21"/>
        </w:rPr>
        <w:t>Additional rule (step-up): any single transaction at or above ₦100,000 requires a verified facial check — which is a Tier 2 requirement — so Tier 0 and Tier 1 customers cannot move ₦100,000 or more in one transaction. Limits are configuration values and may be tuned by Compliance with Board approval; the requirements per tier are fixed by this procedure.</w:t>
      </w:r>
    </w:p>
    <w:p>
      <w:pPr>
        <w:pStyle w:val="Heading1"/>
      </w:pPr>
      <w:r>
        <w:t>3.  Verification steps — how each check is performed</w:t>
      </w:r>
    </w:p>
    <w:p>
      <w:pPr>
        <w:pStyle w:val="Heading2"/>
      </w:pPr>
      <w:r>
        <w:t>3.1  Email and phone (Tier 0)</w:t>
      </w:r>
    </w:p>
    <w:p>
      <w:pPr>
        <w:pStyle w:val="ListBullet"/>
      </w:pPr>
      <w:r>
        <w:rPr>
          <w:sz w:val="21"/>
        </w:rPr>
        <w:t>Captured at sign-up; phone is verified by a one-time passcode (OTP). The account starts at Tier 0.</w:t>
      </w:r>
    </w:p>
    <w:p>
      <w:pPr>
        <w:pStyle w:val="ListBullet"/>
      </w:pPr>
      <w:r>
        <w:rPr>
          <w:sz w:val="21"/>
        </w:rPr>
        <w:t>WhatsApp-onboarded accounts (name + PIN only) are also Tier 0 until they verify identity in the app.</w:t>
      </w:r>
    </w:p>
    <w:p>
      <w:pPr>
        <w:pStyle w:val="Heading2"/>
      </w:pPr>
      <w:r>
        <w:t>3.2  BVN and NIN (Tier 1)</w:t>
      </w:r>
    </w:p>
    <w:p>
      <w:pPr>
        <w:pStyle w:val="ListNumber"/>
      </w:pPr>
      <w:r>
        <w:rPr>
          <w:sz w:val="21"/>
        </w:rPr>
        <w:t>Customer enters their 11-digit BVN; Zitch data-matches it with the licensed identity partner and sends a one-time code (SMS + email) the customer must confirm to prove ownership.</w:t>
      </w:r>
    </w:p>
    <w:p>
      <w:pPr>
        <w:pStyle w:val="ListNumber"/>
      </w:pPr>
      <w:r>
        <w:rPr>
          <w:sz w:val="21"/>
        </w:rPr>
        <w:t>Customer enters their 11-digit NIN (and, where prompted, uploads the NIN slip); Zitch verifies it with the partner.</w:t>
      </w:r>
    </w:p>
    <w:p>
      <w:pPr>
        <w:pStyle w:val="ListNumber"/>
      </w:pPr>
      <w:r>
        <w:rPr>
          <w:sz w:val="21"/>
        </w:rPr>
        <w:t>Only a keyed HMAC hash + the last four digits of the BVN/NIN are stored — never the raw number. When BOTH are verified the customer becomes Tier 1, and a dedicated funding (virtual) account is provisioned.</w:t>
      </w:r>
    </w:p>
    <w:p>
      <w:pPr>
        <w:pStyle w:val="ListNumber"/>
      </w:pPr>
      <w:r>
        <w:rPr>
          <w:sz w:val="21"/>
        </w:rPr>
        <w:t>If a check fails: show the partner’s reason, allow re-entry, and after repeated failures route to manual Compliance review (Section 6).</w:t>
      </w:r>
    </w:p>
    <w:p>
      <w:pPr>
        <w:pStyle w:val="Heading2"/>
      </w:pPr>
      <w:r>
        <w:t>3.3  Facial (liveness) verification (Tier 2, with address)</w:t>
      </w:r>
    </w:p>
    <w:p>
      <w:pPr>
        <w:pStyle w:val="ListBullet"/>
      </w:pPr>
      <w:r>
        <w:rPr>
          <w:sz w:val="21"/>
        </w:rPr>
        <w:t>Customer captures a live selfie (front camera). The image is sent to the KYC provider for liveness / face-match. Device Face ID is NOT accepted — KYC must match a real face.</w:t>
      </w:r>
    </w:p>
    <w:p>
      <w:pPr>
        <w:pStyle w:val="ListBullet"/>
      </w:pPr>
      <w:r>
        <w:rPr>
          <w:sz w:val="21"/>
        </w:rPr>
        <w:t>On a genuine pass the server sets the face-verified flag (never a client claim). The raw selfie is not retained beyond what the provider requires.</w:t>
      </w:r>
    </w:p>
    <w:p>
      <w:pPr>
        <w:pStyle w:val="Heading2"/>
      </w:pPr>
      <w:r>
        <w:t>3.4  Residential address (Tier 2, with face)</w:t>
      </w:r>
    </w:p>
    <w:p>
      <w:pPr>
        <w:pStyle w:val="ListBullet"/>
      </w:pPr>
      <w:r>
        <w:rPr>
          <w:sz w:val="21"/>
        </w:rPr>
        <w:t>Customer enters their residential address (street, city/LGA, state) and, where required, a proof-of-address document.</w:t>
      </w:r>
    </w:p>
    <w:p>
      <w:pPr>
        <w:pStyle w:val="ListBullet"/>
      </w:pPr>
      <w:r>
        <w:rPr>
          <w:sz w:val="21"/>
        </w:rPr>
        <w:t>Address is verified with the provider (or queued for manual review). On success the address is recorded and the address-verified flag is set. When BOTH face and address are verified (on top of Tier 1) the customer becomes Tier 2.</w:t>
      </w:r>
    </w:p>
    <w:p>
      <w:pPr>
        <w:pStyle w:val="Heading2"/>
      </w:pPr>
      <w:r>
        <w:t>3.5  Government-issued ID document (Tier 3)</w:t>
      </w:r>
    </w:p>
    <w:p>
      <w:pPr>
        <w:pStyle w:val="ListBullet"/>
      </w:pPr>
      <w:r>
        <w:rPr>
          <w:sz w:val="21"/>
        </w:rPr>
        <w:t>Customer uploads a clear photo of a government ID — international passport, driver’s licence, voter’s card or NIN slip.</w:t>
      </w:r>
    </w:p>
    <w:p>
      <w:pPr>
        <w:pStyle w:val="ListBullet"/>
      </w:pPr>
      <w:r>
        <w:rPr>
          <w:sz w:val="21"/>
        </w:rPr>
        <w:t>The document is verified (OCR + checks) with the provider. Only the verified flag and the document type are retained — never the raw image. On success the customer becomes Tier 3.</w:t>
      </w:r>
    </w:p>
    <w:p>
      <w:pPr>
        <w:pStyle w:val="Heading1"/>
      </w:pPr>
      <w:r>
        <w:t>4.  Onboarding workflow (step by step)</w:t>
      </w:r>
    </w:p>
    <w:p>
      <w:pPr>
        <w:pStyle w:val="ListNumber"/>
      </w:pPr>
      <w:r>
        <w:rPr>
          <w:sz w:val="21"/>
        </w:rPr>
        <w:t>Customer registers (email + phone, OTP) and sets a transaction PIN → Tier 0.</w:t>
      </w:r>
    </w:p>
    <w:p>
      <w:pPr>
        <w:pStyle w:val="ListNumber"/>
      </w:pPr>
      <w:r>
        <w:rPr>
          <w:sz w:val="21"/>
        </w:rPr>
        <w:t>Prompt for BVN (with ownership OTP) and NIN → on both, Tier 1 + dedicated account.</w:t>
      </w:r>
    </w:p>
    <w:p>
      <w:pPr>
        <w:pStyle w:val="ListNumber"/>
      </w:pPr>
      <w:r>
        <w:rPr>
          <w:sz w:val="21"/>
        </w:rPr>
        <w:t>Offer the Tier 2 upgrade: selfie (liveness) + residential address → Tier 2.</w:t>
      </w:r>
    </w:p>
    <w:p>
      <w:pPr>
        <w:pStyle w:val="ListNumber"/>
      </w:pPr>
      <w:r>
        <w:rPr>
          <w:sz w:val="21"/>
        </w:rPr>
        <w:t>Offer the Tier 3 upgrade: government ID document → Tier 3.</w:t>
      </w:r>
    </w:p>
    <w:p>
      <w:pPr>
        <w:pStyle w:val="ListNumber"/>
      </w:pPr>
      <w:r>
        <w:rPr>
          <w:sz w:val="21"/>
        </w:rPr>
        <w:t>Screen the customer against sanctions / PEP lists at onboarding and on list updates (Section 5).</w:t>
      </w:r>
    </w:p>
    <w:p>
      <w:pPr>
        <w:pStyle w:val="ListNumber"/>
      </w:pPr>
      <w:r>
        <w:rPr>
          <w:sz w:val="21"/>
        </w:rPr>
        <w:t>Risk-rate the customer (low / medium / high) and record the KYC file. Apply EDD where indicated.</w:t>
      </w:r>
    </w:p>
    <w:p>
      <w:pPr>
        <w:pStyle w:val="ListNumber"/>
      </w:pPr>
      <w:r>
        <w:rPr>
          <w:sz w:val="21"/>
        </w:rPr>
        <w:t>Record each verification result, timestamp and provider reference in the customer’s KYC file.</w:t>
      </w:r>
    </w:p>
    <w:p>
      <w:pPr>
        <w:pStyle w:val="Heading1"/>
      </w:pPr>
      <w:r>
        <w:t>5.  Screening, PEPs and enhanced due diligence</w:t>
      </w:r>
    </w:p>
    <w:p>
      <w:pPr>
        <w:pStyle w:val="ListBullet"/>
      </w:pPr>
      <w:r>
        <w:rPr>
          <w:sz w:val="21"/>
        </w:rPr>
        <w:t>Screen every customer against applicable sanctions and terrorism lists at onboarding, on list updates, and before/while processing; a confirmed match is frozen and escalated to the MLRO — do not proceed.</w:t>
      </w:r>
    </w:p>
    <w:p>
      <w:pPr>
        <w:pStyle w:val="ListBullet"/>
      </w:pPr>
      <w:r>
        <w:rPr>
          <w:sz w:val="21"/>
        </w:rPr>
        <w:t>Screen for PEP status; a positive match triggers EDD: MLRO/senior approval, source-of-funds enquiry, tighter limits and enhanced ongoing monitoring.</w:t>
      </w:r>
    </w:p>
    <w:p>
      <w:pPr>
        <w:pStyle w:val="ListBullet"/>
      </w:pPr>
      <w:r>
        <w:rPr>
          <w:sz w:val="21"/>
        </w:rPr>
        <w:t>Apply EDD to higher-risk customers (PEPs, higher-risk geographies, unusual activity). EDD requires additional information and senior approval to onboard or continue.</w:t>
      </w:r>
    </w:p>
    <w:p>
      <w:pPr>
        <w:pStyle w:val="ListBullet"/>
      </w:pPr>
      <w:r>
        <w:rPr>
          <w:sz w:val="21"/>
        </w:rPr>
        <w:t>Anonymous, fictitious-name, or unverifiable customers must be refused; never open or maintain such accounts.</w:t>
      </w:r>
    </w:p>
    <w:p>
      <w:pPr>
        <w:pStyle w:val="Heading1"/>
      </w:pPr>
      <w:r>
        <w:t>6.  Failures, manual review and exceptions</w:t>
      </w:r>
    </w:p>
    <w:p>
      <w:pPr>
        <w:pStyle w:val="ListBullet"/>
      </w:pPr>
      <w:r>
        <w:rPr>
          <w:sz w:val="21"/>
        </w:rPr>
        <w:t>A failed automated check: surface the reason, allow correction, and after repeated failures route to manual Compliance review with the captured evidence.</w:t>
      </w:r>
    </w:p>
    <w:p>
      <w:pPr>
        <w:pStyle w:val="ListBullet"/>
      </w:pPr>
      <w:r>
        <w:rPr>
          <w:sz w:val="21"/>
        </w:rPr>
        <w:t>Manual review is performed via the operator portal’s KYC queue; an authorised officer (with the ‘users’ capability) approves or rejects, and the action is written to the audit log.</w:t>
      </w:r>
    </w:p>
    <w:p>
      <w:pPr>
        <w:pStyle w:val="ListBullet"/>
      </w:pPr>
      <w:r>
        <w:rPr>
          <w:sz w:val="21"/>
        </w:rPr>
        <w:t>Never override a verification result informally. Any tier or limit exception requires MLRO approval and an audit-logged reason.</w:t>
      </w:r>
    </w:p>
    <w:p>
      <w:pPr>
        <w:pStyle w:val="Heading1"/>
      </w:pPr>
      <w:r>
        <w:t>7.  Ongoing due diligence and re-verification</w:t>
      </w:r>
    </w:p>
    <w:p>
      <w:pPr>
        <w:pStyle w:val="ListBullet"/>
      </w:pPr>
      <w:r>
        <w:rPr>
          <w:sz w:val="21"/>
        </w:rPr>
        <w:t>Keep KYC information current; refresh on a risk-based cycle and on trigger events (limit change, screening hit, anomalous activity, document expiry).</w:t>
      </w:r>
    </w:p>
    <w:p>
      <w:pPr>
        <w:pStyle w:val="ListBullet"/>
      </w:pPr>
      <w:r>
        <w:rPr>
          <w:sz w:val="21"/>
        </w:rPr>
        <w:t>Re-verify on reasonable doubt about a previously obtained identity, and on a material change to the customer’s profile.</w:t>
      </w:r>
    </w:p>
    <w:p>
      <w:pPr>
        <w:pStyle w:val="ListBullet"/>
      </w:pPr>
      <w:r>
        <w:rPr>
          <w:sz w:val="21"/>
        </w:rPr>
        <w:t>Periodically re-screen the customer base against updated sanctions/PEP lists.</w:t>
      </w:r>
    </w:p>
    <w:p>
      <w:pPr>
        <w:pStyle w:val="Heading1"/>
      </w:pPr>
      <w:r>
        <w:t>8.  Records, data protection and retention</w:t>
      </w:r>
    </w:p>
    <w:p>
      <w:pPr>
        <w:pStyle w:val="ListBullet"/>
      </w:pPr>
      <w:r>
        <w:rPr>
          <w:sz w:val="21"/>
        </w:rPr>
        <w:t>Retain KYC records (identifiers’ hashes, verification results, provider references, documents’ metadata) for at least five (5) years after the relationship ends.</w:t>
      </w:r>
    </w:p>
    <w:p>
      <w:pPr>
        <w:pStyle w:val="ListBullet"/>
      </w:pPr>
      <w:r>
        <w:rPr>
          <w:sz w:val="21"/>
        </w:rPr>
        <w:t>Store sensitive identifiers (BVN/NIN) only as keyed hashes + last 4; do not retain raw ID document images beyond provider requirements.</w:t>
      </w:r>
    </w:p>
    <w:p>
      <w:pPr>
        <w:pStyle w:val="ListBullet"/>
      </w:pPr>
      <w:r>
        <w:rPr>
          <w:sz w:val="21"/>
        </w:rPr>
        <w:t>Process all personal data lawfully, minimally and securely under the NDPA 2023; restrict access on a need-to-know basis.</w:t>
      </w:r>
    </w:p>
    <w:p>
      <w:pPr>
        <w:pStyle w:val="Heading1"/>
      </w:pPr>
      <w:r>
        <w:t>9.  Roles and RACI</w:t>
      </w:r>
    </w:p>
    <w:tbl>
      <w:tblPr>
        <w:tblStyle w:val="TableGrid"/>
        <w:tblW w:type="auto" w:w="0"/>
        <w:jc w:val="center"/>
        <w:tblLook w:firstColumn="1" w:firstRow="1" w:lastColumn="0" w:lastRow="0" w:noHBand="0" w:noVBand="1" w:val="04A0"/>
      </w:tblPr>
      <w:tblGrid>
        <w:gridCol w:w="3024"/>
        <w:gridCol w:w="2160"/>
        <w:gridCol w:w="2304"/>
        <w:gridCol w:w="2016"/>
      </w:tblGrid>
      <w:tr>
        <w:tc>
          <w:tcPr>
            <w:tcW w:type="dxa" w:w="2412"/>
            <w:shd w:val="clear" w:color="auto" w:fill="03304C"/>
          </w:tcPr>
          <w:p>
            <w:r/>
            <w:r>
              <w:rPr>
                <w:rFonts w:ascii="Calibri" w:hAnsi="Calibri"/>
                <w:b/>
                <w:color w:val="FFFFFF"/>
                <w:sz w:val="20"/>
              </w:rPr>
              <w:t>Step</w:t>
            </w:r>
          </w:p>
        </w:tc>
        <w:tc>
          <w:tcPr>
            <w:tcW w:type="dxa" w:w="2412"/>
            <w:shd w:val="clear" w:color="auto" w:fill="03304C"/>
          </w:tcPr>
          <w:p>
            <w:r/>
            <w:r>
              <w:rPr>
                <w:rFonts w:ascii="Calibri" w:hAnsi="Calibri"/>
                <w:b/>
                <w:color w:val="FFFFFF"/>
                <w:sz w:val="20"/>
              </w:rPr>
              <w:t>Onboarding/Ops</w:t>
            </w:r>
          </w:p>
        </w:tc>
        <w:tc>
          <w:tcPr>
            <w:tcW w:type="dxa" w:w="2412"/>
            <w:shd w:val="clear" w:color="auto" w:fill="03304C"/>
          </w:tcPr>
          <w:p>
            <w:r/>
            <w:r>
              <w:rPr>
                <w:rFonts w:ascii="Calibri" w:hAnsi="Calibri"/>
                <w:b/>
                <w:color w:val="FFFFFF"/>
                <w:sz w:val="20"/>
              </w:rPr>
              <w:t>Compliance / MLRO</w:t>
            </w:r>
          </w:p>
        </w:tc>
        <w:tc>
          <w:tcPr>
            <w:tcW w:type="dxa" w:w="2412"/>
            <w:shd w:val="clear" w:color="auto" w:fill="03304C"/>
          </w:tcPr>
          <w:p>
            <w:r/>
            <w:r>
              <w:rPr>
                <w:rFonts w:ascii="Calibri" w:hAnsi="Calibri"/>
                <w:b/>
                <w:color w:val="FFFFFF"/>
                <w:sz w:val="20"/>
              </w:rPr>
              <w:t>Engineering</w:t>
            </w:r>
          </w:p>
        </w:tc>
      </w:tr>
      <w:tr>
        <w:tc>
          <w:tcPr>
            <w:tcW w:type="dxa" w:w="2412"/>
          </w:tcPr>
          <w:p>
            <w:r/>
            <w:r>
              <w:rPr>
                <w:rFonts w:ascii="Calibri" w:hAnsi="Calibri"/>
                <w:b w:val="0"/>
                <w:sz w:val="19"/>
              </w:rPr>
              <w:t>Collect &amp; submit CDD</w:t>
            </w:r>
          </w:p>
        </w:tc>
        <w:tc>
          <w:tcPr>
            <w:tcW w:type="dxa" w:w="2412"/>
          </w:tcPr>
          <w:p>
            <w:r/>
            <w:r>
              <w:rPr>
                <w:rFonts w:ascii="Calibri" w:hAnsi="Calibri"/>
                <w:b w:val="0"/>
                <w:sz w:val="19"/>
              </w:rPr>
              <w:t>Responsible</w:t>
            </w:r>
          </w:p>
        </w:tc>
        <w:tc>
          <w:tcPr>
            <w:tcW w:type="dxa" w:w="2412"/>
          </w:tcPr>
          <w:p>
            <w:r/>
            <w:r>
              <w:rPr>
                <w:rFonts w:ascii="Calibri" w:hAnsi="Calibri"/>
                <w:b w:val="0"/>
                <w:sz w:val="19"/>
              </w:rPr>
              <w:t>Accountable</w:t>
            </w:r>
          </w:p>
        </w:tc>
        <w:tc>
          <w:tcPr>
            <w:tcW w:type="dxa" w:w="2412"/>
          </w:tcPr>
          <w:p>
            <w:r/>
            <w:r>
              <w:rPr>
                <w:rFonts w:ascii="Calibri" w:hAnsi="Calibri"/>
                <w:b w:val="0"/>
                <w:sz w:val="19"/>
              </w:rPr>
              <w:t>Supports (integrations)</w:t>
            </w:r>
          </w:p>
        </w:tc>
      </w:tr>
      <w:tr>
        <w:tc>
          <w:tcPr>
            <w:tcW w:type="dxa" w:w="2412"/>
          </w:tcPr>
          <w:p>
            <w:r/>
            <w:r>
              <w:rPr>
                <w:rFonts w:ascii="Calibri" w:hAnsi="Calibri"/>
                <w:b w:val="0"/>
                <w:sz w:val="19"/>
              </w:rPr>
              <w:t>Automated verification</w:t>
            </w:r>
          </w:p>
        </w:tc>
        <w:tc>
          <w:tcPr>
            <w:tcW w:type="dxa" w:w="2412"/>
          </w:tcPr>
          <w:p>
            <w:r/>
            <w:r>
              <w:rPr>
                <w:rFonts w:ascii="Calibri" w:hAnsi="Calibri"/>
                <w:b w:val="0"/>
                <w:sz w:val="19"/>
              </w:rPr>
              <w:t>—</w:t>
            </w:r>
          </w:p>
        </w:tc>
        <w:tc>
          <w:tcPr>
            <w:tcW w:type="dxa" w:w="2412"/>
          </w:tcPr>
          <w:p>
            <w:r/>
            <w:r>
              <w:rPr>
                <w:rFonts w:ascii="Calibri" w:hAnsi="Calibri"/>
                <w:b w:val="0"/>
                <w:sz w:val="19"/>
              </w:rPr>
              <w:t>Accountable</w:t>
            </w:r>
          </w:p>
        </w:tc>
        <w:tc>
          <w:tcPr>
            <w:tcW w:type="dxa" w:w="2412"/>
          </w:tcPr>
          <w:p>
            <w:r/>
            <w:r>
              <w:rPr>
                <w:rFonts w:ascii="Calibri" w:hAnsi="Calibri"/>
                <w:b w:val="0"/>
                <w:sz w:val="19"/>
              </w:rPr>
              <w:t>Responsible (provider calls)</w:t>
            </w:r>
          </w:p>
        </w:tc>
      </w:tr>
      <w:tr>
        <w:tc>
          <w:tcPr>
            <w:tcW w:type="dxa" w:w="2412"/>
          </w:tcPr>
          <w:p>
            <w:r/>
            <w:r>
              <w:rPr>
                <w:rFonts w:ascii="Calibri" w:hAnsi="Calibri"/>
                <w:b w:val="0"/>
                <w:sz w:val="19"/>
              </w:rPr>
              <w:t>Tier assignment / limits</w:t>
            </w:r>
          </w:p>
        </w:tc>
        <w:tc>
          <w:tcPr>
            <w:tcW w:type="dxa" w:w="2412"/>
          </w:tcPr>
          <w:p>
            <w:r/>
            <w:r>
              <w:rPr>
                <w:rFonts w:ascii="Calibri" w:hAnsi="Calibri"/>
                <w:b w:val="0"/>
                <w:sz w:val="19"/>
              </w:rPr>
              <w:t>—</w:t>
            </w:r>
          </w:p>
        </w:tc>
        <w:tc>
          <w:tcPr>
            <w:tcW w:type="dxa" w:w="2412"/>
          </w:tcPr>
          <w:p>
            <w:r/>
            <w:r>
              <w:rPr>
                <w:rFonts w:ascii="Calibri" w:hAnsi="Calibri"/>
                <w:b w:val="0"/>
                <w:sz w:val="19"/>
              </w:rPr>
              <w:t>Accountable</w:t>
            </w:r>
          </w:p>
        </w:tc>
        <w:tc>
          <w:tcPr>
            <w:tcW w:type="dxa" w:w="2412"/>
          </w:tcPr>
          <w:p>
            <w:r/>
            <w:r>
              <w:rPr>
                <w:rFonts w:ascii="Calibri" w:hAnsi="Calibri"/>
                <w:b w:val="0"/>
                <w:sz w:val="19"/>
              </w:rPr>
              <w:t>Responsible (server logic)</w:t>
            </w:r>
          </w:p>
        </w:tc>
      </w:tr>
      <w:tr>
        <w:tc>
          <w:tcPr>
            <w:tcW w:type="dxa" w:w="2412"/>
          </w:tcPr>
          <w:p>
            <w:r/>
            <w:r>
              <w:rPr>
                <w:rFonts w:ascii="Calibri" w:hAnsi="Calibri"/>
                <w:b w:val="0"/>
                <w:sz w:val="19"/>
              </w:rPr>
              <w:t>Manual review / exceptions</w:t>
            </w:r>
          </w:p>
        </w:tc>
        <w:tc>
          <w:tcPr>
            <w:tcW w:type="dxa" w:w="2412"/>
          </w:tcPr>
          <w:p>
            <w:r/>
            <w:r>
              <w:rPr>
                <w:rFonts w:ascii="Calibri" w:hAnsi="Calibri"/>
                <w:b w:val="0"/>
                <w:sz w:val="19"/>
              </w:rPr>
              <w:t>Consulted</w:t>
            </w:r>
          </w:p>
        </w:tc>
        <w:tc>
          <w:tcPr>
            <w:tcW w:type="dxa" w:w="2412"/>
          </w:tcPr>
          <w:p>
            <w:r/>
            <w:r>
              <w:rPr>
                <w:rFonts w:ascii="Calibri" w:hAnsi="Calibri"/>
                <w:b w:val="0"/>
                <w:sz w:val="19"/>
              </w:rPr>
              <w:t>Responsible/Accountable</w:t>
            </w:r>
          </w:p>
        </w:tc>
        <w:tc>
          <w:tcPr>
            <w:tcW w:type="dxa" w:w="2412"/>
          </w:tcPr>
          <w:p>
            <w:r/>
            <w:r>
              <w:rPr>
                <w:rFonts w:ascii="Calibri" w:hAnsi="Calibri"/>
                <w:b w:val="0"/>
                <w:sz w:val="19"/>
              </w:rPr>
              <w:t>—</w:t>
            </w:r>
          </w:p>
        </w:tc>
      </w:tr>
      <w:tr>
        <w:tc>
          <w:tcPr>
            <w:tcW w:type="dxa" w:w="2412"/>
          </w:tcPr>
          <w:p>
            <w:r/>
            <w:r>
              <w:rPr>
                <w:rFonts w:ascii="Calibri" w:hAnsi="Calibri"/>
                <w:b w:val="0"/>
                <w:sz w:val="19"/>
              </w:rPr>
              <w:t>Screening &amp; EDD</w:t>
            </w:r>
          </w:p>
        </w:tc>
        <w:tc>
          <w:tcPr>
            <w:tcW w:type="dxa" w:w="2412"/>
          </w:tcPr>
          <w:p>
            <w:r/>
            <w:r>
              <w:rPr>
                <w:rFonts w:ascii="Calibri" w:hAnsi="Calibri"/>
                <w:b w:val="0"/>
                <w:sz w:val="19"/>
              </w:rPr>
              <w:t>Consulted</w:t>
            </w:r>
          </w:p>
        </w:tc>
        <w:tc>
          <w:tcPr>
            <w:tcW w:type="dxa" w:w="2412"/>
          </w:tcPr>
          <w:p>
            <w:r/>
            <w:r>
              <w:rPr>
                <w:rFonts w:ascii="Calibri" w:hAnsi="Calibri"/>
                <w:b w:val="0"/>
                <w:sz w:val="19"/>
              </w:rPr>
              <w:t>Responsible/Accountable</w:t>
            </w:r>
          </w:p>
        </w:tc>
        <w:tc>
          <w:tcPr>
            <w:tcW w:type="dxa" w:w="2412"/>
          </w:tcPr>
          <w:p>
            <w:r/>
            <w:r>
              <w:rPr>
                <w:rFonts w:ascii="Calibri" w:hAnsi="Calibri"/>
                <w:b w:val="0"/>
                <w:sz w:val="19"/>
              </w:rPr>
              <w:t>Supports</w:t>
            </w:r>
          </w:p>
        </w:tc>
      </w:tr>
      <w:tr>
        <w:tc>
          <w:tcPr>
            <w:tcW w:type="dxa" w:w="2412"/>
          </w:tcPr>
          <w:p>
            <w:r/>
            <w:r>
              <w:rPr>
                <w:rFonts w:ascii="Calibri" w:hAnsi="Calibri"/>
                <w:b w:val="0"/>
                <w:sz w:val="19"/>
              </w:rPr>
              <w:t>Records &amp; retention</w:t>
            </w:r>
          </w:p>
        </w:tc>
        <w:tc>
          <w:tcPr>
            <w:tcW w:type="dxa" w:w="2412"/>
          </w:tcPr>
          <w:p>
            <w:r/>
            <w:r>
              <w:rPr>
                <w:rFonts w:ascii="Calibri" w:hAnsi="Calibri"/>
                <w:b w:val="0"/>
                <w:sz w:val="19"/>
              </w:rPr>
              <w:t>Responsible</w:t>
            </w:r>
          </w:p>
        </w:tc>
        <w:tc>
          <w:tcPr>
            <w:tcW w:type="dxa" w:w="2412"/>
          </w:tcPr>
          <w:p>
            <w:r/>
            <w:r>
              <w:rPr>
                <w:rFonts w:ascii="Calibri" w:hAnsi="Calibri"/>
                <w:b w:val="0"/>
                <w:sz w:val="19"/>
              </w:rPr>
              <w:t>Accountable</w:t>
            </w:r>
          </w:p>
        </w:tc>
        <w:tc>
          <w:tcPr>
            <w:tcW w:type="dxa" w:w="2412"/>
          </w:tcPr>
          <w:p>
            <w:r/>
            <w:r>
              <w:rPr>
                <w:rFonts w:ascii="Calibri" w:hAnsi="Calibri"/>
                <w:b w:val="0"/>
                <w:sz w:val="19"/>
              </w:rPr>
              <w:t>Supports (secure storage)</w:t>
            </w:r>
          </w:p>
        </w:tc>
      </w:tr>
    </w:tbl>
    <w:p/>
    <w:p>
      <w:pPr>
        <w:pStyle w:val="Heading1"/>
      </w:pPr>
      <w:r>
        <w:t>10.  API reference (engineering)</w:t>
      </w:r>
    </w:p>
    <w:tbl>
      <w:tblPr>
        <w:tblStyle w:val="TableGrid"/>
        <w:tblW w:type="auto" w:w="0"/>
        <w:jc w:val="center"/>
        <w:tblLook w:firstColumn="1" w:firstRow="1" w:lastColumn="0" w:lastRow="0" w:noHBand="0" w:noVBand="1" w:val="04A0"/>
      </w:tblPr>
      <w:tblGrid>
        <w:gridCol w:w="3600"/>
        <w:gridCol w:w="5904"/>
      </w:tblGrid>
      <w:tr>
        <w:tc>
          <w:tcPr>
            <w:tcW w:type="dxa" w:w="4824"/>
            <w:shd w:val="clear" w:color="auto" w:fill="03304C"/>
          </w:tcPr>
          <w:p>
            <w:r/>
            <w:r>
              <w:rPr>
                <w:rFonts w:ascii="Calibri" w:hAnsi="Calibri"/>
                <w:b/>
                <w:color w:val="FFFFFF"/>
                <w:sz w:val="20"/>
              </w:rPr>
              <w:t>Endpoint</w:t>
            </w:r>
          </w:p>
        </w:tc>
        <w:tc>
          <w:tcPr>
            <w:tcW w:type="dxa" w:w="4824"/>
            <w:shd w:val="clear" w:color="auto" w:fill="03304C"/>
          </w:tcPr>
          <w:p>
            <w:r/>
            <w:r>
              <w:rPr>
                <w:rFonts w:ascii="Calibri" w:hAnsi="Calibri"/>
                <w:b/>
                <w:color w:val="FFFFFF"/>
                <w:sz w:val="20"/>
              </w:rPr>
              <w:t>Purpose / effect</w:t>
            </w:r>
          </w:p>
        </w:tc>
      </w:tr>
      <w:tr>
        <w:tc>
          <w:tcPr>
            <w:tcW w:type="dxa" w:w="4824"/>
          </w:tcPr>
          <w:p>
            <w:r/>
            <w:r>
              <w:rPr>
                <w:rFonts w:ascii="Calibri" w:hAnsi="Calibri"/>
                <w:b w:val="0"/>
                <w:sz w:val="19"/>
              </w:rPr>
              <w:t>POST /api/kyc/status/</w:t>
            </w:r>
          </w:p>
        </w:tc>
        <w:tc>
          <w:tcPr>
            <w:tcW w:type="dxa" w:w="4824"/>
          </w:tcPr>
          <w:p>
            <w:r/>
            <w:r>
              <w:rPr>
                <w:rFonts w:ascii="Calibri" w:hAnsi="Calibri"/>
                <w:b w:val="0"/>
                <w:sz w:val="19"/>
              </w:rPr>
              <w:t>Returns the tier, tier name, limits and verification flags.</w:t>
            </w:r>
          </w:p>
        </w:tc>
      </w:tr>
      <w:tr>
        <w:tc>
          <w:tcPr>
            <w:tcW w:type="dxa" w:w="4824"/>
          </w:tcPr>
          <w:p>
            <w:r/>
            <w:r>
              <w:rPr>
                <w:rFonts w:ascii="Calibri" w:hAnsi="Calibri"/>
                <w:b w:val="0"/>
                <w:sz w:val="19"/>
              </w:rPr>
              <w:t>POST /api/kyc/bvn/start/ · /confirm/</w:t>
            </w:r>
          </w:p>
        </w:tc>
        <w:tc>
          <w:tcPr>
            <w:tcW w:type="dxa" w:w="4824"/>
          </w:tcPr>
          <w:p>
            <w:r/>
            <w:r>
              <w:rPr>
                <w:rFonts w:ascii="Calibri" w:hAnsi="Calibri"/>
                <w:b w:val="0"/>
                <w:sz w:val="19"/>
              </w:rPr>
              <w:t>BVN data-match → ownership OTP → confirm (sets bvn_verified).</w:t>
            </w:r>
          </w:p>
        </w:tc>
      </w:tr>
      <w:tr>
        <w:tc>
          <w:tcPr>
            <w:tcW w:type="dxa" w:w="4824"/>
          </w:tcPr>
          <w:p>
            <w:r/>
            <w:r>
              <w:rPr>
                <w:rFonts w:ascii="Calibri" w:hAnsi="Calibri"/>
                <w:b w:val="0"/>
                <w:sz w:val="19"/>
              </w:rPr>
              <w:t>POST /api/kyc/nin/</w:t>
            </w:r>
          </w:p>
        </w:tc>
        <w:tc>
          <w:tcPr>
            <w:tcW w:type="dxa" w:w="4824"/>
          </w:tcPr>
          <w:p>
            <w:r/>
            <w:r>
              <w:rPr>
                <w:rFonts w:ascii="Calibri" w:hAnsi="Calibri"/>
                <w:b w:val="0"/>
                <w:sz w:val="19"/>
              </w:rPr>
              <w:t>Verify NIN (+ optional slip) — sets nin_verified. BVN+NIN ⇒ Tier 1.</w:t>
            </w:r>
          </w:p>
        </w:tc>
      </w:tr>
      <w:tr>
        <w:tc>
          <w:tcPr>
            <w:tcW w:type="dxa" w:w="4824"/>
          </w:tcPr>
          <w:p>
            <w:r/>
            <w:r>
              <w:rPr>
                <w:rFonts w:ascii="Calibri" w:hAnsi="Calibri"/>
                <w:b w:val="0"/>
                <w:sz w:val="19"/>
              </w:rPr>
              <w:t>POST /api/kyc/face/</w:t>
            </w:r>
          </w:p>
        </w:tc>
        <w:tc>
          <w:tcPr>
            <w:tcW w:type="dxa" w:w="4824"/>
          </w:tcPr>
          <w:p>
            <w:r/>
            <w:r>
              <w:rPr>
                <w:rFonts w:ascii="Calibri" w:hAnsi="Calibri"/>
                <w:b w:val="0"/>
                <w:sz w:val="19"/>
              </w:rPr>
              <w:t>Liveness/selfie — sets face_verified; recomputes tier.</w:t>
            </w:r>
          </w:p>
        </w:tc>
      </w:tr>
      <w:tr>
        <w:tc>
          <w:tcPr>
            <w:tcW w:type="dxa" w:w="4824"/>
          </w:tcPr>
          <w:p>
            <w:r/>
            <w:r>
              <w:rPr>
                <w:rFonts w:ascii="Calibri" w:hAnsi="Calibri"/>
                <w:b w:val="0"/>
                <w:sz w:val="19"/>
              </w:rPr>
              <w:t>POST /api/kyc/address/</w:t>
            </w:r>
          </w:p>
        </w:tc>
        <w:tc>
          <w:tcPr>
            <w:tcW w:type="dxa" w:w="4824"/>
          </w:tcPr>
          <w:p>
            <w:r/>
            <w:r>
              <w:rPr>
                <w:rFonts w:ascii="Calibri" w:hAnsi="Calibri"/>
                <w:b w:val="0"/>
                <w:sz w:val="19"/>
              </w:rPr>
              <w:t>Verify residential address — sets address_verified. Face+address ⇒ Tier 2.</w:t>
            </w:r>
          </w:p>
        </w:tc>
      </w:tr>
      <w:tr>
        <w:tc>
          <w:tcPr>
            <w:tcW w:type="dxa" w:w="4824"/>
          </w:tcPr>
          <w:p>
            <w:r/>
            <w:r>
              <w:rPr>
                <w:rFonts w:ascii="Calibri" w:hAnsi="Calibri"/>
                <w:b w:val="0"/>
                <w:sz w:val="19"/>
              </w:rPr>
              <w:t>POST /api/kyc/id/</w:t>
            </w:r>
          </w:p>
        </w:tc>
        <w:tc>
          <w:tcPr>
            <w:tcW w:type="dxa" w:w="4824"/>
          </w:tcPr>
          <w:p>
            <w:r/>
            <w:r>
              <w:rPr>
                <w:rFonts w:ascii="Calibri" w:hAnsi="Calibri"/>
                <w:b w:val="0"/>
                <w:sz w:val="19"/>
              </w:rPr>
              <w:t>Verify government ID document — sets id_document_verified ⇒ Tier 3.</w:t>
            </w:r>
          </w:p>
        </w:tc>
      </w:tr>
    </w:tbl>
    <w:p/>
    <w:p>
      <w:r>
        <w:rPr>
          <w:sz w:val="21"/>
        </w:rPr>
        <w:t>Every step recomputes the tier on the server from the verification flags (recompute_tier); the client never sets the tier or limits. Until a real KYC provider key is configured the checks run in a clearly-marked mock-accept mode for testing; in production they fail closed.</w:t>
      </w:r>
    </w:p>
    <w:p>
      <w:pPr>
        <w:pStyle w:val="Heading1"/>
      </w:pPr>
      <w:r>
        <w:t>11.  Revision history</w:t>
      </w:r>
    </w:p>
    <w:tbl>
      <w:tblPr>
        <w:tblStyle w:val="TableGrid"/>
        <w:tblW w:type="auto" w:w="0"/>
        <w:jc w:val="center"/>
        <w:tblLook w:firstColumn="1" w:firstRow="1" w:lastColumn="0" w:lastRow="0" w:noHBand="0" w:noVBand="1" w:val="04A0"/>
      </w:tblPr>
      <w:tblGrid>
        <w:gridCol w:w="1296"/>
        <w:gridCol w:w="3168"/>
        <w:gridCol w:w="2592"/>
        <w:gridCol w:w="2448"/>
      </w:tblGrid>
      <w:tr>
        <w:tc>
          <w:tcPr>
            <w:tcW w:type="dxa" w:w="2412"/>
            <w:shd w:val="clear" w:color="auto" w:fill="03304C"/>
          </w:tcPr>
          <w:p>
            <w:r/>
            <w:r>
              <w:rPr>
                <w:rFonts w:ascii="Calibri" w:hAnsi="Calibri"/>
                <w:b/>
                <w:color w:val="FFFFFF"/>
                <w:sz w:val="20"/>
              </w:rPr>
              <w:t>Version</w:t>
            </w:r>
          </w:p>
        </w:tc>
        <w:tc>
          <w:tcPr>
            <w:tcW w:type="dxa" w:w="2412"/>
            <w:shd w:val="clear" w:color="auto" w:fill="03304C"/>
          </w:tcPr>
          <w:p>
            <w:r/>
            <w:r>
              <w:rPr>
                <w:rFonts w:ascii="Calibri" w:hAnsi="Calibri"/>
                <w:b/>
                <w:color w:val="FFFFFF"/>
                <w:sz w:val="20"/>
              </w:rPr>
              <w:t>Date</w:t>
            </w:r>
          </w:p>
        </w:tc>
        <w:tc>
          <w:tcPr>
            <w:tcW w:type="dxa" w:w="2412"/>
            <w:shd w:val="clear" w:color="auto" w:fill="03304C"/>
          </w:tcPr>
          <w:p>
            <w:r/>
            <w:r>
              <w:rPr>
                <w:rFonts w:ascii="Calibri" w:hAnsi="Calibri"/>
                <w:b/>
                <w:color w:val="FFFFFF"/>
                <w:sz w:val="20"/>
              </w:rPr>
              <w:t>Author</w:t>
            </w:r>
          </w:p>
        </w:tc>
        <w:tc>
          <w:tcPr>
            <w:tcW w:type="dxa" w:w="2412"/>
            <w:shd w:val="clear" w:color="auto" w:fill="03304C"/>
          </w:tcPr>
          <w:p>
            <w:r/>
            <w:r>
              <w:rPr>
                <w:rFonts w:ascii="Calibri" w:hAnsi="Calibri"/>
                <w:b/>
                <w:color w:val="FFFFFF"/>
                <w:sz w:val="20"/>
              </w:rPr>
              <w:t>Change</w:t>
            </w:r>
          </w:p>
        </w:tc>
      </w:tr>
      <w:tr>
        <w:tc>
          <w:tcPr>
            <w:tcW w:type="dxa" w:w="2412"/>
          </w:tcPr>
          <w:p>
            <w:r/>
            <w:r>
              <w:rPr>
                <w:rFonts w:ascii="Calibri" w:hAnsi="Calibri"/>
                <w:b w:val="0"/>
                <w:sz w:val="19"/>
              </w:rPr>
              <w:t>1.0</w:t>
            </w:r>
          </w:p>
        </w:tc>
        <w:tc>
          <w:tcPr>
            <w:tcW w:type="dxa" w:w="2412"/>
          </w:tcPr>
          <w:p>
            <w:r/>
            <w:r>
              <w:rPr>
                <w:rFonts w:ascii="Calibri" w:hAnsi="Calibri"/>
                <w:b w:val="0"/>
                <w:sz w:val="19"/>
              </w:rPr>
              <w:t>Effective date: ___________</w:t>
            </w:r>
          </w:p>
        </w:tc>
        <w:tc>
          <w:tcPr>
            <w:tcW w:type="dxa" w:w="2412"/>
          </w:tcPr>
          <w:p>
            <w:r/>
            <w:r>
              <w:rPr>
                <w:rFonts w:ascii="Calibri" w:hAnsi="Calibri"/>
                <w:b w:val="0"/>
                <w:sz w:val="19"/>
              </w:rPr>
              <w:t>Compliance / MLRO</w:t>
            </w:r>
          </w:p>
        </w:tc>
        <w:tc>
          <w:tcPr>
            <w:tcW w:type="dxa" w:w="2412"/>
          </w:tcPr>
          <w:p>
            <w:r/>
            <w:r>
              <w:rPr>
                <w:rFonts w:ascii="Calibri" w:hAnsi="Calibri"/>
                <w:b w:val="0"/>
                <w:sz w:val="19"/>
              </w:rPr>
              <w:t>Initial issue; aligns with the in-app 4-tier model.</w:t>
            </w:r>
          </w:p>
        </w:tc>
      </w:tr>
    </w:tbl>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KYC/CDD Operating Procedure v1.0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