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3304C"/>
          <w:sz w:val="32"/>
        </w:rPr>
        <w:t>ZITCH TECHNOLOGIES LIMITED</w:t>
      </w:r>
    </w:p>
    <w:p>
      <w:r>
        <w:rPr>
          <w:b/>
          <w:color w:val="03304C"/>
          <w:sz w:val="26"/>
        </w:rPr>
        <w:t>ACCESS MANAGEMENT AND MULTI-FACTOR AUTHENTICATION (MFA) POLICY</w:t>
      </w:r>
    </w:p>
    <w:p>
      <w:r>
        <w:rPr>
          <w:color w:val="555555"/>
          <w:sz w:val="19"/>
        </w:rPr>
        <w:t>Version 1.0 — [Effective date: ___________]   ·   Classification: Internal</w:t>
      </w:r>
    </w:p>
    <w:p>
      <w:r>
        <w:rPr>
          <w:color w:val="555555"/>
          <w:sz w:val="18"/>
        </w:rPr>
        <w:t>RC [insert RC number] · 41, Awoniyi Elemo Street, Lagos State, Nigeria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7056"/>
      </w:tblGrid>
      <w:tr>
        <w:tc>
          <w:tcPr>
            <w:tcW w:type="dxa" w:w="4752"/>
          </w:tcPr>
          <w:p>
            <w:r/>
            <w:r>
              <w:rPr>
                <w:rFonts w:ascii="Calibri" w:hAnsi="Calibri"/>
                <w:b/>
                <w:color w:val="03304C"/>
                <w:sz w:val="19"/>
              </w:rPr>
              <w:t>Document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sz w:val="19"/>
              </w:rPr>
              <w:t>Access Management &amp; MFA Policy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/>
                <w:color w:val="03304C"/>
                <w:sz w:val="19"/>
              </w:rPr>
              <w:t>Owner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sz w:val="19"/>
              </w:rPr>
              <w:t>[Owner / role]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/>
                <w:color w:val="03304C"/>
                <w:sz w:val="19"/>
              </w:rPr>
              <w:t>Approved by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sz w:val="19"/>
              </w:rPr>
              <w:t>Board / senior management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/>
                <w:color w:val="03304C"/>
                <w:sz w:val="19"/>
              </w:rPr>
              <w:t>Version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sz w:val="19"/>
              </w:rPr>
              <w:t>1.0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/>
                <w:color w:val="03304C"/>
                <w:sz w:val="19"/>
              </w:rPr>
              <w:t>Effective date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sz w:val="19"/>
              </w:rPr>
              <w:t>[Effective date: ___________]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/>
                <w:color w:val="03304C"/>
                <w:sz w:val="19"/>
              </w:rPr>
              <w:t>Review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sz w:val="19"/>
              </w:rPr>
              <w:t>Annually or on material change</w:t>
            </w:r>
          </w:p>
        </w:tc>
      </w:tr>
    </w:tbl>
    <w:p/>
    <w:p>
      <w:pPr>
        <w:pStyle w:val="Heading1"/>
      </w:pPr>
      <w:r>
        <w:t>1.  Purpose and scope</w:t>
      </w:r>
    </w:p>
    <w:p>
      <w:r>
        <w:rPr>
          <w:b w:val="0"/>
          <w:sz w:val="21"/>
        </w:rPr>
        <w:t>This policy governs how access to Zitch systems, data and administrative tools is granted, authenticated, reviewed and revoked, and mandates multi-factor authentication for privileged and remote access. It applies to all staff, contractors, partners and systems, and complements the Data Protection Policy.</w:t>
      </w:r>
    </w:p>
    <w:p>
      <w:pPr>
        <w:pStyle w:val="Heading1"/>
      </w:pPr>
      <w:r>
        <w:t>2.  Principles</w:t>
      </w:r>
    </w:p>
    <w:p>
      <w:pPr>
        <w:pStyle w:val="ListBullet"/>
      </w:pPr>
      <w:r>
        <w:rPr>
          <w:sz w:val="21"/>
        </w:rPr>
        <w:t>Least privilege — grant the minimum access needed for a role.</w:t>
      </w:r>
    </w:p>
    <w:p>
      <w:pPr>
        <w:pStyle w:val="ListBullet"/>
      </w:pPr>
      <w:r>
        <w:rPr>
          <w:sz w:val="21"/>
        </w:rPr>
        <w:t>Need-to-know — access to personal/financial data only where the role requires it.</w:t>
      </w:r>
    </w:p>
    <w:p>
      <w:pPr>
        <w:pStyle w:val="ListBullet"/>
      </w:pPr>
      <w:r>
        <w:rPr>
          <w:sz w:val="21"/>
        </w:rPr>
        <w:t>Segregation of duties — separate conflicting duties (e.g. initiating vs approving sensitive actions).</w:t>
      </w:r>
    </w:p>
    <w:p>
      <w:pPr>
        <w:pStyle w:val="ListBullet"/>
      </w:pPr>
      <w:r>
        <w:rPr>
          <w:sz w:val="21"/>
        </w:rPr>
        <w:t>Accountability — every access is attributable to a unique identity; no shared admin accounts.</w:t>
      </w:r>
    </w:p>
    <w:p>
      <w:pPr>
        <w:pStyle w:val="Heading1"/>
      </w:pPr>
      <w:r>
        <w:t>3.  User access lifecycle (joiner / mover / leaver)</w:t>
      </w:r>
    </w:p>
    <w:p>
      <w:pPr>
        <w:pStyle w:val="ListBullet"/>
      </w:pPr>
      <w:r>
        <w:rPr>
          <w:sz w:val="21"/>
        </w:rPr>
        <w:t>Joiner — access provisioned via an approved request matched to the role; documented.</w:t>
      </w:r>
    </w:p>
    <w:p>
      <w:pPr>
        <w:pStyle w:val="ListBullet"/>
      </w:pPr>
      <w:r>
        <w:rPr>
          <w:sz w:val="21"/>
        </w:rPr>
        <w:t>Mover — access re-baselined on role change; old entitlements removed.</w:t>
      </w:r>
    </w:p>
    <w:p>
      <w:pPr>
        <w:pStyle w:val="ListBullet"/>
      </w:pPr>
      <w:r>
        <w:rPr>
          <w:sz w:val="21"/>
        </w:rPr>
        <w:t>Leaver — access revoked promptly on exit (target same day), and credentials/sessions terminated.</w:t>
      </w:r>
    </w:p>
    <w:p>
      <w:pPr>
        <w:pStyle w:val="Heading1"/>
      </w:pPr>
      <w:r>
        <w:t>4.  Authentication and MFA</w:t>
      </w:r>
    </w:p>
    <w:p>
      <w:pPr>
        <w:pStyle w:val="ListBullet"/>
      </w:pPr>
      <w:r>
        <w:rPr>
          <w:sz w:val="21"/>
        </w:rPr>
        <w:t>Strong, unique passwords meeting complexity and rotation standards; no shared passwords; secrets stored in a secrets manager.</w:t>
      </w:r>
    </w:p>
    <w:p>
      <w:pPr>
        <w:pStyle w:val="ListBullet"/>
      </w:pPr>
      <w:r>
        <w:rPr>
          <w:sz w:val="21"/>
        </w:rPr>
        <w:t>MFA is MANDATORY for: all administrative/privileged access, the operator portal, cloud/infrastructure consoles, code repositories, and all remote access.</w:t>
      </w:r>
    </w:p>
    <w:p>
      <w:pPr>
        <w:pStyle w:val="ListBullet"/>
      </w:pPr>
      <w:r>
        <w:rPr>
          <w:sz w:val="21"/>
        </w:rPr>
        <w:t>Customer-side authentication: a transaction PIN (hashed, with lockout after repeated failures) gates money movement; optional biometric pay is biometric-only (device passcode cannot approve payments); sessions expire on inactivity and are fully cleared after a longer absolute idle period.</w:t>
      </w:r>
    </w:p>
    <w:p>
      <w:pPr>
        <w:pStyle w:val="ListBullet"/>
      </w:pPr>
      <w:r>
        <w:rPr>
          <w:sz w:val="21"/>
        </w:rPr>
        <w:t>Bearer session tokens are stored only as hashes server-side, are time-limited, and are revoked on logout/credential change.</w:t>
      </w:r>
    </w:p>
    <w:p>
      <w:pPr>
        <w:pStyle w:val="Heading1"/>
      </w:pPr>
      <w:r>
        <w:t>5.  Privileged access management</w:t>
      </w:r>
    </w:p>
    <w:p>
      <w:pPr>
        <w:pStyle w:val="ListBullet"/>
      </w:pPr>
      <w:r>
        <w:rPr>
          <w:sz w:val="21"/>
        </w:rPr>
        <w:t>Privileged/admin access is role-based, approved, logged and time-bound where feasible; the operator portal enforces a role/capability matrix and writes every privileged action to an audit log.</w:t>
      </w:r>
    </w:p>
    <w:p>
      <w:pPr>
        <w:pStyle w:val="ListBullet"/>
      </w:pPr>
      <w:r>
        <w:rPr>
          <w:sz w:val="21"/>
        </w:rPr>
        <w:t>Administrative actions on customer accounts are scoped to customers (not other staff) and attributed to the acting officer.</w:t>
      </w:r>
    </w:p>
    <w:p>
      <w:pPr>
        <w:pStyle w:val="Heading1"/>
      </w:pPr>
      <w:r>
        <w:t>6.  Access reviews, logging and third-party access</w:t>
      </w:r>
    </w:p>
    <w:p>
      <w:pPr>
        <w:pStyle w:val="ListBullet"/>
      </w:pPr>
      <w:r>
        <w:rPr>
          <w:sz w:val="21"/>
        </w:rPr>
        <w:t>Review access rights periodically (at least quarterly for privileged access) and remove unneeded entitlements.</w:t>
      </w:r>
    </w:p>
    <w:p>
      <w:pPr>
        <w:pStyle w:val="ListBullet"/>
      </w:pPr>
      <w:r>
        <w:rPr>
          <w:sz w:val="21"/>
        </w:rPr>
        <w:t>Log authentication and access events; monitor for anomalies; retain logs for audit.</w:t>
      </w:r>
    </w:p>
    <w:p>
      <w:pPr>
        <w:pStyle w:val="ListBullet"/>
      </w:pPr>
      <w:r>
        <w:rPr>
          <w:sz w:val="21"/>
        </w:rPr>
        <w:t>Grant partner/third-party access only under contract, least privilege and MFA, and review it regularly.</w:t>
      </w:r>
    </w:p>
    <w:p>
      <w:pPr>
        <w:pStyle w:val="Heading1"/>
      </w:pPr>
      <w:r>
        <w:t>7.  Enforcement</w:t>
      </w:r>
    </w:p>
    <w:p>
      <w:r>
        <w:rPr>
          <w:b w:val="0"/>
          <w:sz w:val="21"/>
        </w:rPr>
        <w:t>Breach of this policy is serious misconduct and may lead to disciplinary action up to dismissal and to revocation of access.</w:t>
      </w:r>
    </w:p>
    <w:sectPr w:rsidR="00FC693F" w:rsidRPr="0006063C" w:rsidSect="00034616">
      <w:footerReference w:type="default" r:id="rId9"/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555"/>
        <w:sz w:val="16"/>
      </w:rPr>
      <w:t xml:space="preserve">Zitch · Access Management &amp; MFA Policy v1.0   |   Confidential   | 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3304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3304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3304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