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3304C"/>
          <w:sz w:val="32"/>
        </w:rPr>
        <w:t>ZITCH TECHNOLOGIES LIMITED</w:t>
      </w:r>
    </w:p>
    <w:p>
      <w:r>
        <w:rPr>
          <w:b/>
          <w:color w:val="03304C"/>
          <w:sz w:val="26"/>
        </w:rPr>
        <w:t>ATTESTATION — USE OF THIRD-PARTY VENDORS</w:t>
      </w:r>
    </w:p>
    <w:p>
      <w:r>
        <w:rPr>
          <w:color w:val="555555"/>
          <w:sz w:val="19"/>
        </w:rPr>
        <w:t xml:space="preserve"> — [Date: ___________]   ·   Classification: Internal</w:t>
      </w:r>
    </w:p>
    <w:p>
      <w:r>
        <w:rPr>
          <w:color w:val="555555"/>
          <w:sz w:val="18"/>
        </w:rPr>
        <w:t>RC [insert RC number] · 41, Awoniyi Elemo Street, Lagos State, Nigeria</w:t>
      </w:r>
    </w:p>
    <w:p/>
    <w:p>
      <w:r>
        <w:rPr>
          <w:b w:val="0"/>
          <w:sz w:val="21"/>
        </w:rPr>
        <w:t>To whom it may concern,</w:t>
      </w:r>
    </w:p>
    <w:p>
      <w:r>
        <w:rPr>
          <w:b w:val="0"/>
          <w:sz w:val="21"/>
        </w:rPr>
        <w:t>This letter is provided by Zitch Technologies Limited (“Zitch”) in response to due-diligence enquiries regarding our use of third-party vendors and service providers.</w:t>
      </w:r>
    </w:p>
    <w:p>
      <w:r>
        <w:rPr>
          <w:b/>
          <w:sz w:val="21"/>
        </w:rPr>
        <w:t>Zitch confirms that it DOES engage third-party vendors and service providers.</w:t>
      </w:r>
    </w:p>
    <w:p>
      <w:r>
        <w:rPr>
          <w:b w:val="0"/>
          <w:sz w:val="21"/>
        </w:rPr>
        <w:t>As a virtual top-up (VTU) and bill-payment technology platform, Zitch delivers regulated payment, wallet, card, settlement and open-banking functionality through licensed partners and supporting service providers. The categories of third-party vendors we engage include: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888"/>
        <w:gridCol w:w="2592"/>
      </w:tblGrid>
      <w:tr>
        <w:tc>
          <w:tcPr>
            <w:tcW w:type="dxa" w:w="3168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Vendor category</w:t>
            </w:r>
          </w:p>
        </w:tc>
        <w:tc>
          <w:tcPr>
            <w:tcW w:type="dxa" w:w="3168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168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Payments / switching &amp; settlement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Process wallet funding, virtual accounts and bank payouts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Licensed PSSP / switch / bank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Deposit-money / partner bank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Hold customer funds; dedicated virtual accounts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CBN-licensed bank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Card issuing &amp; processing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Issue and process virtual USD cards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Scheme-licensed card issuer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Open banking / account linking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Link external bank accounts; account-based payments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Licensed open-banking provider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Foreign-exchange / cross-border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FX quotes and settlement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Licensed FX provider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VTU / bill aggregation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Airtime, data, cable, electricity, exam PINs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Licensed VTU aggregator / billers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Identity / KYC &amp; fraud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BVN/NIN, facial liveness, address, sanctions/PEP screening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Licensed KYC provider(s)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Credit bureau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Credit history and loan-performance reporting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Licensed Nigerian credit bureau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Cloud hosting &amp; storage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Application hosting, databases, backups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Cloud infrastructure provider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Communications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SMS, email, push notifications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SMS/email/push providers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Messaging (WhatsApp)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WhatsApp banking channel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9"/>
              </w:rPr>
              <w:t>Meta Platforms / BSP</w:t>
            </w:r>
          </w:p>
        </w:tc>
      </w:tr>
    </w:tbl>
    <w:p/>
    <w:p>
      <w:r>
        <w:rPr>
          <w:b w:val="0"/>
          <w:sz w:val="21"/>
        </w:rPr>
        <w:t>All such vendors are subject to risk-based due diligence before engagement and are bound by written contracts that include confidentiality, data-protection (NDPA-equivalent) and information-security obligations, and, where relevant, audit and breach-notification rights. We monitor these relationships on an ongoing basis. A current, detailed vendor register is maintained internally and is available to regulators and counterparties on request, subject to confidentiality.</w:t>
      </w:r>
    </w:p>
    <w:p>
      <w:r>
        <w:rPr>
          <w:b w:val="0"/>
          <w:sz w:val="21"/>
        </w:rPr>
        <w:t>This attestation is given in good faith as at the date above and may be updated as our vendor arrangements change.</w:t>
      </w:r>
    </w:p>
    <w:p/>
    <w:p>
      <w:r>
        <w:rPr>
          <w:b/>
          <w:sz w:val="21"/>
        </w:rPr>
        <w:t>Signed for and on behalf of Zitch Technologies Limited:</w:t>
      </w:r>
    </w:p>
    <w:p>
      <w:r>
        <w:rPr>
          <w:b w:val="0"/>
          <w:sz w:val="21"/>
        </w:rPr>
        <w:t>Name: ______________________    Title: ______________________</w:t>
      </w:r>
    </w:p>
    <w:p>
      <w:r>
        <w:rPr>
          <w:b w:val="0"/>
          <w:sz w:val="21"/>
        </w:rPr>
        <w:t>Signature: ______________________    Date: ____________</w:t>
      </w:r>
    </w:p>
    <w:p>
      <w:r>
        <w:rPr>
          <w:b w:val="0"/>
          <w:sz w:val="18"/>
        </w:rPr>
        <w:t>(Authorised officer — e.g. CEO / Compliance Officer)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Zitch · Third-Party Vendor Attestation v1.0   |   Confidential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330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330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330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