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3304C"/>
          <w:sz w:val="32"/>
        </w:rPr>
        <w:t>ZITCH TECHNOLOGIES LIMITED</w:t>
      </w:r>
    </w:p>
    <w:p>
      <w:r>
        <w:rPr>
          <w:b/>
          <w:color w:val="03304C"/>
          <w:sz w:val="26"/>
        </w:rPr>
        <w:t>CUSTOMER SERVICE AND COMPLAINT POLICY</w:t>
      </w:r>
    </w:p>
    <w:p>
      <w:r>
        <w:rPr>
          <w:color w:val="555555"/>
          <w:sz w:val="19"/>
        </w:rPr>
        <w:t>Version 1.0 — [Effective date: ___________]   ·   Classification: Internal</w:t>
      </w:r>
    </w:p>
    <w:p>
      <w:r>
        <w:rPr>
          <w:color w:val="555555"/>
          <w:sz w:val="18"/>
        </w:rPr>
        <w:t>RC [insert RC number] · 41, Awoniyi Elemo Street, Lagos State, Nigeria</w:t>
      </w:r>
    </w:p>
    <w:p/>
    <w:tbl>
      <w:tblPr>
        <w:tblStyle w:val="TableGrid"/>
        <w:tblW w:type="auto" w:w="0"/>
        <w:tblLook w:firstColumn="1" w:firstRow="1" w:lastColumn="0" w:lastRow="0" w:noHBand="0" w:noVBand="1" w:val="04A0"/>
      </w:tblPr>
      <w:tblGrid>
        <w:gridCol w:w="2448"/>
        <w:gridCol w:w="7056"/>
      </w:tblGrid>
      <w:tr>
        <w:tc>
          <w:tcPr>
            <w:tcW w:type="dxa" w:w="4752"/>
          </w:tcPr>
          <w:p>
            <w:r/>
            <w:r>
              <w:rPr>
                <w:rFonts w:ascii="Calibri" w:hAnsi="Calibri"/>
                <w:b/>
                <w:color w:val="03304C"/>
                <w:sz w:val="19"/>
              </w:rPr>
              <w:t>Document</w:t>
            </w:r>
          </w:p>
        </w:tc>
        <w:tc>
          <w:tcPr>
            <w:tcW w:type="dxa" w:w="4752"/>
          </w:tcPr>
          <w:p>
            <w:r/>
            <w:r>
              <w:rPr>
                <w:rFonts w:ascii="Calibri" w:hAnsi="Calibri"/>
                <w:b w:val="0"/>
                <w:sz w:val="19"/>
              </w:rPr>
              <w:t>Customer Service and Complaint Policy</w:t>
            </w:r>
          </w:p>
        </w:tc>
      </w:tr>
      <w:tr>
        <w:tc>
          <w:tcPr>
            <w:tcW w:type="dxa" w:w="4752"/>
          </w:tcPr>
          <w:p>
            <w:r/>
            <w:r>
              <w:rPr>
                <w:rFonts w:ascii="Calibri" w:hAnsi="Calibri"/>
                <w:b/>
                <w:color w:val="03304C"/>
                <w:sz w:val="19"/>
              </w:rPr>
              <w:t>Owner</w:t>
            </w:r>
          </w:p>
        </w:tc>
        <w:tc>
          <w:tcPr>
            <w:tcW w:type="dxa" w:w="4752"/>
          </w:tcPr>
          <w:p>
            <w:r/>
            <w:r>
              <w:rPr>
                <w:rFonts w:ascii="Calibri" w:hAnsi="Calibri"/>
                <w:b w:val="0"/>
                <w:sz w:val="19"/>
              </w:rPr>
              <w:t>[Owner / role]</w:t>
            </w:r>
          </w:p>
        </w:tc>
      </w:tr>
      <w:tr>
        <w:tc>
          <w:tcPr>
            <w:tcW w:type="dxa" w:w="4752"/>
          </w:tcPr>
          <w:p>
            <w:r/>
            <w:r>
              <w:rPr>
                <w:rFonts w:ascii="Calibri" w:hAnsi="Calibri"/>
                <w:b/>
                <w:color w:val="03304C"/>
                <w:sz w:val="19"/>
              </w:rPr>
              <w:t>Approved by</w:t>
            </w:r>
          </w:p>
        </w:tc>
        <w:tc>
          <w:tcPr>
            <w:tcW w:type="dxa" w:w="4752"/>
          </w:tcPr>
          <w:p>
            <w:r/>
            <w:r>
              <w:rPr>
                <w:rFonts w:ascii="Calibri" w:hAnsi="Calibri"/>
                <w:b w:val="0"/>
                <w:sz w:val="19"/>
              </w:rPr>
              <w:t>Board / senior management</w:t>
            </w:r>
          </w:p>
        </w:tc>
      </w:tr>
      <w:tr>
        <w:tc>
          <w:tcPr>
            <w:tcW w:type="dxa" w:w="4752"/>
          </w:tcPr>
          <w:p>
            <w:r/>
            <w:r>
              <w:rPr>
                <w:rFonts w:ascii="Calibri" w:hAnsi="Calibri"/>
                <w:b/>
                <w:color w:val="03304C"/>
                <w:sz w:val="19"/>
              </w:rPr>
              <w:t>Version</w:t>
            </w:r>
          </w:p>
        </w:tc>
        <w:tc>
          <w:tcPr>
            <w:tcW w:type="dxa" w:w="4752"/>
          </w:tcPr>
          <w:p>
            <w:r/>
            <w:r>
              <w:rPr>
                <w:rFonts w:ascii="Calibri" w:hAnsi="Calibri"/>
                <w:b w:val="0"/>
                <w:sz w:val="19"/>
              </w:rPr>
              <w:t>1.0</w:t>
            </w:r>
          </w:p>
        </w:tc>
      </w:tr>
      <w:tr>
        <w:tc>
          <w:tcPr>
            <w:tcW w:type="dxa" w:w="4752"/>
          </w:tcPr>
          <w:p>
            <w:r/>
            <w:r>
              <w:rPr>
                <w:rFonts w:ascii="Calibri" w:hAnsi="Calibri"/>
                <w:b/>
                <w:color w:val="03304C"/>
                <w:sz w:val="19"/>
              </w:rPr>
              <w:t>Effective date</w:t>
            </w:r>
          </w:p>
        </w:tc>
        <w:tc>
          <w:tcPr>
            <w:tcW w:type="dxa" w:w="4752"/>
          </w:tcPr>
          <w:p>
            <w:r/>
            <w:r>
              <w:rPr>
                <w:rFonts w:ascii="Calibri" w:hAnsi="Calibri"/>
                <w:b w:val="0"/>
                <w:sz w:val="19"/>
              </w:rPr>
              <w:t>[Effective date: ___________]</w:t>
            </w:r>
          </w:p>
        </w:tc>
      </w:tr>
      <w:tr>
        <w:tc>
          <w:tcPr>
            <w:tcW w:type="dxa" w:w="4752"/>
          </w:tcPr>
          <w:p>
            <w:r/>
            <w:r>
              <w:rPr>
                <w:rFonts w:ascii="Calibri" w:hAnsi="Calibri"/>
                <w:b/>
                <w:color w:val="03304C"/>
                <w:sz w:val="19"/>
              </w:rPr>
              <w:t>Review</w:t>
            </w:r>
          </w:p>
        </w:tc>
        <w:tc>
          <w:tcPr>
            <w:tcW w:type="dxa" w:w="4752"/>
          </w:tcPr>
          <w:p>
            <w:r/>
            <w:r>
              <w:rPr>
                <w:rFonts w:ascii="Calibri" w:hAnsi="Calibri"/>
                <w:b w:val="0"/>
                <w:sz w:val="19"/>
              </w:rPr>
              <w:t>Annually or on material change</w:t>
            </w:r>
          </w:p>
        </w:tc>
      </w:tr>
    </w:tbl>
    <w:p/>
    <w:p>
      <w:pPr>
        <w:pStyle w:val="Heading1"/>
      </w:pPr>
      <w:r>
        <w:t>1.  Purpose</w:t>
      </w:r>
    </w:p>
    <w:p>
      <w:r>
        <w:rPr>
          <w:b w:val="0"/>
          <w:sz w:val="21"/>
        </w:rPr>
        <w:t>Zitch is committed to treating customers fairly and resolving complaints promptly, fairly and transparently. This policy sets our service standards and the procedure for receiving, handling, escalating and reporting complaints, consistent with the CBN consumer-protection framework and applicable Nigerian law.</w:t>
      </w:r>
    </w:p>
    <w:p>
      <w:pPr>
        <w:pStyle w:val="Heading1"/>
      </w:pPr>
      <w:r>
        <w:t>2.  Scope</w:t>
      </w:r>
    </w:p>
    <w:p>
      <w:r>
        <w:rPr>
          <w:b w:val="0"/>
          <w:sz w:val="21"/>
        </w:rPr>
        <w:t>Applies to all customer interactions across every channel — in-app support, the WhatsApp channel, email, phone and social media — and to all staff and agents who handle customer queries or complaints.</w:t>
      </w:r>
    </w:p>
    <w:p>
      <w:pPr>
        <w:pStyle w:val="Heading1"/>
      </w:pPr>
      <w:r>
        <w:t>3.  Service standards</w:t>
      </w:r>
    </w:p>
    <w:p>
      <w:pPr>
        <w:pStyle w:val="ListBullet"/>
      </w:pPr>
      <w:r>
        <w:rPr>
          <w:sz w:val="21"/>
        </w:rPr>
        <w:t>Be available across in-app chat, the WhatsApp channel, email and phone during published hours, with self-service help in the App.</w:t>
      </w:r>
    </w:p>
    <w:p>
      <w:pPr>
        <w:pStyle w:val="ListBullet"/>
      </w:pPr>
      <w:r>
        <w:rPr>
          <w:sz w:val="21"/>
        </w:rPr>
        <w:t>Treat every customer with courtesy, fairness and respect, including vulnerable customers, and communicate in clear language.</w:t>
      </w:r>
    </w:p>
    <w:p>
      <w:pPr>
        <w:pStyle w:val="ListBullet"/>
      </w:pPr>
      <w:r>
        <w:rPr>
          <w:sz w:val="21"/>
        </w:rPr>
        <w:t>Never ask a customer for their PIN, password or OTP, and act quickly on reports of fraud, lost/stolen devices or unauthorised transactions.</w:t>
      </w:r>
    </w:p>
    <w:p>
      <w:pPr>
        <w:pStyle w:val="Heading1"/>
      </w:pPr>
      <w:r>
        <w:t>4.  What is a complaint</w:t>
      </w:r>
    </w:p>
    <w:p>
      <w:r>
        <w:rPr>
          <w:b w:val="0"/>
          <w:sz w:val="21"/>
        </w:rPr>
        <w:t>A complaint is any expression of dissatisfaction about our products, services, staff or the handling of a transaction, whether justified or not, that requires a response or resolution.</w:t>
      </w:r>
    </w:p>
    <w:p>
      <w:pPr>
        <w:pStyle w:val="Heading1"/>
      </w:pPr>
      <w:r>
        <w:t>5.  How to make a complaint</w:t>
      </w:r>
    </w:p>
    <w:p>
      <w:pPr>
        <w:pStyle w:val="ListBullet"/>
      </w:pPr>
      <w:r>
        <w:rPr>
          <w:sz w:val="21"/>
        </w:rPr>
        <w:t>In-app support (chat / ‘Help’)</w:t>
      </w:r>
    </w:p>
    <w:p>
      <w:pPr>
        <w:pStyle w:val="ListBullet"/>
      </w:pPr>
      <w:r>
        <w:rPr>
          <w:sz w:val="21"/>
        </w:rPr>
        <w:t>The WhatsApp channel (verified business number)</w:t>
      </w:r>
    </w:p>
    <w:p>
      <w:pPr>
        <w:pStyle w:val="ListBullet"/>
      </w:pPr>
      <w:r>
        <w:rPr>
          <w:sz w:val="21"/>
        </w:rPr>
        <w:t>Email: [support@zitch.ng]</w:t>
      </w:r>
    </w:p>
    <w:p>
      <w:pPr>
        <w:pStyle w:val="ListBullet"/>
      </w:pPr>
      <w:r>
        <w:rPr>
          <w:sz w:val="21"/>
        </w:rPr>
        <w:t>Phone: [insert number]</w:t>
      </w:r>
    </w:p>
    <w:p>
      <w:pPr>
        <w:pStyle w:val="ListBullet"/>
      </w:pPr>
      <w:r>
        <w:rPr>
          <w:sz w:val="21"/>
        </w:rPr>
        <w:t>In writing to the registered address</w:t>
      </w:r>
    </w:p>
    <w:p>
      <w:pPr>
        <w:pStyle w:val="Heading1"/>
      </w:pPr>
      <w:r>
        <w:t>6.  Complaint-handling procedure</w:t>
      </w:r>
    </w:p>
    <w:p>
      <w:pPr>
        <w:pStyle w:val="ListNumber"/>
      </w:pPr>
      <w:r>
        <w:rPr>
          <w:sz w:val="21"/>
        </w:rPr>
        <w:t>Log: every complaint is recorded with a unique reference, date/time, channel, customer details and description.</w:t>
      </w:r>
    </w:p>
    <w:p>
      <w:pPr>
        <w:pStyle w:val="ListNumber"/>
      </w:pPr>
      <w:r>
        <w:rPr>
          <w:sz w:val="21"/>
        </w:rPr>
        <w:t>Acknowledge: we acknowledge receipt promptly — within 24 hours for digital channels and immediately for phone — and give the reference.</w:t>
      </w:r>
    </w:p>
    <w:p>
      <w:pPr>
        <w:pStyle w:val="ListNumber"/>
      </w:pPr>
      <w:r>
        <w:rPr>
          <w:sz w:val="21"/>
        </w:rPr>
        <w:t>Investigate: a service officer investigates fairly and impartially, gathering the transaction and system records needed.</w:t>
      </w:r>
    </w:p>
    <w:p>
      <w:pPr>
        <w:pStyle w:val="ListNumber"/>
      </w:pPr>
      <w:r>
        <w:rPr>
          <w:sz w:val="21"/>
        </w:rPr>
        <w:t>Resolve: we aim to resolve complaints within the regulatory timeframe (as a guide, the CBN consumer-protection turnaround — generally within a few business days for simple matters and not more than the maximum period prescribed for complex ones), and we keep the customer updated.</w:t>
      </w:r>
    </w:p>
    <w:p>
      <w:pPr>
        <w:pStyle w:val="ListNumber"/>
      </w:pPr>
      <w:r>
        <w:rPr>
          <w:sz w:val="21"/>
        </w:rPr>
        <w:t>Communicate the outcome: we explain the decision, any redress, and the customer’s right to escalate.</w:t>
      </w:r>
    </w:p>
    <w:p>
      <w:pPr>
        <w:pStyle w:val="ListNumber"/>
      </w:pPr>
      <w:r>
        <w:rPr>
          <w:sz w:val="21"/>
        </w:rPr>
        <w:t>Close and learn: we close the complaint on resolution and use root-cause analysis to prevent recurrence.</w:t>
      </w:r>
    </w:p>
    <w:p>
      <w:pPr>
        <w:pStyle w:val="Heading1"/>
      </w:pPr>
      <w:r>
        <w:t>7.  Escalation</w:t>
      </w:r>
    </w:p>
    <w:p>
      <w:pPr>
        <w:pStyle w:val="ListBullet"/>
      </w:pPr>
      <w:r>
        <w:rPr>
          <w:sz w:val="21"/>
        </w:rPr>
        <w:t>Internal: unresolved or complex complaints escalate to a supervisor, then to the Head of Operations/Compliance, then to management.</w:t>
      </w:r>
    </w:p>
    <w:p>
      <w:pPr>
        <w:pStyle w:val="ListBullet"/>
      </w:pPr>
      <w:r>
        <w:rPr>
          <w:sz w:val="21"/>
        </w:rPr>
        <w:t>External: if the customer is dissatisfied with our final response, they may escalate to the Central Bank of Nigeria (Consumer Protection Department); data-related complaints may go to the Nigeria Data Protection Commission (www.ndpc.gov.ng); and, where applicable, to other relevant regulators.</w:t>
      </w:r>
    </w:p>
    <w:p>
      <w:pPr>
        <w:pStyle w:val="Heading1"/>
      </w:pPr>
      <w:r>
        <w:t>8.  Records, reporting and review</w:t>
      </w:r>
    </w:p>
    <w:p>
      <w:pPr>
        <w:pStyle w:val="ListBullet"/>
      </w:pPr>
      <w:r>
        <w:rPr>
          <w:sz w:val="21"/>
        </w:rPr>
        <w:t>Maintain a complaints register and retain complaint records for at least five (5) years.</w:t>
      </w:r>
    </w:p>
    <w:p>
      <w:pPr>
        <w:pStyle w:val="ListBullet"/>
      </w:pPr>
      <w:r>
        <w:rPr>
          <w:sz w:val="21"/>
        </w:rPr>
        <w:t>Report complaint volumes, themes, turnaround times and root causes to management periodically, and to regulators as required.</w:t>
      </w:r>
    </w:p>
    <w:p>
      <w:pPr>
        <w:pStyle w:val="ListBullet"/>
      </w:pPr>
      <w:r>
        <w:rPr>
          <w:sz w:val="21"/>
        </w:rPr>
        <w:t>Review this policy at least annually and improve the service based on complaint trends and feedback.</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6"/>
      </w:rPr>
      <w:t xml:space="preserve">Zitch · Customer Service &amp; Complaint Policy v1.0   |   Confidential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3304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3304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330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