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B6C0D">
                    <w:rPr>
                      <w:rFonts w:ascii="Arial" w:hAnsi="Arial" w:cs="Arial"/>
                      <w:noProof/>
                      <w:sz w:val="20"/>
                      <w:szCs w:val="20"/>
                    </w:rPr>
                    <w:t>Talbert Tso</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B6C0D">
                    <w:rPr>
                      <w:rFonts w:ascii="Arial" w:hAnsi="Arial" w:cs="Arial"/>
                      <w:noProof/>
                      <w:sz w:val="20"/>
                      <w:szCs w:val="20"/>
                    </w:rPr>
                    <w:t>1824480</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8B6C0D">
                    <w:rPr>
                      <w:rFonts w:ascii="Arial" w:hAnsi="Arial" w:cs="Arial"/>
                      <w:b/>
                      <w:sz w:val="20"/>
                      <w:szCs w:val="20"/>
                    </w:rPr>
                    <w:t>Damien Coy</w:t>
                  </w:r>
                </w:p>
              </w:tc>
              <w:tc>
                <w:tcPr>
                  <w:tcW w:w="3037" w:type="dxa"/>
                  <w:vAlign w:val="center"/>
                </w:tcPr>
                <w:p w:rsidR="00E33385" w:rsidRPr="00A237CE" w:rsidRDefault="00E33385" w:rsidP="008B6C0D">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w:t>
                  </w:r>
                  <w:r w:rsidR="008B6C0D">
                    <w:rPr>
                      <w:rFonts w:ascii="Arial" w:hAnsi="Arial" w:cs="Arial"/>
                      <w:sz w:val="20"/>
                      <w:szCs w:val="20"/>
                    </w:rPr>
                    <w:t>1/21/2016</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620706"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Pr>
                <w:rFonts w:ascii="Arial" w:hAnsi="Arial" w:cs="Arial"/>
                <w:sz w:val="20"/>
                <w:szCs w:val="20"/>
              </w:rPr>
              <w:instrText xml:space="preserve"> FORMCHECKBOX </w:instrText>
            </w:r>
            <w:r w:rsidR="003C3A6B">
              <w:rPr>
                <w:rFonts w:ascii="Arial" w:hAnsi="Arial" w:cs="Arial"/>
                <w:sz w:val="20"/>
                <w:szCs w:val="20"/>
              </w:rPr>
            </w:r>
            <w:r w:rsidR="003C3A6B">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3C3A6B">
              <w:rPr>
                <w:rFonts w:ascii="Arial" w:hAnsi="Arial" w:cs="Arial"/>
                <w:sz w:val="20"/>
                <w:szCs w:val="20"/>
              </w:rPr>
            </w:r>
            <w:r w:rsidR="003C3A6B">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3E34F7" w:rsidRDefault="003E34F7"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Pr>
                <w:rFonts w:ascii="Arial" w:hAnsi="Arial" w:cs="Arial"/>
                <w:sz w:val="18"/>
                <w:szCs w:val="18"/>
              </w:rPr>
              <w:instrText xml:space="preserve"> FORMCHECKBOX </w:instrText>
            </w:r>
            <w:r w:rsidR="003C3A6B">
              <w:rPr>
                <w:rFonts w:ascii="Arial" w:hAnsi="Arial" w:cs="Arial"/>
                <w:sz w:val="18"/>
                <w:szCs w:val="18"/>
              </w:rPr>
            </w:r>
            <w:r w:rsidR="003C3A6B">
              <w:rPr>
                <w:rFonts w:ascii="Arial" w:hAnsi="Arial" w:cs="Arial"/>
                <w:sz w:val="18"/>
                <w:szCs w:val="18"/>
              </w:rPr>
              <w:fldChar w:fldCharType="separate"/>
            </w:r>
            <w:r>
              <w:rPr>
                <w:rFonts w:ascii="Arial" w:hAnsi="Arial" w:cs="Arial"/>
                <w:sz w:val="18"/>
                <w:szCs w:val="18"/>
              </w:rPr>
              <w:fldChar w:fldCharType="end"/>
            </w:r>
            <w:bookmarkEnd w:id="3"/>
            <w:r>
              <w:rPr>
                <w:rFonts w:ascii="Arial" w:hAnsi="Arial" w:cs="Arial"/>
                <w:sz w:val="18"/>
                <w:szCs w:val="18"/>
              </w:rPr>
              <w:t xml:space="preserve"> </w:t>
            </w:r>
            <w:r>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C3A6B">
                    <w:rPr>
                      <w:rFonts w:ascii="Arial" w:hAnsi="Arial" w:cs="Arial"/>
                      <w:b/>
                      <w:sz w:val="20"/>
                      <w:szCs w:val="20"/>
                    </w:rPr>
                  </w:r>
                  <w:r w:rsidR="003C3A6B">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C3A6B">
                    <w:rPr>
                      <w:rFonts w:ascii="Arial" w:hAnsi="Arial" w:cs="Arial"/>
                      <w:b/>
                      <w:sz w:val="20"/>
                      <w:szCs w:val="20"/>
                    </w:rPr>
                  </w:r>
                  <w:r w:rsidR="003C3A6B">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FB0186"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3C3A6B">
                    <w:rPr>
                      <w:rFonts w:ascii="Arial" w:hAnsi="Arial" w:cs="Arial"/>
                      <w:b/>
                      <w:sz w:val="20"/>
                      <w:szCs w:val="20"/>
                    </w:rPr>
                  </w:r>
                  <w:r w:rsidR="003C3A6B">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3C3A6B">
                    <w:rPr>
                      <w:rFonts w:ascii="Arial" w:hAnsi="Arial" w:cs="Arial"/>
                      <w:b/>
                      <w:sz w:val="20"/>
                      <w:szCs w:val="20"/>
                    </w:rPr>
                  </w:r>
                  <w:r w:rsidR="003C3A6B">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C3A6B">
                    <w:rPr>
                      <w:rFonts w:ascii="Arial" w:hAnsi="Arial" w:cs="Arial"/>
                      <w:b/>
                      <w:sz w:val="20"/>
                      <w:szCs w:val="20"/>
                    </w:rPr>
                  </w:r>
                  <w:r w:rsidR="003C3A6B">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bookmarkStart w:id="4" w:name="_GoBack"/>
            <w:bookmarkEnd w:id="4"/>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477F43" w:rsidRPr="00382FD0" w:rsidRDefault="00477F43" w:rsidP="00382FD0">
            <w:pPr>
              <w:rPr>
                <w:rFonts w:ascii="Arial" w:hAnsi="Arial" w:cs="Arial"/>
                <w:sz w:val="20"/>
                <w:szCs w:val="20"/>
              </w:rPr>
            </w:pPr>
          </w:p>
          <w:p w:rsidR="00477F43" w:rsidRDefault="00477F43" w:rsidP="00524CCA">
            <w:pPr>
              <w:pStyle w:val="ListParagraph"/>
              <w:numPr>
                <w:ilvl w:val="1"/>
                <w:numId w:val="7"/>
              </w:numPr>
              <w:rPr>
                <w:rFonts w:ascii="Arial" w:hAnsi="Arial" w:cs="Arial"/>
                <w:sz w:val="20"/>
                <w:szCs w:val="20"/>
              </w:rPr>
            </w:pPr>
            <w:r>
              <w:rPr>
                <w:rFonts w:ascii="Arial" w:hAnsi="Arial" w:cs="Arial"/>
                <w:sz w:val="20"/>
                <w:szCs w:val="20"/>
              </w:rPr>
              <w:t xml:space="preserve">3/29/2016 – 5/11/2016: </w:t>
            </w:r>
            <w:r w:rsidR="004B0392">
              <w:rPr>
                <w:rFonts w:ascii="Arial" w:hAnsi="Arial" w:cs="Arial"/>
                <w:sz w:val="20"/>
                <w:szCs w:val="20"/>
              </w:rPr>
              <w:t xml:space="preserve">Talbert also helped in the completion of the Enlightenment Portal project. The Enlightenment Portal helps Extended Campus employees by generating meaningful and quick reports. </w:t>
            </w:r>
            <w:r w:rsidR="00162E01">
              <w:rPr>
                <w:rFonts w:ascii="Arial" w:hAnsi="Arial" w:cs="Arial"/>
                <w:sz w:val="20"/>
                <w:szCs w:val="20"/>
              </w:rPr>
              <w:t>Talbert ensured the user interface was user friendly and functioned properly. He debugged a couple of issues with user controls and fixed information display upon viewing the page.</w:t>
            </w:r>
          </w:p>
          <w:p w:rsidR="00524CCA" w:rsidRPr="00524CCA" w:rsidRDefault="00524CCA" w:rsidP="00524CCA">
            <w:pPr>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7332A5" w:rsidRDefault="007332A5" w:rsidP="007332A5">
            <w:pPr>
              <w:pStyle w:val="ListParagraph"/>
              <w:ind w:left="360"/>
              <w:rPr>
                <w:rFonts w:ascii="Arial" w:hAnsi="Arial" w:cs="Arial"/>
                <w:sz w:val="20"/>
                <w:szCs w:val="20"/>
              </w:rPr>
            </w:pPr>
          </w:p>
          <w:p w:rsidR="00382FD0" w:rsidRDefault="00382FD0" w:rsidP="00382FD0">
            <w:pPr>
              <w:pStyle w:val="ListParagraph"/>
              <w:numPr>
                <w:ilvl w:val="1"/>
                <w:numId w:val="7"/>
              </w:numPr>
              <w:rPr>
                <w:rFonts w:ascii="Arial" w:hAnsi="Arial" w:cs="Arial"/>
                <w:sz w:val="20"/>
                <w:szCs w:val="20"/>
              </w:rPr>
            </w:pPr>
            <w:r>
              <w:rPr>
                <w:rFonts w:ascii="Arial" w:hAnsi="Arial" w:cs="Arial"/>
                <w:sz w:val="20"/>
                <w:szCs w:val="20"/>
              </w:rPr>
              <w:t>2/9/2016 – 4</w:t>
            </w:r>
            <w:r w:rsidR="009452DC">
              <w:rPr>
                <w:rFonts w:ascii="Arial" w:hAnsi="Arial" w:cs="Arial"/>
                <w:sz w:val="20"/>
                <w:szCs w:val="20"/>
              </w:rPr>
              <w:t>/12/2016: Talbert aided in the improvement</w:t>
            </w:r>
            <w:r>
              <w:rPr>
                <w:rFonts w:ascii="Arial" w:hAnsi="Arial" w:cs="Arial"/>
                <w:sz w:val="20"/>
                <w:szCs w:val="20"/>
              </w:rPr>
              <w:t xml:space="preserve"> of State Regulatory Compliance project. This allowed for generated reports and quick information status for the use by Extended Campus employees. Talbert ensured the user interface was well developed for minimal to zero user errors. And improved information response time for quicker confirmation of updated changes.</w:t>
            </w:r>
          </w:p>
          <w:p w:rsidR="007332A5" w:rsidRPr="00382FD0"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7332A5" w:rsidRDefault="007332A5" w:rsidP="007332A5">
            <w:pPr>
              <w:pStyle w:val="ListParagraph"/>
              <w:ind w:left="360"/>
              <w:rPr>
                <w:rFonts w:ascii="Arial" w:hAnsi="Arial" w:cs="Arial"/>
                <w:sz w:val="20"/>
                <w:szCs w:val="20"/>
              </w:rPr>
            </w:pPr>
          </w:p>
          <w:p w:rsidR="004E1299" w:rsidRDefault="00933845" w:rsidP="004E1299">
            <w:pPr>
              <w:pStyle w:val="ListParagraph"/>
              <w:numPr>
                <w:ilvl w:val="1"/>
                <w:numId w:val="7"/>
              </w:numPr>
              <w:rPr>
                <w:rFonts w:ascii="Arial" w:hAnsi="Arial" w:cs="Arial"/>
                <w:sz w:val="20"/>
                <w:szCs w:val="20"/>
              </w:rPr>
            </w:pPr>
            <w:r>
              <w:rPr>
                <w:rFonts w:ascii="Arial" w:hAnsi="Arial" w:cs="Arial"/>
                <w:sz w:val="20"/>
                <w:szCs w:val="20"/>
              </w:rPr>
              <w:t>2/22/2016 – 3/17/2016: Update table for PL Tools. Modified columns and added some columns to display information to EC members for faster and accurate information.</w:t>
            </w:r>
          </w:p>
          <w:p w:rsidR="007332A5" w:rsidRPr="001139A6"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7332A5" w:rsidRDefault="007332A5" w:rsidP="007332A5">
            <w:pPr>
              <w:pStyle w:val="ListParagraph"/>
              <w:ind w:left="360"/>
              <w:rPr>
                <w:rFonts w:ascii="Arial" w:hAnsi="Arial" w:cs="Arial"/>
                <w:sz w:val="20"/>
                <w:szCs w:val="20"/>
              </w:rPr>
            </w:pPr>
          </w:p>
          <w:p w:rsidR="00DB2E99" w:rsidRDefault="00E540AF" w:rsidP="00E540AF">
            <w:pPr>
              <w:pStyle w:val="ListParagraph"/>
              <w:numPr>
                <w:ilvl w:val="1"/>
                <w:numId w:val="7"/>
              </w:numPr>
              <w:rPr>
                <w:rFonts w:ascii="Arial" w:hAnsi="Arial" w:cs="Arial"/>
                <w:sz w:val="20"/>
                <w:szCs w:val="20"/>
              </w:rPr>
            </w:pPr>
            <w:r>
              <w:rPr>
                <w:rFonts w:ascii="Arial" w:hAnsi="Arial" w:cs="Arial"/>
                <w:sz w:val="20"/>
                <w:szCs w:val="20"/>
              </w:rPr>
              <w:t>3/23/2016 – 3/23/2016</w:t>
            </w:r>
            <w:r w:rsidR="00DB2E99">
              <w:rPr>
                <w:rFonts w:ascii="Arial" w:hAnsi="Arial" w:cs="Arial"/>
                <w:sz w:val="20"/>
                <w:szCs w:val="20"/>
              </w:rPr>
              <w:t>, 2/9/2016</w:t>
            </w:r>
            <w:r>
              <w:rPr>
                <w:rFonts w:ascii="Arial" w:hAnsi="Arial" w:cs="Arial"/>
                <w:sz w:val="20"/>
                <w:szCs w:val="20"/>
              </w:rPr>
              <w:t xml:space="preserve">: Restyled </w:t>
            </w:r>
          </w:p>
          <w:p w:rsidR="00E540AF" w:rsidRDefault="00933845" w:rsidP="00DB2E99">
            <w:pPr>
              <w:pStyle w:val="ListParagraph"/>
              <w:numPr>
                <w:ilvl w:val="2"/>
                <w:numId w:val="7"/>
              </w:numPr>
              <w:rPr>
                <w:rFonts w:ascii="Arial" w:hAnsi="Arial" w:cs="Arial"/>
                <w:sz w:val="20"/>
                <w:szCs w:val="20"/>
              </w:rPr>
            </w:pPr>
            <w:proofErr w:type="spellStart"/>
            <w:r>
              <w:rPr>
                <w:rFonts w:ascii="Arial" w:hAnsi="Arial" w:cs="Arial"/>
                <w:sz w:val="20"/>
                <w:szCs w:val="20"/>
              </w:rPr>
              <w:t>Ektron</w:t>
            </w:r>
            <w:proofErr w:type="spellEnd"/>
            <w:r>
              <w:rPr>
                <w:rFonts w:ascii="Arial" w:hAnsi="Arial" w:cs="Arial"/>
                <w:sz w:val="20"/>
                <w:szCs w:val="20"/>
              </w:rPr>
              <w:t xml:space="preserve"> Widget to look like Bootstrap buttons.</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Update the styles on long URLs so they wrap properly on State Regulatory Compliance</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Add flag image for District of Columbia for State Regulatory Compliance</w:t>
            </w:r>
          </w:p>
          <w:p w:rsidR="00933845" w:rsidRDefault="00933845" w:rsidP="00E540AF">
            <w:pPr>
              <w:pStyle w:val="ListParagraph"/>
              <w:numPr>
                <w:ilvl w:val="1"/>
                <w:numId w:val="7"/>
              </w:numPr>
              <w:rPr>
                <w:rFonts w:ascii="Arial" w:hAnsi="Arial" w:cs="Arial"/>
                <w:sz w:val="20"/>
                <w:szCs w:val="20"/>
              </w:rPr>
            </w:pPr>
            <w:r>
              <w:rPr>
                <w:rFonts w:ascii="Arial" w:hAnsi="Arial" w:cs="Arial"/>
                <w:sz w:val="20"/>
                <w:szCs w:val="20"/>
              </w:rPr>
              <w:t xml:space="preserve">3/22/2016, 2/24/2016 – 3/3/2016: Researched </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YouTube embedding code into </w:t>
            </w:r>
            <w:proofErr w:type="spellStart"/>
            <w:r>
              <w:rPr>
                <w:rFonts w:ascii="Arial" w:hAnsi="Arial" w:cs="Arial"/>
                <w:sz w:val="20"/>
                <w:szCs w:val="20"/>
              </w:rPr>
              <w:t>Ektron</w:t>
            </w:r>
            <w:proofErr w:type="spellEnd"/>
            <w:r>
              <w:rPr>
                <w:rFonts w:ascii="Arial" w:hAnsi="Arial" w:cs="Arial"/>
                <w:sz w:val="20"/>
                <w:szCs w:val="20"/>
              </w:rPr>
              <w:t xml:space="preserve"> widgets and discovered that this is not possible.</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Reviewed and evaluated a proposed SQL change to PL Admin Tools; determined that this was not possible. </w:t>
            </w:r>
          </w:p>
          <w:p w:rsidR="008B51C4" w:rsidRDefault="00E540AF" w:rsidP="00E540AF">
            <w:pPr>
              <w:pStyle w:val="ListParagraph"/>
              <w:numPr>
                <w:ilvl w:val="1"/>
                <w:numId w:val="7"/>
              </w:numPr>
              <w:rPr>
                <w:rFonts w:ascii="Arial" w:hAnsi="Arial" w:cs="Arial"/>
                <w:sz w:val="20"/>
                <w:szCs w:val="20"/>
              </w:rPr>
            </w:pPr>
            <w:r>
              <w:rPr>
                <w:rFonts w:ascii="Arial" w:hAnsi="Arial" w:cs="Arial"/>
                <w:sz w:val="20"/>
                <w:szCs w:val="20"/>
              </w:rPr>
              <w:t xml:space="preserve">5/16/2016 – 5/17/2016: Updated </w:t>
            </w:r>
          </w:p>
          <w:p w:rsidR="00E540AF" w:rsidRDefault="00E540AF" w:rsidP="008B51C4">
            <w:pPr>
              <w:pStyle w:val="ListParagraph"/>
              <w:numPr>
                <w:ilvl w:val="2"/>
                <w:numId w:val="7"/>
              </w:numPr>
              <w:rPr>
                <w:rFonts w:ascii="Arial" w:hAnsi="Arial" w:cs="Arial"/>
                <w:sz w:val="20"/>
                <w:szCs w:val="20"/>
              </w:rPr>
            </w:pPr>
            <w:r>
              <w:rPr>
                <w:rFonts w:ascii="Arial" w:hAnsi="Arial" w:cs="Arial"/>
                <w:sz w:val="20"/>
                <w:szCs w:val="20"/>
              </w:rPr>
              <w:t xml:space="preserve">Tuition Info widget that is used in PL, EC, Yuma, and Yavapai. </w:t>
            </w:r>
          </w:p>
          <w:p w:rsidR="00E540AF" w:rsidRDefault="008B51C4" w:rsidP="008B51C4">
            <w:pPr>
              <w:pStyle w:val="ListParagraph"/>
              <w:numPr>
                <w:ilvl w:val="2"/>
                <w:numId w:val="7"/>
              </w:numPr>
              <w:rPr>
                <w:rFonts w:ascii="Arial" w:hAnsi="Arial" w:cs="Arial"/>
                <w:sz w:val="20"/>
                <w:szCs w:val="20"/>
              </w:rPr>
            </w:pPr>
            <w:r>
              <w:rPr>
                <w:rFonts w:ascii="Arial" w:hAnsi="Arial" w:cs="Arial"/>
                <w:sz w:val="20"/>
                <w:szCs w:val="20"/>
              </w:rPr>
              <w:t>Text on PL Student Dashboard</w:t>
            </w:r>
          </w:p>
          <w:p w:rsidR="00BF2290" w:rsidRPr="001139A6" w:rsidRDefault="00BF2290" w:rsidP="00BF2290">
            <w:pPr>
              <w:pStyle w:val="ListParagraph"/>
              <w:numPr>
                <w:ilvl w:val="1"/>
                <w:numId w:val="7"/>
              </w:numPr>
              <w:rPr>
                <w:rFonts w:ascii="Arial" w:hAnsi="Arial" w:cs="Arial"/>
                <w:sz w:val="20"/>
                <w:szCs w:val="20"/>
              </w:rPr>
            </w:pPr>
            <w:r>
              <w:rPr>
                <w:rFonts w:ascii="Arial" w:hAnsi="Arial" w:cs="Arial"/>
                <w:sz w:val="20"/>
                <w:szCs w:val="20"/>
              </w:rPr>
              <w:lastRenderedPageBreak/>
              <w:t>5/4/2016 – 6/16/2016: Changed the Blog section on the homepage of EC, Yuma, and Yavapai to be just like the Blog page.</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C3A6B">
              <w:rPr>
                <w:rFonts w:ascii="Arial" w:hAnsi="Arial" w:cs="Arial"/>
                <w:b/>
                <w:sz w:val="20"/>
                <w:szCs w:val="20"/>
              </w:rPr>
            </w:r>
            <w:r w:rsidR="003C3A6B">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C3A6B">
              <w:rPr>
                <w:rFonts w:ascii="Arial" w:hAnsi="Arial" w:cs="Arial"/>
                <w:b/>
                <w:sz w:val="20"/>
                <w:szCs w:val="20"/>
              </w:rPr>
            </w:r>
            <w:r w:rsidR="003C3A6B">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9112C"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3C3A6B">
              <w:rPr>
                <w:rFonts w:ascii="Arial" w:hAnsi="Arial" w:cs="Arial"/>
                <w:b/>
                <w:sz w:val="20"/>
                <w:szCs w:val="20"/>
              </w:rPr>
            </w:r>
            <w:r w:rsidR="003C3A6B">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C3A6B">
              <w:rPr>
                <w:rFonts w:ascii="Arial" w:hAnsi="Arial" w:cs="Arial"/>
                <w:b/>
                <w:sz w:val="20"/>
                <w:szCs w:val="20"/>
              </w:rPr>
            </w:r>
            <w:r w:rsidR="003C3A6B">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E9112C">
              <w:rPr>
                <w:rFonts w:ascii="Arial" w:hAnsi="Arial" w:cs="Arial"/>
                <w:b/>
                <w:sz w:val="18"/>
                <w:szCs w:val="18"/>
              </w:rPr>
              <w:fldChar w:fldCharType="begin">
                <w:ffData>
                  <w:name w:val="Check22"/>
                  <w:enabled/>
                  <w:calcOnExit w:val="0"/>
                  <w:checkBox>
                    <w:sizeAuto/>
                    <w:default w:val="1"/>
                  </w:checkBox>
                </w:ffData>
              </w:fldChar>
            </w:r>
            <w:bookmarkStart w:id="5" w:name="Check22"/>
            <w:r w:rsidR="00E9112C">
              <w:rPr>
                <w:rFonts w:ascii="Arial" w:hAnsi="Arial" w:cs="Arial"/>
                <w:b/>
                <w:sz w:val="18"/>
                <w:szCs w:val="18"/>
              </w:rPr>
              <w:instrText xml:space="preserve"> FORMCHECKBOX </w:instrText>
            </w:r>
            <w:r w:rsidR="00E9112C">
              <w:rPr>
                <w:rFonts w:ascii="Arial" w:hAnsi="Arial" w:cs="Arial"/>
                <w:b/>
                <w:sz w:val="18"/>
                <w:szCs w:val="18"/>
              </w:rPr>
            </w:r>
            <w:r w:rsidR="00E9112C">
              <w:rPr>
                <w:rFonts w:ascii="Arial" w:hAnsi="Arial" w:cs="Arial"/>
                <w:b/>
                <w:sz w:val="18"/>
                <w:szCs w:val="18"/>
              </w:rPr>
              <w:fldChar w:fldCharType="end"/>
            </w:r>
            <w:bookmarkEnd w:id="5"/>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E9112C">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sidR="00E9112C">
              <w:rPr>
                <w:rFonts w:ascii="Arial" w:hAnsi="Arial" w:cs="Arial"/>
                <w:b/>
                <w:sz w:val="18"/>
                <w:szCs w:val="18"/>
              </w:rPr>
            </w:r>
            <w:r w:rsidR="00E9112C">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E9112C">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sidR="00E9112C">
              <w:rPr>
                <w:rFonts w:ascii="Arial" w:hAnsi="Arial" w:cs="Arial"/>
                <w:b/>
                <w:sz w:val="18"/>
                <w:szCs w:val="18"/>
              </w:rPr>
            </w:r>
            <w:r w:rsidR="00E9112C">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E9112C">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sidR="00E9112C">
              <w:rPr>
                <w:rFonts w:ascii="Arial" w:hAnsi="Arial" w:cs="Arial"/>
                <w:b/>
                <w:sz w:val="18"/>
                <w:szCs w:val="18"/>
              </w:rPr>
            </w:r>
            <w:r w:rsidR="00E9112C">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E9112C">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sidR="00E9112C">
              <w:rPr>
                <w:rFonts w:ascii="Arial" w:hAnsi="Arial" w:cs="Arial"/>
                <w:b/>
                <w:sz w:val="18"/>
                <w:szCs w:val="18"/>
              </w:rPr>
            </w:r>
            <w:r w:rsidR="00E9112C">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E9112C">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sidR="00E9112C">
              <w:rPr>
                <w:rFonts w:ascii="Arial" w:hAnsi="Arial" w:cs="Arial"/>
                <w:b/>
                <w:sz w:val="18"/>
                <w:szCs w:val="18"/>
              </w:rPr>
            </w:r>
            <w:r w:rsidR="00E9112C">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C3A6B">
              <w:rPr>
                <w:rFonts w:ascii="Arial" w:hAnsi="Arial" w:cs="Arial"/>
                <w:b/>
                <w:sz w:val="18"/>
                <w:szCs w:val="18"/>
              </w:rPr>
            </w:r>
            <w:r w:rsidR="003C3A6B">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D655A9" w:rsidRDefault="00D655A9" w:rsidP="00DC383F">
            <w:pPr>
              <w:shd w:val="clear" w:color="auto" w:fill="E6E6E6"/>
              <w:rPr>
                <w:rFonts w:ascii="Arial" w:hAnsi="Arial" w:cs="Arial"/>
                <w:sz w:val="20"/>
                <w:szCs w:val="20"/>
              </w:rPr>
            </w:pPr>
          </w:p>
          <w:p w:rsidR="00E33385" w:rsidRDefault="00D655A9" w:rsidP="00DC383F">
            <w:pPr>
              <w:shd w:val="clear" w:color="auto" w:fill="E6E6E6"/>
              <w:rPr>
                <w:rFonts w:ascii="Arial" w:hAnsi="Arial" w:cs="Arial"/>
                <w:sz w:val="20"/>
                <w:szCs w:val="20"/>
              </w:rPr>
            </w:pPr>
            <w:r>
              <w:rPr>
                <w:rFonts w:ascii="Arial" w:hAnsi="Arial" w:cs="Arial"/>
                <w:sz w:val="20"/>
                <w:szCs w:val="20"/>
              </w:rPr>
              <w:t>6 hours – Attended NAU Web Pro meetings.</w:t>
            </w:r>
          </w:p>
          <w:p w:rsidR="00D655A9" w:rsidRDefault="00D655A9" w:rsidP="00DC383F">
            <w:pPr>
              <w:shd w:val="clear" w:color="auto" w:fill="E6E6E6"/>
              <w:rPr>
                <w:rFonts w:ascii="Arial" w:hAnsi="Arial" w:cs="Arial"/>
                <w:sz w:val="20"/>
                <w:szCs w:val="20"/>
              </w:rPr>
            </w:pPr>
          </w:p>
          <w:p w:rsidR="00D655A9" w:rsidRDefault="00D655A9" w:rsidP="00DC383F">
            <w:pPr>
              <w:shd w:val="clear" w:color="auto" w:fill="E6E6E6"/>
              <w:rPr>
                <w:rFonts w:ascii="Arial" w:hAnsi="Arial" w:cs="Arial"/>
                <w:sz w:val="20"/>
                <w:szCs w:val="20"/>
              </w:rPr>
            </w:pPr>
            <w:r>
              <w:rPr>
                <w:rFonts w:ascii="Arial" w:hAnsi="Arial" w:cs="Arial"/>
                <w:sz w:val="20"/>
                <w:szCs w:val="20"/>
              </w:rPr>
              <w:t>2 hours – Attended NAU IT meeting.</w:t>
            </w:r>
          </w:p>
          <w:p w:rsidR="00D655A9" w:rsidRDefault="00D655A9" w:rsidP="00DC383F">
            <w:pPr>
              <w:shd w:val="clear" w:color="auto" w:fill="E6E6E6"/>
              <w:rPr>
                <w:rFonts w:ascii="Arial" w:hAnsi="Arial" w:cs="Arial"/>
                <w:sz w:val="20"/>
                <w:szCs w:val="20"/>
              </w:rPr>
            </w:pPr>
          </w:p>
          <w:p w:rsidR="00D655A9" w:rsidRPr="00A237CE" w:rsidRDefault="00D655A9" w:rsidP="00DC383F">
            <w:pPr>
              <w:shd w:val="clear" w:color="auto" w:fill="E6E6E6"/>
              <w:rPr>
                <w:rFonts w:ascii="Arial" w:hAnsi="Arial" w:cs="Arial"/>
                <w:sz w:val="20"/>
                <w:szCs w:val="20"/>
              </w:rPr>
            </w:pPr>
            <w:r>
              <w:rPr>
                <w:rFonts w:ascii="Arial" w:hAnsi="Arial" w:cs="Arial"/>
                <w:sz w:val="20"/>
                <w:szCs w:val="20"/>
              </w:rPr>
              <w:t>5 hours – Attended EC Tech Team Apprentice meetings.</w:t>
            </w: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C3A6B">
              <w:rPr>
                <w:rFonts w:ascii="Arial" w:hAnsi="Arial" w:cs="Arial"/>
                <w:sz w:val="20"/>
                <w:szCs w:val="20"/>
              </w:rPr>
            </w:r>
            <w:r w:rsidR="003C3A6B">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C3A6B">
              <w:rPr>
                <w:rFonts w:ascii="Arial" w:hAnsi="Arial" w:cs="Arial"/>
                <w:sz w:val="20"/>
                <w:szCs w:val="20"/>
              </w:rPr>
            </w:r>
            <w:r w:rsidR="003C3A6B">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9112C" w:rsidP="00DC383F">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33385" w:rsidRPr="006E27D7">
              <w:rPr>
                <w:rFonts w:ascii="Arial" w:hAnsi="Arial" w:cs="Arial"/>
                <w:sz w:val="20"/>
                <w:szCs w:val="20"/>
              </w:rPr>
              <w:t xml:space="preserve"> </w:t>
            </w:r>
            <w:r w:rsidR="00E33385" w:rsidRPr="006E27D7">
              <w:rPr>
                <w:rFonts w:ascii="Arial" w:hAnsi="Arial" w:cs="Arial"/>
                <w:b/>
                <w:sz w:val="20"/>
                <w:szCs w:val="20"/>
              </w:rPr>
              <w:t xml:space="preserve">Good performance: </w:t>
            </w:r>
            <w:r w:rsidR="00E33385" w:rsidRPr="006E27D7">
              <w:rPr>
                <w:rFonts w:ascii="Arial" w:hAnsi="Arial" w:cs="Arial"/>
                <w:sz w:val="20"/>
                <w:szCs w:val="20"/>
              </w:rPr>
              <w:t xml:space="preserve">Performance </w:t>
            </w:r>
            <w:r w:rsidR="00E33385">
              <w:rPr>
                <w:rFonts w:ascii="Arial" w:hAnsi="Arial" w:cs="Arial"/>
                <w:sz w:val="20"/>
                <w:szCs w:val="20"/>
              </w:rPr>
              <w:t>was dependable and met</w:t>
            </w:r>
            <w:r w:rsidR="00E33385" w:rsidRPr="006E27D7">
              <w:rPr>
                <w:rFonts w:ascii="Arial" w:hAnsi="Arial" w:cs="Arial"/>
                <w:sz w:val="20"/>
                <w:szCs w:val="20"/>
              </w:rPr>
              <w:t>, and occasionally exceed</w:t>
            </w:r>
            <w:r w:rsidR="00E33385">
              <w:rPr>
                <w:rFonts w:ascii="Arial" w:hAnsi="Arial" w:cs="Arial"/>
                <w:sz w:val="20"/>
                <w:szCs w:val="20"/>
              </w:rPr>
              <w:t>ed</w:t>
            </w:r>
            <w:r w:rsidR="00E33385"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C3A6B">
              <w:rPr>
                <w:rFonts w:ascii="Arial" w:hAnsi="Arial" w:cs="Arial"/>
                <w:sz w:val="20"/>
                <w:szCs w:val="20"/>
              </w:rPr>
            </w:r>
            <w:r w:rsidR="003C3A6B">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6" w:name="Check14"/>
            <w:r w:rsidRPr="00A237CE">
              <w:rPr>
                <w:rFonts w:ascii="Arial" w:hAnsi="Arial" w:cs="Arial"/>
                <w:sz w:val="20"/>
                <w:szCs w:val="20"/>
              </w:rPr>
              <w:instrText xml:space="preserve"> FORMCHECKBOX </w:instrText>
            </w:r>
            <w:r w:rsidR="003C3A6B">
              <w:rPr>
                <w:rFonts w:ascii="Arial" w:hAnsi="Arial" w:cs="Arial"/>
                <w:sz w:val="20"/>
                <w:szCs w:val="20"/>
              </w:rPr>
            </w:r>
            <w:r w:rsidR="003C3A6B">
              <w:rPr>
                <w:rFonts w:ascii="Arial" w:hAnsi="Arial" w:cs="Arial"/>
                <w:sz w:val="20"/>
                <w:szCs w:val="20"/>
              </w:rPr>
              <w:fldChar w:fldCharType="separate"/>
            </w:r>
            <w:r w:rsidRPr="00A237CE">
              <w:rPr>
                <w:rFonts w:ascii="Arial" w:hAnsi="Arial" w:cs="Arial"/>
                <w:sz w:val="20"/>
                <w:szCs w:val="20"/>
              </w:rPr>
              <w:fldChar w:fldCharType="end"/>
            </w:r>
            <w:bookmarkEnd w:id="6"/>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A6B" w:rsidRDefault="003C3A6B" w:rsidP="00E33385">
      <w:r>
        <w:separator/>
      </w:r>
    </w:p>
  </w:endnote>
  <w:endnote w:type="continuationSeparator" w:id="0">
    <w:p w:rsidR="003C3A6B" w:rsidRDefault="003C3A6B"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D078ED">
      <w:rPr>
        <w:rFonts w:ascii="Arial" w:hAnsi="Arial" w:cs="Arial"/>
        <w:i/>
        <w:noProof/>
        <w:sz w:val="16"/>
        <w:szCs w:val="16"/>
      </w:rPr>
      <w:t>5</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A6B" w:rsidRDefault="003C3A6B" w:rsidP="00E33385">
      <w:r>
        <w:separator/>
      </w:r>
    </w:p>
  </w:footnote>
  <w:footnote w:type="continuationSeparator" w:id="0">
    <w:p w:rsidR="003C3A6B" w:rsidRDefault="003C3A6B" w:rsidP="00E33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B6A40"/>
    <w:rsid w:val="000C6CBC"/>
    <w:rsid w:val="00162E01"/>
    <w:rsid w:val="00275E8E"/>
    <w:rsid w:val="00316A5E"/>
    <w:rsid w:val="00382FD0"/>
    <w:rsid w:val="003C3A6B"/>
    <w:rsid w:val="003D3F83"/>
    <w:rsid w:val="003E34F7"/>
    <w:rsid w:val="00477F43"/>
    <w:rsid w:val="004B0392"/>
    <w:rsid w:val="004E1299"/>
    <w:rsid w:val="00524CCA"/>
    <w:rsid w:val="005B14FC"/>
    <w:rsid w:val="005E745E"/>
    <w:rsid w:val="00620706"/>
    <w:rsid w:val="0064005D"/>
    <w:rsid w:val="006B07FD"/>
    <w:rsid w:val="006F34A9"/>
    <w:rsid w:val="007332A5"/>
    <w:rsid w:val="00836DD5"/>
    <w:rsid w:val="008B51C4"/>
    <w:rsid w:val="008B6C0D"/>
    <w:rsid w:val="008F658D"/>
    <w:rsid w:val="00933845"/>
    <w:rsid w:val="009452DC"/>
    <w:rsid w:val="00A42D8D"/>
    <w:rsid w:val="00AB3F4E"/>
    <w:rsid w:val="00AD0B8A"/>
    <w:rsid w:val="00BF2290"/>
    <w:rsid w:val="00C21840"/>
    <w:rsid w:val="00C64130"/>
    <w:rsid w:val="00C82656"/>
    <w:rsid w:val="00CA336F"/>
    <w:rsid w:val="00CC626B"/>
    <w:rsid w:val="00D078ED"/>
    <w:rsid w:val="00D52B61"/>
    <w:rsid w:val="00D655A9"/>
    <w:rsid w:val="00DB2E99"/>
    <w:rsid w:val="00DE72FA"/>
    <w:rsid w:val="00E33385"/>
    <w:rsid w:val="00E43782"/>
    <w:rsid w:val="00E540AF"/>
    <w:rsid w:val="00E9112C"/>
    <w:rsid w:val="00EA375B"/>
    <w:rsid w:val="00FB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B464B-11A6-455C-B60A-C6D518F4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5</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9</cp:revision>
  <cp:lastPrinted>2015-08-05T16:00:00Z</cp:lastPrinted>
  <dcterms:created xsi:type="dcterms:W3CDTF">2016-06-06T17:52:00Z</dcterms:created>
  <dcterms:modified xsi:type="dcterms:W3CDTF">2016-07-16T00:33:00Z</dcterms:modified>
</cp:coreProperties>
</file>