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6480"/>
        <w:gridCol w:w="2875"/>
      </w:tblGrid>
      <w:tr w:rsidR="007A468B" w:rsidTr="005E4F51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>Programming Languages/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Scripts:C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Development Applications/Frameworks: MS Visual Studio, MS SQL Server Management Studio, ASP, .NET, Tortoise SVN, 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Onbase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EMC,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TextPad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Sublime Text, VIM,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MyPhpAdmin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MySQL, Mercurial SCM, Visual Log Parser, Rational XDE Tester,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DropBox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 xml:space="preserve">Design/User Experience Applications/Frameworks: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Tester, Violet UML, Adobe Photoshop,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7A468B">
              <w:rPr>
                <w:rFonts w:asciiTheme="majorHAnsi" w:hAnsiTheme="majorHAnsi"/>
                <w:sz w:val="20"/>
                <w:szCs w:val="20"/>
              </w:rPr>
              <w:t>Platforms: Windows: 10, 8, 7, Vista, XP, and 2000. Android, UNIX</w:t>
            </w:r>
          </w:p>
        </w:tc>
      </w:tr>
      <w:tr w:rsidR="007A468B" w:rsidTr="005E4F51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5E4F51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648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</w:p>
        </w:tc>
        <w:tc>
          <w:tcPr>
            <w:tcW w:w="287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48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Campuses</w:t>
            </w:r>
          </w:p>
        </w:tc>
        <w:tc>
          <w:tcPr>
            <w:tcW w:w="287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Feb 2014 – Present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Noteworthy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48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87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48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87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6509F5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Note</w:t>
            </w:r>
          </w:p>
        </w:tc>
      </w:tr>
      <w:tr w:rsidR="006509F5" w:rsidTr="005E4F51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48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87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48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87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48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87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DESCR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That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5E4F51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648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87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Flags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>taff, AZ           May 2012</w:t>
            </w:r>
          </w:p>
        </w:tc>
      </w:tr>
      <w:tr w:rsidR="005E4F51" w:rsidTr="005E4F51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5E4F51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This and that.</w:t>
            </w:r>
          </w:p>
        </w:tc>
      </w:tr>
    </w:tbl>
    <w:p w:rsidR="0006472E" w:rsidRPr="0006472E" w:rsidRDefault="0006472E" w:rsidP="007A468B">
      <w:pPr>
        <w:rPr>
          <w:rFonts w:asciiTheme="majorHAnsi" w:hAnsiTheme="majorHAnsi"/>
          <w:sz w:val="20"/>
          <w:szCs w:val="20"/>
        </w:rPr>
      </w:pPr>
    </w:p>
    <w:sectPr w:rsidR="0006472E" w:rsidRPr="0006472E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566" w:rsidRDefault="00404566" w:rsidP="00F632F3">
      <w:pPr>
        <w:spacing w:after="0" w:line="240" w:lineRule="auto"/>
      </w:pPr>
      <w:r>
        <w:separator/>
      </w:r>
    </w:p>
  </w:endnote>
  <w:endnote w:type="continuationSeparator" w:id="0">
    <w:p w:rsidR="00404566" w:rsidRDefault="00404566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566" w:rsidRDefault="00404566" w:rsidP="00F632F3">
      <w:pPr>
        <w:spacing w:after="0" w:line="240" w:lineRule="auto"/>
      </w:pPr>
      <w:r>
        <w:separator/>
      </w:r>
    </w:p>
  </w:footnote>
  <w:footnote w:type="continuationSeparator" w:id="0">
    <w:p w:rsidR="00404566" w:rsidRDefault="00404566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F632F3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 w:rsidRPr="00F632F3"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5F68CE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6472E"/>
    <w:rsid w:val="00404566"/>
    <w:rsid w:val="005E4F51"/>
    <w:rsid w:val="006509F5"/>
    <w:rsid w:val="006F3BE7"/>
    <w:rsid w:val="007A468B"/>
    <w:rsid w:val="00990C90"/>
    <w:rsid w:val="00F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1629B"/>
  <w15:chartTrackingRefBased/>
  <w15:docId w15:val="{91B3D125-F0C1-4778-A927-6D4B09E6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2</cp:revision>
  <dcterms:created xsi:type="dcterms:W3CDTF">2018-05-15T19:24:00Z</dcterms:created>
  <dcterms:modified xsi:type="dcterms:W3CDTF">2018-05-15T21:27:00Z</dcterms:modified>
</cp:coreProperties>
</file>