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DC7D525" w:rsidR="008B45C5" w:rsidRPr="00A237CE" w:rsidRDefault="008B45C5" w:rsidP="00521726">
                  <w:pPr>
                    <w:rPr>
                      <w:rFonts w:ascii="Arial" w:hAnsi="Arial" w:cs="Arial"/>
                      <w:sz w:val="20"/>
                      <w:szCs w:val="20"/>
                    </w:rPr>
                  </w:pPr>
                  <w:r w:rsidRPr="00A237CE">
                    <w:rPr>
                      <w:rFonts w:ascii="Arial" w:hAnsi="Arial" w:cs="Arial"/>
                      <w:sz w:val="20"/>
                      <w:szCs w:val="20"/>
                    </w:rPr>
                    <w:t>To:</w:t>
                  </w:r>
                  <w:r w:rsidR="00470BFC">
                    <w:rPr>
                      <w:rFonts w:ascii="Arial" w:hAnsi="Arial" w:cs="Arial"/>
                      <w:sz w:val="20"/>
                      <w:szCs w:val="20"/>
                    </w:rPr>
                    <w:t>04/30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917D72">
                    <w:rPr>
                      <w:rFonts w:ascii="Arial" w:hAnsi="Arial" w:cs="Arial"/>
                      <w:sz w:val="18"/>
                      <w:szCs w:val="18"/>
                    </w:rPr>
                  </w:r>
                  <w:r w:rsidR="00917D72">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917D72">
                    <w:rPr>
                      <w:rFonts w:ascii="Arial" w:hAnsi="Arial" w:cs="Arial"/>
                      <w:sz w:val="18"/>
                      <w:szCs w:val="18"/>
                    </w:rPr>
                  </w:r>
                  <w:r w:rsidR="00917D72">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917D72">
                    <w:rPr>
                      <w:rFonts w:ascii="Arial" w:hAnsi="Arial" w:cs="Arial"/>
                      <w:sz w:val="18"/>
                      <w:szCs w:val="18"/>
                    </w:rPr>
                  </w:r>
                  <w:r w:rsidR="00917D72">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17D72">
                    <w:rPr>
                      <w:rFonts w:ascii="Arial" w:hAnsi="Arial" w:cs="Arial"/>
                      <w:b/>
                      <w:sz w:val="20"/>
                      <w:szCs w:val="20"/>
                    </w:rPr>
                  </w:r>
                  <w:r w:rsidR="00917D7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17D72">
                    <w:rPr>
                      <w:rFonts w:ascii="Arial" w:hAnsi="Arial" w:cs="Arial"/>
                      <w:b/>
                      <w:sz w:val="20"/>
                      <w:szCs w:val="20"/>
                    </w:rPr>
                  </w:r>
                  <w:r w:rsidR="00917D7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917D72">
                    <w:rPr>
                      <w:rFonts w:ascii="Arial" w:hAnsi="Arial" w:cs="Arial"/>
                      <w:b/>
                      <w:sz w:val="20"/>
                      <w:szCs w:val="20"/>
                    </w:rPr>
                  </w:r>
                  <w:r w:rsidR="00917D72">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917D72">
                    <w:rPr>
                      <w:rFonts w:ascii="Arial" w:hAnsi="Arial" w:cs="Arial"/>
                      <w:b/>
                      <w:sz w:val="20"/>
                      <w:szCs w:val="20"/>
                    </w:rPr>
                  </w:r>
                  <w:r w:rsidR="00917D7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917D72">
                    <w:rPr>
                      <w:rFonts w:ascii="Arial" w:hAnsi="Arial" w:cs="Arial"/>
                      <w:b/>
                      <w:sz w:val="20"/>
                      <w:szCs w:val="20"/>
                    </w:rPr>
                  </w:r>
                  <w:r w:rsidR="00917D7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6957CA36" w14:textId="77777777" w:rsidR="008B45C5" w:rsidRDefault="008B45C5" w:rsidP="00D14930">
            <w:pPr>
              <w:shd w:val="clear" w:color="auto" w:fill="E6E6E6"/>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70977222" w14:textId="1A41282D"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Default="00DD2893" w:rsidP="00D14930">
            <w:pPr>
              <w:pStyle w:val="ListParagraph"/>
              <w:numPr>
                <w:ilvl w:val="0"/>
                <w:numId w:val="12"/>
              </w:numPr>
              <w:shd w:val="clear" w:color="auto" w:fill="E6E6E6"/>
              <w:rPr>
                <w:rFonts w:ascii="Arial" w:hAnsi="Arial" w:cs="Arial"/>
                <w:sz w:val="20"/>
                <w:szCs w:val="20"/>
              </w:rPr>
            </w:pPr>
            <w:r>
              <w:rPr>
                <w:rFonts w:ascii="Arial" w:hAnsi="Arial" w:cs="Arial"/>
                <w:sz w:val="20"/>
                <w:szCs w:val="20"/>
              </w:rPr>
              <w:t>July 2016</w:t>
            </w:r>
            <w:r w:rsidR="009C668A">
              <w:rPr>
                <w:rFonts w:ascii="Arial" w:hAnsi="Arial" w:cs="Arial"/>
                <w:sz w:val="20"/>
                <w:szCs w:val="20"/>
              </w:rPr>
              <w:t xml:space="preserve"> – March 2017: For the greater part of the appraisal period, Talbert worked with a team on a project for Social Work to create a web application to </w:t>
            </w:r>
            <w:r w:rsidR="00281E01">
              <w:rPr>
                <w:rFonts w:ascii="Arial" w:hAnsi="Arial" w:cs="Arial"/>
                <w:sz w:val="20"/>
                <w:szCs w:val="20"/>
              </w:rPr>
              <w:t>manage an internal application submitted by students to be placed into internships, offered by third-party agencies</w:t>
            </w:r>
            <w:r w:rsidR="009835AC">
              <w:rPr>
                <w:rFonts w:ascii="Arial" w:hAnsi="Arial" w:cs="Arial"/>
                <w:sz w:val="20"/>
                <w:szCs w:val="20"/>
              </w:rPr>
              <w:t>.</w:t>
            </w:r>
            <w:r w:rsidR="00EF02A1">
              <w:rPr>
                <w:rFonts w:ascii="Arial" w:hAnsi="Arial" w:cs="Arial"/>
                <w:sz w:val="20"/>
                <w:szCs w:val="20"/>
              </w:rPr>
              <w:t xml:space="preserve"> This project will be known as Internship Management. </w:t>
            </w:r>
            <w:r w:rsidR="004A3F49">
              <w:rPr>
                <w:rFonts w:ascii="Arial" w:hAnsi="Arial" w:cs="Arial"/>
                <w:sz w:val="20"/>
                <w:szCs w:val="20"/>
              </w:rPr>
              <w:t xml:space="preserve">This project was meant to replace a fully paper process. </w:t>
            </w:r>
            <w:r>
              <w:rPr>
                <w:rFonts w:ascii="Arial" w:hAnsi="Arial" w:cs="Arial"/>
                <w:sz w:val="20"/>
                <w:szCs w:val="20"/>
              </w:rPr>
              <w:t>For this project, it was decided by others that this will be utilizing MVC in C# and using a new Entity Framework called Code-First.</w:t>
            </w:r>
            <w:r w:rsidR="006E15C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87E1DDF" w:rsidR="00521726" w:rsidRPr="00A532BA" w:rsidRDefault="00EF02A1" w:rsidP="00521726">
            <w:pPr>
              <w:pStyle w:val="ListParagraph"/>
              <w:numPr>
                <w:ilvl w:val="0"/>
                <w:numId w:val="9"/>
              </w:numPr>
              <w:shd w:val="clear" w:color="auto" w:fill="E6E6E6"/>
              <w:rPr>
                <w:rFonts w:ascii="Arial" w:hAnsi="Arial" w:cs="Arial"/>
                <w:sz w:val="20"/>
                <w:szCs w:val="20"/>
              </w:rPr>
            </w:pPr>
            <w:r>
              <w:rPr>
                <w:rFonts w:ascii="Arial" w:hAnsi="Arial" w:cs="Arial"/>
                <w:sz w:val="20"/>
                <w:szCs w:val="20"/>
              </w:rPr>
              <w:t xml:space="preserve">July 2016 – March 2017: </w:t>
            </w:r>
            <w:r w:rsidR="00A9639B">
              <w:rPr>
                <w:rFonts w:ascii="Arial" w:hAnsi="Arial" w:cs="Arial"/>
                <w:sz w:val="20"/>
                <w:szCs w:val="20"/>
              </w:rPr>
              <w:t>For th</w:t>
            </w:r>
            <w:r w:rsidR="00D92F4D">
              <w:rPr>
                <w:rFonts w:ascii="Arial" w:hAnsi="Arial" w:cs="Arial"/>
                <w:sz w:val="20"/>
                <w:szCs w:val="20"/>
              </w:rPr>
              <w:t xml:space="preserve">e Internship Management project, Talbert and the team, used Code-First coding techniques. This </w:t>
            </w:r>
            <w:r w:rsidR="00795C4D">
              <w:rPr>
                <w:rFonts w:ascii="Arial" w:hAnsi="Arial" w:cs="Arial"/>
                <w:sz w:val="20"/>
                <w:szCs w:val="20"/>
              </w:rPr>
              <w:t>is a new technique for t</w:t>
            </w:r>
            <w:r w:rsidR="0050619A">
              <w:rPr>
                <w:rFonts w:ascii="Arial" w:hAnsi="Arial" w:cs="Arial"/>
                <w:sz w:val="20"/>
                <w:szCs w:val="20"/>
              </w:rPr>
              <w:t xml:space="preserve">he Application Development Team. The concept for this technique is that the program developers are able to focus developing code without bringing in database administrators to setup databases and tables. </w:t>
            </w:r>
            <w:bookmarkStart w:id="2" w:name="_GoBack"/>
            <w:bookmarkEnd w:id="2"/>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6F75B5C8" w:rsidR="00521726" w:rsidRPr="006E3496" w:rsidRDefault="00521726" w:rsidP="00521726">
            <w:pPr>
              <w:pStyle w:val="ListParagraph"/>
              <w:numPr>
                <w:ilvl w:val="0"/>
                <w:numId w:val="11"/>
              </w:numPr>
              <w:shd w:val="clear" w:color="auto" w:fill="E6E6E6"/>
              <w:rPr>
                <w:rFonts w:ascii="Arial" w:hAnsi="Arial" w:cs="Arial"/>
                <w:sz w:val="20"/>
                <w:szCs w:val="20"/>
              </w:rPr>
            </w:pP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11CBBBF6" w:rsidR="00521726" w:rsidRPr="00A532BA" w:rsidRDefault="00521726" w:rsidP="00521726">
            <w:pPr>
              <w:pStyle w:val="ListParagraph"/>
              <w:numPr>
                <w:ilvl w:val="0"/>
                <w:numId w:val="10"/>
              </w:numPr>
              <w:shd w:val="clear" w:color="auto" w:fill="E6E6E6"/>
              <w:rPr>
                <w:rFonts w:ascii="Arial" w:hAnsi="Arial" w:cs="Arial"/>
                <w:sz w:val="20"/>
                <w:szCs w:val="20"/>
              </w:rPr>
            </w:pP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17D72">
              <w:rPr>
                <w:rFonts w:ascii="Arial" w:hAnsi="Arial" w:cs="Arial"/>
                <w:b/>
                <w:sz w:val="20"/>
                <w:szCs w:val="20"/>
              </w:rPr>
            </w:r>
            <w:r w:rsidR="00917D7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17D72">
              <w:rPr>
                <w:rFonts w:ascii="Arial" w:hAnsi="Arial" w:cs="Arial"/>
                <w:b/>
                <w:sz w:val="20"/>
                <w:szCs w:val="20"/>
              </w:rPr>
            </w:r>
            <w:r w:rsidR="00917D7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917D72">
              <w:rPr>
                <w:rFonts w:ascii="Arial" w:hAnsi="Arial" w:cs="Arial"/>
                <w:b/>
                <w:sz w:val="20"/>
                <w:szCs w:val="20"/>
              </w:rPr>
            </w:r>
            <w:r w:rsidR="00917D72">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917D72">
              <w:rPr>
                <w:rFonts w:ascii="Arial" w:hAnsi="Arial" w:cs="Arial"/>
                <w:b/>
                <w:sz w:val="20"/>
                <w:szCs w:val="20"/>
              </w:rPr>
            </w:r>
            <w:r w:rsidR="00917D7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917D72">
              <w:rPr>
                <w:rFonts w:ascii="Arial" w:hAnsi="Arial" w:cs="Arial"/>
                <w:b/>
                <w:sz w:val="20"/>
                <w:szCs w:val="20"/>
              </w:rPr>
            </w:r>
            <w:r w:rsidR="00917D7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77777777" w:rsidR="00521726" w:rsidRDefault="00521726" w:rsidP="00521726">
            <w:pPr>
              <w:shd w:val="clear" w:color="auto" w:fill="E6E6E6"/>
              <w:rPr>
                <w:rFonts w:ascii="Arial" w:hAnsi="Arial" w:cs="Arial"/>
                <w:sz w:val="20"/>
                <w:szCs w:val="20"/>
              </w:rPr>
            </w:pP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3" w:name="Check22"/>
            <w:r w:rsidR="00521726">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00521726">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17D72">
              <w:rPr>
                <w:rFonts w:ascii="Arial" w:hAnsi="Arial" w:cs="Arial"/>
                <w:b/>
                <w:sz w:val="18"/>
                <w:szCs w:val="18"/>
              </w:rPr>
            </w:r>
            <w:r w:rsidR="00917D7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77777777" w:rsidR="008B45C5" w:rsidRPr="00A237CE" w:rsidRDefault="008B45C5" w:rsidP="0099345A">
            <w:pPr>
              <w:shd w:val="clear" w:color="auto" w:fill="E6E6E6"/>
              <w:rPr>
                <w:rFonts w:ascii="Arial" w:hAnsi="Arial" w:cs="Arial"/>
                <w:sz w:val="20"/>
                <w:szCs w:val="20"/>
              </w:rPr>
            </w:pP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6D69E59C" w:rsidR="00521726" w:rsidRPr="00160D5B"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7916B774"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Training. Self-paced </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917D72">
              <w:rPr>
                <w:rFonts w:ascii="Arial" w:hAnsi="Arial" w:cs="Arial"/>
                <w:sz w:val="20"/>
                <w:szCs w:val="20"/>
              </w:rPr>
            </w:r>
            <w:r w:rsidR="00917D72">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917D72">
              <w:rPr>
                <w:rFonts w:ascii="Arial" w:hAnsi="Arial" w:cs="Arial"/>
                <w:sz w:val="20"/>
                <w:szCs w:val="20"/>
              </w:rPr>
            </w:r>
            <w:r w:rsidR="00917D72">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917D72">
              <w:rPr>
                <w:rFonts w:ascii="Arial" w:hAnsi="Arial" w:cs="Arial"/>
                <w:sz w:val="20"/>
                <w:szCs w:val="20"/>
              </w:rPr>
            </w:r>
            <w:r w:rsidR="00917D72">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917D72">
              <w:rPr>
                <w:rFonts w:ascii="Arial" w:hAnsi="Arial" w:cs="Arial"/>
                <w:sz w:val="20"/>
                <w:szCs w:val="20"/>
              </w:rPr>
            </w:r>
            <w:r w:rsidR="00917D72">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917D72">
              <w:rPr>
                <w:rFonts w:ascii="Arial" w:hAnsi="Arial" w:cs="Arial"/>
                <w:sz w:val="20"/>
                <w:szCs w:val="20"/>
              </w:rPr>
            </w:r>
            <w:r w:rsidR="00917D72">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77777777" w:rsidR="008B45C5" w:rsidRPr="00A237CE" w:rsidRDefault="008B45C5" w:rsidP="0099345A">
            <w:pPr>
              <w:rPr>
                <w:rFonts w:ascii="Arial" w:hAnsi="Arial" w:cs="Arial"/>
                <w:sz w:val="20"/>
                <w:szCs w:val="20"/>
              </w:rPr>
            </w:pP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917D72">
              <w:rPr>
                <w:rFonts w:ascii="Arial" w:hAnsi="Arial" w:cs="Arial"/>
                <w:sz w:val="20"/>
                <w:szCs w:val="20"/>
              </w:rPr>
            </w:r>
            <w:r w:rsidR="00917D72">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917D72">
              <w:rPr>
                <w:rFonts w:ascii="Arial" w:hAnsi="Arial" w:cs="Arial"/>
                <w:sz w:val="20"/>
                <w:szCs w:val="20"/>
              </w:rPr>
            </w:r>
            <w:r w:rsidR="00917D72">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048A1" w14:textId="77777777" w:rsidR="00917D72" w:rsidRDefault="00917D72" w:rsidP="002E5B10">
      <w:r>
        <w:separator/>
      </w:r>
    </w:p>
  </w:endnote>
  <w:endnote w:type="continuationSeparator" w:id="0">
    <w:p w14:paraId="468599D6" w14:textId="77777777" w:rsidR="00917D72" w:rsidRDefault="00917D72"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09FCA344"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50619A">
      <w:rPr>
        <w:rFonts w:ascii="Arial" w:hAnsi="Arial" w:cs="Arial"/>
        <w:i/>
        <w:noProof/>
        <w:sz w:val="16"/>
        <w:szCs w:val="16"/>
      </w:rPr>
      <w:t>5</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4DCDE" w14:textId="77777777" w:rsidR="00917D72" w:rsidRDefault="00917D72" w:rsidP="002E5B10">
      <w:r>
        <w:separator/>
      </w:r>
    </w:p>
  </w:footnote>
  <w:footnote w:type="continuationSeparator" w:id="0">
    <w:p w14:paraId="66F6B8E9" w14:textId="77777777" w:rsidR="00917D72" w:rsidRDefault="00917D72"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3037F"/>
    <w:rsid w:val="0005786F"/>
    <w:rsid w:val="000D763B"/>
    <w:rsid w:val="0016196D"/>
    <w:rsid w:val="00187A3A"/>
    <w:rsid w:val="001A7980"/>
    <w:rsid w:val="0024562E"/>
    <w:rsid w:val="00281E01"/>
    <w:rsid w:val="002C276A"/>
    <w:rsid w:val="002D4FEC"/>
    <w:rsid w:val="002E5B10"/>
    <w:rsid w:val="003233B9"/>
    <w:rsid w:val="00380E9A"/>
    <w:rsid w:val="003D2D15"/>
    <w:rsid w:val="00431E76"/>
    <w:rsid w:val="00470BFC"/>
    <w:rsid w:val="004A3667"/>
    <w:rsid w:val="004A3F49"/>
    <w:rsid w:val="0050619A"/>
    <w:rsid w:val="00521726"/>
    <w:rsid w:val="00551DE4"/>
    <w:rsid w:val="005A6858"/>
    <w:rsid w:val="005C4BF7"/>
    <w:rsid w:val="006628D0"/>
    <w:rsid w:val="006E15C4"/>
    <w:rsid w:val="00795C4D"/>
    <w:rsid w:val="00850782"/>
    <w:rsid w:val="00854C9D"/>
    <w:rsid w:val="00891D27"/>
    <w:rsid w:val="008B45C5"/>
    <w:rsid w:val="00917D72"/>
    <w:rsid w:val="009835AC"/>
    <w:rsid w:val="009B494E"/>
    <w:rsid w:val="009B754B"/>
    <w:rsid w:val="009C668A"/>
    <w:rsid w:val="009E40D6"/>
    <w:rsid w:val="009F5F9D"/>
    <w:rsid w:val="00A9639B"/>
    <w:rsid w:val="00BB7061"/>
    <w:rsid w:val="00C21840"/>
    <w:rsid w:val="00D14930"/>
    <w:rsid w:val="00D33D1F"/>
    <w:rsid w:val="00D5169F"/>
    <w:rsid w:val="00D554A1"/>
    <w:rsid w:val="00D66FB4"/>
    <w:rsid w:val="00D72348"/>
    <w:rsid w:val="00D92F4D"/>
    <w:rsid w:val="00DB6F2E"/>
    <w:rsid w:val="00DD2893"/>
    <w:rsid w:val="00E20E0F"/>
    <w:rsid w:val="00E651CA"/>
    <w:rsid w:val="00E91413"/>
    <w:rsid w:val="00EA457F"/>
    <w:rsid w:val="00EF02A1"/>
    <w:rsid w:val="00F010B2"/>
    <w:rsid w:val="00F261EE"/>
    <w:rsid w:val="00F8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83BFE-AF75-40B0-AC74-4812DB306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5</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5</cp:revision>
  <cp:lastPrinted>2017-10-12T18:03:00Z</cp:lastPrinted>
  <dcterms:created xsi:type="dcterms:W3CDTF">2017-10-12T18:06:00Z</dcterms:created>
  <dcterms:modified xsi:type="dcterms:W3CDTF">2018-07-09T19:30:00Z</dcterms:modified>
</cp:coreProperties>
</file>