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03120" cy="929118"/>
            <wp:docPr id="1" name="Picture 1"/>
            <wp:cNvGraphicFramePr>
              <a:graphicFrameLocks noChangeAspect="1"/>
            </wp:cNvGraphicFramePr>
            <a:graphic>
              <a:graphicData uri="http://schemas.openxmlformats.org/drawingml/2006/picture">
                <pic:pic>
                  <pic:nvPicPr>
                    <pic:cNvPr id="0" name="image25.jpeg"/>
                    <pic:cNvPicPr/>
                  </pic:nvPicPr>
                  <pic:blipFill>
                    <a:blip r:embed="rId11"/>
                    <a:stretch>
                      <a:fillRect/>
                    </a:stretch>
                  </pic:blipFill>
                  <pic:spPr>
                    <a:xfrm>
                      <a:off x="0" y="0"/>
                      <a:ext cx="2103120" cy="929118"/>
                    </a:xfrm>
                    <a:prstGeom prst="rect"/>
                  </pic:spPr>
                </pic:pic>
              </a:graphicData>
            </a:graphic>
          </wp:inline>
        </w:drawing>
      </w:r>
    </w:p>
    <w:p>
      <w:pPr>
        <w:jc w:val="center"/>
      </w:pPr>
      <w:r>
        <w:rPr>
          <w:b/>
          <w:color w:val="123C69"/>
          <w:sz w:val="28"/>
        </w:rPr>
        <w:t>INGENIERÍA DE SISTEMAS</w:t>
      </w:r>
    </w:p>
    <w:p>
      <w:pPr>
        <w:jc w:val="center"/>
      </w:pPr>
      <w:r>
        <w:rPr>
          <w:b/>
          <w:color w:val="123C69"/>
          <w:sz w:val="28"/>
        </w:rPr>
        <w:t>ASEGURAMIENTO DE LA CALIDAD</w:t>
      </w:r>
    </w:p>
    <w:p/>
    <w:p>
      <w:pPr>
        <w:jc w:val="center"/>
      </w:pPr>
      <w:r>
        <w:rPr>
          <w:b/>
          <w:color w:val="123C69"/>
          <w:sz w:val="36"/>
        </w:rPr>
        <w:t>ASEGURAMIENTO DE LA CALIDAD DE SOFTWARE</w:t>
      </w:r>
    </w:p>
    <w:p>
      <w:pPr>
        <w:jc w:val="center"/>
      </w:pPr>
      <w:r>
        <w:rPr>
          <w:b/>
          <w:color w:val="0B4F6C"/>
          <w:sz w:val="32"/>
        </w:rPr>
        <w:t>PRUEBAS CASO FINAL SOBRE CNARIOS</w:t>
      </w:r>
    </w:p>
    <w:p/>
    <w:p/>
    <w:p>
      <w:pPr>
        <w:jc w:val="center"/>
      </w:pPr>
      <w:r>
        <w:rPr>
          <w:b/>
          <w:sz w:val="24"/>
        </w:rPr>
        <w:t>FELIPE LONDOÑO GARCÍA</w:t>
      </w:r>
    </w:p>
    <w:p>
      <w:pPr>
        <w:jc w:val="center"/>
      </w:pPr>
      <w:r>
        <w:rPr>
          <w:b/>
          <w:sz w:val="24"/>
        </w:rPr>
        <w:t>JUAN PABLO GÓMEZ RAMÍREZ</w:t>
      </w:r>
    </w:p>
    <w:p>
      <w:pPr>
        <w:jc w:val="center"/>
      </w:pPr>
      <w:r>
        <w:rPr>
          <w:b/>
          <w:sz w:val="24"/>
        </w:rPr>
        <w:t>ZIUVAR RUIZ ÁLVAREZ</w:t>
      </w:r>
    </w:p>
    <w:p/>
    <w:p>
      <w:pPr>
        <w:jc w:val="center"/>
      </w:pPr>
      <w:r>
        <w:rPr>
          <w:b/>
          <w:sz w:val="22"/>
        </w:rPr>
        <w:t>GRUPO 190304017-1</w:t>
      </w:r>
    </w:p>
    <w:p>
      <w:pPr>
        <w:jc w:val="center"/>
      </w:pPr>
      <w:r>
        <w:rPr>
          <w:b w:val="0"/>
          <w:sz w:val="22"/>
        </w:rPr>
        <w:t>INSTITUTO TECNOLÓGICO METROPOLITANO</w:t>
      </w:r>
    </w:p>
    <w:p>
      <w:pPr>
        <w:jc w:val="center"/>
      </w:pPr>
      <w:r>
        <w:rPr>
          <w:b w:val="0"/>
          <w:sz w:val="22"/>
        </w:rPr>
        <w:t>MEDELLÍN</w:t>
      </w:r>
    </w:p>
    <w:p>
      <w:pPr>
        <w:jc w:val="center"/>
      </w:pPr>
      <w:r>
        <w:rPr>
          <w:b w:val="0"/>
          <w:sz w:val="22"/>
        </w:rPr>
        <w:t>2026</w:t>
      </w:r>
    </w:p>
    <w:p>
      <w:r>
        <w:br w:type="page"/>
      </w:r>
    </w:p>
    <w:p>
      <w:pPr>
        <w:pStyle w:val="Heading1"/>
      </w:pPr>
      <w:r>
        <w:rPr>
          <w:color w:val="123C69"/>
        </w:rPr>
        <w:t>Tabla de contenido</w:t>
      </w:r>
    </w:p>
    <w:p>
      <w:pPr>
        <w:pStyle w:val="ListBullet"/>
        <w:spacing w:after="40"/>
      </w:pPr>
      <w:r>
        <w:rPr>
          <w:sz w:val="20"/>
        </w:rPr>
        <w:t>1. Introducción</w:t>
      </w:r>
    </w:p>
    <w:p>
      <w:pPr>
        <w:pStyle w:val="ListBullet"/>
        <w:spacing w:after="40"/>
      </w:pPr>
      <w:r>
        <w:rPr>
          <w:sz w:val="20"/>
        </w:rPr>
        <w:t>2. Contexto del proyecto</w:t>
      </w:r>
    </w:p>
    <w:p>
      <w:pPr>
        <w:pStyle w:val="ListBullet"/>
        <w:spacing w:after="40"/>
      </w:pPr>
      <w:r>
        <w:rPr>
          <w:sz w:val="20"/>
        </w:rPr>
        <w:t>3. Requerimientos y criterios de calidad</w:t>
      </w:r>
    </w:p>
    <w:p>
      <w:pPr>
        <w:pStyle w:val="ListBullet"/>
        <w:spacing w:after="40"/>
      </w:pPr>
      <w:r>
        <w:rPr>
          <w:sz w:val="20"/>
        </w:rPr>
        <w:t>4. Plan de pruebas</w:t>
      </w:r>
    </w:p>
    <w:p>
      <w:pPr>
        <w:pStyle w:val="ListBullet"/>
        <w:spacing w:after="40"/>
      </w:pPr>
      <w:r>
        <w:rPr>
          <w:sz w:val="20"/>
        </w:rPr>
        <w:t>5. Diseño de casos de prueba</w:t>
      </w:r>
    </w:p>
    <w:p>
      <w:pPr>
        <w:pStyle w:val="ListBullet"/>
        <w:spacing w:after="40"/>
      </w:pPr>
      <w:r>
        <w:rPr>
          <w:sz w:val="20"/>
        </w:rPr>
        <w:t>6. Ejecución y evidencias de pruebas</w:t>
      </w:r>
    </w:p>
    <w:p>
      <w:pPr>
        <w:pStyle w:val="ListBullet"/>
        <w:spacing w:after="40"/>
      </w:pPr>
      <w:r>
        <w:rPr>
          <w:sz w:val="20"/>
        </w:rPr>
        <w:t>7. Automatización de pruebas</w:t>
      </w:r>
    </w:p>
    <w:p>
      <w:pPr>
        <w:pStyle w:val="ListBullet"/>
        <w:spacing w:after="40"/>
      </w:pPr>
      <w:r>
        <w:rPr>
          <w:sz w:val="20"/>
        </w:rPr>
        <w:t>8. Gestión de defectos</w:t>
      </w:r>
    </w:p>
    <w:p>
      <w:pPr>
        <w:pStyle w:val="ListBullet"/>
        <w:spacing w:after="40"/>
      </w:pPr>
      <w:r>
        <w:rPr>
          <w:sz w:val="20"/>
        </w:rPr>
        <w:t>9. Pruebas de seguridad</w:t>
      </w:r>
    </w:p>
    <w:p>
      <w:pPr>
        <w:pStyle w:val="ListBullet"/>
        <w:spacing w:after="40"/>
      </w:pPr>
      <w:r>
        <w:rPr>
          <w:sz w:val="20"/>
        </w:rPr>
        <w:t>10. Métricas de calidad</w:t>
      </w:r>
    </w:p>
    <w:p>
      <w:pPr>
        <w:pStyle w:val="ListBullet"/>
        <w:spacing w:after="40"/>
      </w:pPr>
      <w:r>
        <w:rPr>
          <w:sz w:val="20"/>
        </w:rPr>
        <w:t>11. Reflexión y lecciones aprendidas</w:t>
      </w:r>
    </w:p>
    <w:p>
      <w:pPr>
        <w:pStyle w:val="ListBullet"/>
        <w:spacing w:after="40"/>
      </w:pPr>
      <w:r>
        <w:rPr>
          <w:sz w:val="20"/>
        </w:rPr>
        <w:t>12. Conclusiones</w:t>
      </w:r>
    </w:p>
    <w:p>
      <w:pPr>
        <w:pStyle w:val="ListBullet"/>
        <w:spacing w:after="40"/>
      </w:pPr>
      <w:r>
        <w:rPr>
          <w:sz w:val="20"/>
        </w:rPr>
        <w:t>13. Anexos</w:t>
      </w:r>
    </w:p>
    <w:p>
      <w:r>
        <w:br w:type="page"/>
      </w:r>
    </w:p>
    <w:p>
      <w:pPr>
        <w:pStyle w:val="Heading1"/>
      </w:pPr>
      <w:r>
        <w:rPr>
          <w:color w:val="123C69"/>
        </w:rPr>
        <w:t>1. Introducción</w:t>
      </w:r>
    </w:p>
    <w:p>
      <w:pPr>
        <w:spacing w:after="120" w:line="259" w:lineRule="auto"/>
        <w:jc w:val="both"/>
      </w:pPr>
      <w:r>
        <w:rPr>
          <w:color w:val="172033"/>
          <w:sz w:val="21"/>
        </w:rPr>
        <w:t>El presente informe documenta la planificación, diseño, ejecución y análisis de actividades de aseguramiento de calidad aplicadas sobre el sistema web Cnarios. El objetivo es evidenciar el uso integrado de pruebas funcionales y no funcionales, automatización, gestión de defectos, seguridad, métricas de calidad y análisis de resultados sobre un sistema funcional real.</w:t>
      </w:r>
    </w:p>
    <w:p>
      <w:pPr>
        <w:spacing w:after="120" w:line="259" w:lineRule="auto"/>
        <w:jc w:val="both"/>
      </w:pPr>
      <w:r>
        <w:rPr>
          <w:color w:val="172033"/>
          <w:sz w:val="21"/>
        </w:rPr>
        <w:t>Se seleccionó Cnarios porque ofrece escenarios prácticos para automatización web, incluyendo iframes, múltiples ventanas, enlaces, tablas, paginación, filtros y contenido educativo. Esto permite aplicar técnicas de prueba de caja negra y automatización con Playwright sobre funcionalidades observables, sin depender de acceso al código fuente del producto.</w:t>
      </w:r>
    </w:p>
    <w:p>
      <w:pPr>
        <w:spacing w:after="120" w:line="259" w:lineRule="auto"/>
        <w:jc w:val="both"/>
      </w:pPr>
      <w:r>
        <w:rPr>
          <w:color w:val="172033"/>
          <w:sz w:val="21"/>
        </w:rPr>
        <w:t>El trabajo fue desarrollado sobre un repositorio de pruebas propio, disponible en GitHub, donde se organizan scripts automatizados, evidencias, reportes, configuraciones, métricas y documentación técnica.</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00"/>
        <w:gridCol w:w="5100"/>
      </w:tblGrid>
      <w:tr>
        <w:trPr>
          <w:tblHeader w:val="true"/>
        </w:trPr>
        <w:tc>
          <w:tcPr>
            <w:tcW w:type="dxa" w:w="2448"/>
            <w:vAlign w:val="top"/>
            <w:shd w:fill="EAF3F8"/>
          </w:tcPr>
          <w:p>
            <w:pPr>
              <w:spacing w:after="0"/>
            </w:pPr>
            <w:r/>
            <w:r>
              <w:rPr>
                <w:b/>
                <w:color w:val="123C69"/>
                <w:sz w:val="17"/>
              </w:rPr>
              <w:t>Elemento</w:t>
            </w:r>
          </w:p>
        </w:tc>
        <w:tc>
          <w:tcPr>
            <w:tcW w:type="dxa" w:w="6768"/>
            <w:vAlign w:val="top"/>
            <w:shd w:fill="EAF3F8"/>
          </w:tcPr>
          <w:p>
            <w:pPr>
              <w:spacing w:after="0"/>
            </w:pPr>
            <w:r/>
            <w:r>
              <w:rPr>
                <w:b/>
                <w:color w:val="123C69"/>
                <w:sz w:val="17"/>
              </w:rPr>
              <w:t>Descripción</w:t>
            </w:r>
          </w:p>
        </w:tc>
      </w:tr>
      <w:tr>
        <w:tc>
          <w:tcPr>
            <w:tcW w:type="dxa" w:w="2448"/>
            <w:vAlign w:val="top"/>
          </w:tcPr>
          <w:p>
            <w:pPr>
              <w:spacing w:after="0"/>
            </w:pPr>
            <w:r/>
            <w:r>
              <w:rPr>
                <w:b w:val="0"/>
                <w:sz w:val="17"/>
              </w:rPr>
              <w:t>Sistema evaluado</w:t>
            </w:r>
          </w:p>
        </w:tc>
        <w:tc>
          <w:tcPr>
            <w:tcW w:type="dxa" w:w="6768"/>
            <w:vAlign w:val="top"/>
          </w:tcPr>
          <w:p>
            <w:pPr>
              <w:spacing w:after="0"/>
            </w:pPr>
            <w:r/>
            <w:r>
              <w:rPr>
                <w:b w:val="0"/>
                <w:sz w:val="17"/>
              </w:rPr>
              <w:t>Cnarios</w:t>
            </w:r>
          </w:p>
        </w:tc>
      </w:tr>
      <w:tr>
        <w:tc>
          <w:tcPr>
            <w:tcW w:type="dxa" w:w="2448"/>
            <w:vAlign w:val="top"/>
          </w:tcPr>
          <w:p>
            <w:pPr>
              <w:spacing w:after="0"/>
            </w:pPr>
            <w:r/>
            <w:r>
              <w:rPr>
                <w:b w:val="0"/>
                <w:sz w:val="17"/>
              </w:rPr>
              <w:t>URL del sistema</w:t>
            </w:r>
          </w:p>
        </w:tc>
        <w:tc>
          <w:tcPr>
            <w:tcW w:type="dxa" w:w="6768"/>
            <w:vAlign w:val="top"/>
          </w:tcPr>
          <w:p>
            <w:pPr>
              <w:spacing w:after="0"/>
            </w:pPr>
            <w:r/>
            <w:r>
              <w:rPr>
                <w:b w:val="0"/>
                <w:sz w:val="17"/>
              </w:rPr>
              <w:t>https://www.cnarios.com</w:t>
            </w:r>
          </w:p>
        </w:tc>
      </w:tr>
      <w:tr>
        <w:tc>
          <w:tcPr>
            <w:tcW w:type="dxa" w:w="2448"/>
            <w:vAlign w:val="top"/>
          </w:tcPr>
          <w:p>
            <w:pPr>
              <w:spacing w:after="0"/>
            </w:pPr>
            <w:r/>
            <w:r>
              <w:rPr>
                <w:b w:val="0"/>
                <w:sz w:val="17"/>
              </w:rPr>
              <w:t>Repositorio</w:t>
            </w:r>
          </w:p>
        </w:tc>
        <w:tc>
          <w:tcPr>
            <w:tcW w:type="dxa" w:w="6768"/>
            <w:vAlign w:val="top"/>
          </w:tcPr>
          <w:p>
            <w:pPr>
              <w:spacing w:after="0"/>
            </w:pPr>
            <w:r/>
            <w:r>
              <w:rPr>
                <w:b w:val="0"/>
                <w:sz w:val="17"/>
              </w:rPr>
              <w:t>https://github.com/ziuvar/PROYECTO-FINAL-ASEGURAMIENTO.git</w:t>
            </w:r>
          </w:p>
        </w:tc>
      </w:tr>
      <w:tr>
        <w:tc>
          <w:tcPr>
            <w:tcW w:type="dxa" w:w="2448"/>
            <w:vAlign w:val="top"/>
          </w:tcPr>
          <w:p>
            <w:pPr>
              <w:spacing w:after="0"/>
            </w:pPr>
            <w:r/>
            <w:r>
              <w:rPr>
                <w:b w:val="0"/>
                <w:sz w:val="17"/>
              </w:rPr>
              <w:t>Tipo de evaluación</w:t>
            </w:r>
          </w:p>
        </w:tc>
        <w:tc>
          <w:tcPr>
            <w:tcW w:type="dxa" w:w="6768"/>
            <w:vAlign w:val="top"/>
          </w:tcPr>
          <w:p>
            <w:pPr>
              <w:spacing w:after="0"/>
            </w:pPr>
            <w:r/>
            <w:r>
              <w:rPr>
                <w:b w:val="0"/>
                <w:sz w:val="17"/>
              </w:rPr>
              <w:t>Caja negra sobre sitio público</w:t>
            </w:r>
          </w:p>
        </w:tc>
      </w:tr>
      <w:tr>
        <w:tc>
          <w:tcPr>
            <w:tcW w:type="dxa" w:w="2448"/>
            <w:vAlign w:val="top"/>
          </w:tcPr>
          <w:p>
            <w:pPr>
              <w:spacing w:after="0"/>
            </w:pPr>
            <w:r/>
            <w:r>
              <w:rPr>
                <w:b w:val="0"/>
                <w:sz w:val="17"/>
              </w:rPr>
              <w:t>Herramientas principales</w:t>
            </w:r>
          </w:p>
        </w:tc>
        <w:tc>
          <w:tcPr>
            <w:tcW w:type="dxa" w:w="6768"/>
            <w:vAlign w:val="top"/>
          </w:tcPr>
          <w:p>
            <w:pPr>
              <w:spacing w:after="0"/>
            </w:pPr>
            <w:r/>
            <w:r>
              <w:rPr>
                <w:b w:val="0"/>
                <w:sz w:val="17"/>
              </w:rPr>
              <w:t>Playwright, TypeScript, Docker, k6, OWASP ZAP, SonarQube</w:t>
            </w:r>
          </w:p>
        </w:tc>
      </w:tr>
    </w:tbl>
    <w:p/>
    <w:p>
      <w:pPr>
        <w:pStyle w:val="Heading1"/>
      </w:pPr>
      <w:r>
        <w:rPr>
          <w:color w:val="123C69"/>
        </w:rPr>
        <w:t>2. Contexto del proyecto</w:t>
      </w:r>
    </w:p>
    <w:p>
      <w:pPr>
        <w:pStyle w:val="Heading2"/>
      </w:pPr>
      <w:r>
        <w:rPr>
          <w:color w:val="0B4F6C"/>
        </w:rPr>
        <w:t>2.1 Funcionalidad general del sistema</w:t>
      </w:r>
    </w:p>
    <w:p>
      <w:pPr>
        <w:spacing w:after="120" w:line="259" w:lineRule="auto"/>
        <w:jc w:val="both"/>
      </w:pPr>
      <w:r>
        <w:rPr>
          <w:color w:val="172033"/>
          <w:sz w:val="21"/>
        </w:rPr>
        <w:t>Cnarios es una plataforma web orientada al aprendizaje y práctica de pruebas automatizadas. Su funcionalidad principal consiste en ofrecer conceptos, desafíos y blogs relacionados con automatización de pruebas. El sitio permite practicar flujos comunes en aplicaciones web modernas, como formularios dentro de iframes, apertura de ventanas, validación de enlaces, tablas de datos, paginación y filtros.</w:t>
      </w:r>
    </w:p>
    <w:p>
      <w:pPr>
        <w:pStyle w:val="Heading2"/>
      </w:pPr>
      <w:r>
        <w:rPr>
          <w:color w:val="0B4F6C"/>
        </w:rPr>
        <w:t>2.2 Problema que resuelve</w:t>
      </w:r>
    </w:p>
    <w:p>
      <w:pPr>
        <w:spacing w:after="120" w:line="259" w:lineRule="auto"/>
        <w:jc w:val="both"/>
      </w:pPr>
      <w:r>
        <w:rPr>
          <w:color w:val="172033"/>
          <w:sz w:val="21"/>
        </w:rPr>
        <w:t>El sistema facilita que estudiantes y testers practiquen automatización sobre escenarios cercanos a situaciones reales. Esto reduce la brecha entre ejercicios teóricos y pruebas aplicadas en aplicaciones web con interacción dinámica.</w:t>
      </w:r>
    </w:p>
    <w:p>
      <w:pPr>
        <w:pStyle w:val="Heading2"/>
      </w:pPr>
      <w:r>
        <w:rPr>
          <w:color w:val="0B4F6C"/>
        </w:rPr>
        <w:t>2.3 Arquitectura observada</w:t>
      </w:r>
    </w:p>
    <w:p>
      <w:pPr>
        <w:spacing w:after="120" w:line="259" w:lineRule="auto"/>
        <w:jc w:val="both"/>
      </w:pPr>
      <w:r>
        <w:rPr>
          <w:color w:val="172033"/>
          <w:sz w:val="21"/>
        </w:rPr>
        <w:t>El código fuente de Cnarios no se encuentra disponible para el equipo, por lo cual el análisis se realiza como caja negra. A partir de la observación, el sistema se comporta como una aplicación web cliente-servidor accesible mediante HTTPS.</w:t>
      </w:r>
    </w:p>
    <w:p>
      <w:pPr>
        <w:spacing w:before="60" w:after="160"/>
        <w:ind w:left="288" w:right="288"/>
        <w:shd w:fill="F7F9FC"/>
      </w:pPr>
      <w:r>
        <w:rPr>
          <w:rFonts w:ascii="Consolas" w:hAnsi="Consolas" w:eastAsia="Consolas"/>
          <w:sz w:val="17"/>
        </w:rPr>
        <w:t>Usuario / Navegador</w:t>
        <w:br/>
        <w:t xml:space="preserve">      |</w:t>
        <w:br/>
        <w:t xml:space="preserve">      | HTTPS</w:t>
        <w:br/>
        <w:t xml:space="preserve">      v</w:t>
        <w:br/>
        <w:t>Aplicación Web Cnarios</w:t>
        <w:br/>
        <w:t xml:space="preserve">      |</w:t>
        <w:br/>
        <w:t xml:space="preserve">      | Recursos estáticos, rutas y contenido</w:t>
        <w:br/>
        <w:t xml:space="preserve">      v</w:t>
        <w:br/>
        <w:t>Servicios o backend no visible</w:t>
        <w:br/>
        <w:t xml:space="preserve">      |</w:t>
        <w:br/>
        <w:t xml:space="preserve">      v</w:t>
        <w:br/>
        <w:t>Almacenamiento o CMS no accesible</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00"/>
        <w:gridCol w:w="5100"/>
      </w:tblGrid>
      <w:tr>
        <w:trPr>
          <w:tblHeader w:val="true"/>
        </w:trPr>
        <w:tc>
          <w:tcPr>
            <w:tcW w:type="dxa" w:w="2160"/>
            <w:vAlign w:val="top"/>
            <w:shd w:fill="EAF3F8"/>
          </w:tcPr>
          <w:p>
            <w:pPr>
              <w:spacing w:after="0"/>
            </w:pPr>
            <w:r/>
            <w:r>
              <w:rPr>
                <w:b/>
                <w:color w:val="123C69"/>
                <w:sz w:val="17"/>
              </w:rPr>
              <w:t>Capa</w:t>
            </w:r>
          </w:p>
        </w:tc>
        <w:tc>
          <w:tcPr>
            <w:tcW w:type="dxa" w:w="7056"/>
            <w:vAlign w:val="top"/>
            <w:shd w:fill="EAF3F8"/>
          </w:tcPr>
          <w:p>
            <w:pPr>
              <w:spacing w:after="0"/>
            </w:pPr>
            <w:r/>
            <w:r>
              <w:rPr>
                <w:b/>
                <w:color w:val="123C69"/>
                <w:sz w:val="17"/>
              </w:rPr>
              <w:t>Descripción observable</w:t>
            </w:r>
          </w:p>
        </w:tc>
      </w:tr>
      <w:tr>
        <w:tc>
          <w:tcPr>
            <w:tcW w:type="dxa" w:w="2160"/>
            <w:vAlign w:val="top"/>
          </w:tcPr>
          <w:p>
            <w:pPr>
              <w:spacing w:after="0"/>
            </w:pPr>
            <w:r/>
            <w:r>
              <w:rPr>
                <w:b w:val="0"/>
                <w:sz w:val="17"/>
              </w:rPr>
              <w:t>Frontend</w:t>
            </w:r>
          </w:p>
        </w:tc>
        <w:tc>
          <w:tcPr>
            <w:tcW w:type="dxa" w:w="7056"/>
            <w:vAlign w:val="top"/>
          </w:tcPr>
          <w:p>
            <w:pPr>
              <w:spacing w:after="0"/>
            </w:pPr>
            <w:r/>
            <w:r>
              <w:rPr>
                <w:b w:val="0"/>
                <w:sz w:val="17"/>
              </w:rPr>
              <w:t>Aplicación web pública cargada en navegador.</w:t>
            </w:r>
          </w:p>
        </w:tc>
      </w:tr>
      <w:tr>
        <w:tc>
          <w:tcPr>
            <w:tcW w:type="dxa" w:w="2160"/>
            <w:vAlign w:val="top"/>
          </w:tcPr>
          <w:p>
            <w:pPr>
              <w:spacing w:after="0"/>
            </w:pPr>
            <w:r/>
            <w:r>
              <w:rPr>
                <w:b w:val="0"/>
                <w:sz w:val="17"/>
              </w:rPr>
              <w:t>Backend</w:t>
            </w:r>
          </w:p>
        </w:tc>
        <w:tc>
          <w:tcPr>
            <w:tcW w:type="dxa" w:w="7056"/>
            <w:vAlign w:val="top"/>
          </w:tcPr>
          <w:p>
            <w:pPr>
              <w:spacing w:after="0"/>
            </w:pPr>
            <w:r/>
            <w:r>
              <w:rPr>
                <w:b w:val="0"/>
                <w:sz w:val="17"/>
              </w:rPr>
              <w:t>No observable directamente. Se infiere un servicio que entrega rutas, recursos y contenido.</w:t>
            </w:r>
          </w:p>
        </w:tc>
      </w:tr>
      <w:tr>
        <w:tc>
          <w:tcPr>
            <w:tcW w:type="dxa" w:w="2160"/>
            <w:vAlign w:val="top"/>
          </w:tcPr>
          <w:p>
            <w:pPr>
              <w:spacing w:after="0"/>
            </w:pPr>
            <w:r/>
            <w:r>
              <w:rPr>
                <w:b w:val="0"/>
                <w:sz w:val="17"/>
              </w:rPr>
              <w:t>Base de datos</w:t>
            </w:r>
          </w:p>
        </w:tc>
        <w:tc>
          <w:tcPr>
            <w:tcW w:type="dxa" w:w="7056"/>
            <w:vAlign w:val="top"/>
          </w:tcPr>
          <w:p>
            <w:pPr>
              <w:spacing w:after="0"/>
            </w:pPr>
            <w:r/>
            <w:r>
              <w:rPr>
                <w:b w:val="0"/>
                <w:sz w:val="17"/>
              </w:rPr>
              <w:t>No accesible. Se infiere almacenamiento de conceptos, desafíos, blogs y preguntas.</w:t>
            </w:r>
          </w:p>
        </w:tc>
      </w:tr>
      <w:tr>
        <w:tc>
          <w:tcPr>
            <w:tcW w:type="dxa" w:w="2160"/>
            <w:vAlign w:val="top"/>
          </w:tcPr>
          <w:p>
            <w:pPr>
              <w:spacing w:after="0"/>
            </w:pPr>
            <w:r/>
            <w:r>
              <w:rPr>
                <w:b w:val="0"/>
                <w:sz w:val="17"/>
              </w:rPr>
              <w:t>Infraestructura</w:t>
            </w:r>
          </w:p>
        </w:tc>
        <w:tc>
          <w:tcPr>
            <w:tcW w:type="dxa" w:w="7056"/>
            <w:vAlign w:val="top"/>
          </w:tcPr>
          <w:p>
            <w:pPr>
              <w:spacing w:after="0"/>
            </w:pPr>
            <w:r/>
            <w:r>
              <w:rPr>
                <w:b w:val="0"/>
                <w:sz w:val="17"/>
              </w:rPr>
              <w:t>Sitio público disponible mediante HTTPS.</w:t>
            </w:r>
          </w:p>
        </w:tc>
      </w:tr>
      <w:tr>
        <w:tc>
          <w:tcPr>
            <w:tcW w:type="dxa" w:w="2160"/>
            <w:vAlign w:val="top"/>
          </w:tcPr>
          <w:p>
            <w:pPr>
              <w:spacing w:after="0"/>
            </w:pPr>
            <w:r/>
            <w:r>
              <w:rPr>
                <w:b w:val="0"/>
                <w:sz w:val="17"/>
              </w:rPr>
              <w:t>Repositorio QA</w:t>
            </w:r>
          </w:p>
        </w:tc>
        <w:tc>
          <w:tcPr>
            <w:tcW w:type="dxa" w:w="7056"/>
            <w:vAlign w:val="top"/>
          </w:tcPr>
          <w:p>
            <w:pPr>
              <w:spacing w:after="0"/>
            </w:pPr>
            <w:r/>
            <w:r>
              <w:rPr>
                <w:b w:val="0"/>
                <w:sz w:val="17"/>
              </w:rPr>
              <w:t>Proyecto de automatización y documentación desarrollado por el equipo.</w:t>
            </w:r>
          </w:p>
        </w:tc>
      </w:tr>
    </w:tbl>
    <w:p/>
    <w:p>
      <w:pPr>
        <w:pStyle w:val="Heading2"/>
      </w:pPr>
      <w:r>
        <w:rPr>
          <w:color w:val="0B4F6C"/>
        </w:rPr>
        <w:t>2.4 Alcance funcional cubierto</w:t>
      </w:r>
    </w:p>
    <w:p>
      <w:pPr>
        <w:pStyle w:val="ListBullet"/>
        <w:spacing w:after="40"/>
      </w:pPr>
      <w:r>
        <w:rPr>
          <w:sz w:val="20"/>
        </w:rPr>
        <w:t>Conceptos: iFrames, Multi Window, Links y Table.</w:t>
      </w:r>
    </w:p>
    <w:p>
      <w:pPr>
        <w:pStyle w:val="ListBullet"/>
        <w:spacing w:after="40"/>
      </w:pPr>
      <w:r>
        <w:rPr>
          <w:sz w:val="20"/>
        </w:rPr>
        <w:t>Desafíos: E-commerce Product Listing &amp; Pagination y E-commerce Product Filtering &amp; Search.</w:t>
      </w:r>
    </w:p>
    <w:p>
      <w:pPr>
        <w:pStyle w:val="ListBullet"/>
        <w:spacing w:after="40"/>
      </w:pPr>
      <w:r>
        <w:rPr>
          <w:sz w:val="20"/>
        </w:rPr>
        <w:t>Blogs: carga de artículos principales.</w:t>
      </w:r>
    </w:p>
    <w:p>
      <w:pPr>
        <w:pStyle w:val="ListBullet"/>
        <w:spacing w:after="40"/>
      </w:pPr>
      <w:r>
        <w:rPr>
          <w:sz w:val="20"/>
        </w:rPr>
        <w:t>Navegación general: rutas principales y enlaces de secciones.</w:t>
      </w:r>
    </w:p>
    <w:p>
      <w:pPr>
        <w:pStyle w:val="ListBullet"/>
        <w:spacing w:after="40"/>
      </w:pPr>
      <w:r>
        <w:rPr>
          <w:sz w:val="20"/>
        </w:rPr>
        <w:t>No funcionales: rendimiento, estabilidad, usabilidad básica, seguridad pasiva y compatibilidad.</w:t>
      </w:r>
    </w:p>
    <w:p>
      <w:pPr>
        <w:spacing w:before="80" w:after="160"/>
        <w:ind w:left="360" w:right="360"/>
        <w:shd w:fill="EAF7F6"/>
      </w:pPr>
      <w:r>
        <w:rPr>
          <w:color w:val="324A5F"/>
          <w:sz w:val="19"/>
        </w:rPr>
        <w:t>Fuera de alcance: pruebas unitarias internas, integración real de backend/base de datos y corrección directa de defectos del producto, debido a que no se dispone del código fuente de Cnarios.</w:t>
      </w:r>
    </w:p>
    <w:p>
      <w:pPr>
        <w:pStyle w:val="Heading1"/>
      </w:pPr>
      <w:r>
        <w:rPr>
          <w:color w:val="123C69"/>
        </w:rPr>
        <w:t>3. Requerimientos y criterios de calidad</w:t>
      </w:r>
    </w:p>
    <w:p>
      <w:pPr>
        <w:pStyle w:val="Heading2"/>
      </w:pPr>
      <w:r>
        <w:rPr>
          <w:color w:val="0B4F6C"/>
        </w:rPr>
        <w:t>3.1 Requisitos funcionales</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00"/>
        <w:gridCol w:w="3400"/>
        <w:gridCol w:w="3400"/>
      </w:tblGrid>
      <w:tr>
        <w:trPr>
          <w:tblHeader w:val="true"/>
        </w:trPr>
        <w:tc>
          <w:tcPr>
            <w:tcW w:type="dxa" w:w="1008"/>
            <w:vAlign w:val="top"/>
            <w:shd w:fill="EAF3F8"/>
          </w:tcPr>
          <w:p>
            <w:pPr>
              <w:spacing w:after="0"/>
            </w:pPr>
            <w:r/>
            <w:r>
              <w:rPr>
                <w:b/>
                <w:color w:val="123C69"/>
                <w:sz w:val="16"/>
              </w:rPr>
              <w:t>ID</w:t>
            </w:r>
          </w:p>
        </w:tc>
        <w:tc>
          <w:tcPr>
            <w:tcW w:type="dxa" w:w="3600"/>
            <w:vAlign w:val="top"/>
            <w:shd w:fill="EAF3F8"/>
          </w:tcPr>
          <w:p>
            <w:pPr>
              <w:spacing w:after="0"/>
            </w:pPr>
            <w:r/>
            <w:r>
              <w:rPr>
                <w:b/>
                <w:color w:val="123C69"/>
                <w:sz w:val="16"/>
              </w:rPr>
              <w:t>Requisito</w:t>
            </w:r>
          </w:p>
        </w:tc>
        <w:tc>
          <w:tcPr>
            <w:tcW w:type="dxa" w:w="4608"/>
            <w:vAlign w:val="top"/>
            <w:shd w:fill="EAF3F8"/>
          </w:tcPr>
          <w:p>
            <w:pPr>
              <w:spacing w:after="0"/>
            </w:pPr>
            <w:r/>
            <w:r>
              <w:rPr>
                <w:b/>
                <w:color w:val="123C69"/>
                <w:sz w:val="16"/>
              </w:rPr>
              <w:t>Criterio de aceptación</w:t>
            </w:r>
          </w:p>
        </w:tc>
      </w:tr>
      <w:tr>
        <w:tc>
          <w:tcPr>
            <w:tcW w:type="dxa" w:w="1008"/>
            <w:vAlign w:val="top"/>
          </w:tcPr>
          <w:p>
            <w:pPr>
              <w:spacing w:after="0"/>
            </w:pPr>
            <w:r/>
            <w:r>
              <w:rPr>
                <w:b w:val="0"/>
                <w:sz w:val="16"/>
              </w:rPr>
              <w:t>RF01</w:t>
            </w:r>
          </w:p>
        </w:tc>
        <w:tc>
          <w:tcPr>
            <w:tcW w:type="dxa" w:w="3600"/>
            <w:vAlign w:val="top"/>
          </w:tcPr>
          <w:p>
            <w:pPr>
              <w:spacing w:after="0"/>
            </w:pPr>
            <w:r/>
            <w:r>
              <w:rPr>
                <w:b w:val="0"/>
                <w:sz w:val="16"/>
              </w:rPr>
              <w:t>Navegar entre conceptos.</w:t>
            </w:r>
          </w:p>
        </w:tc>
        <w:tc>
          <w:tcPr>
            <w:tcW w:type="dxa" w:w="4608"/>
            <w:vAlign w:val="top"/>
          </w:tcPr>
          <w:p>
            <w:pPr>
              <w:spacing w:after="0"/>
            </w:pPr>
            <w:r/>
            <w:r>
              <w:rPr>
                <w:b w:val="0"/>
                <w:sz w:val="16"/>
              </w:rPr>
              <w:t>Cada concepto carga título, descripción y pestaña interactiva.</w:t>
            </w:r>
          </w:p>
        </w:tc>
      </w:tr>
      <w:tr>
        <w:tc>
          <w:tcPr>
            <w:tcW w:type="dxa" w:w="1008"/>
            <w:vAlign w:val="top"/>
          </w:tcPr>
          <w:p>
            <w:pPr>
              <w:spacing w:after="0"/>
            </w:pPr>
            <w:r/>
            <w:r>
              <w:rPr>
                <w:b w:val="0"/>
                <w:sz w:val="16"/>
              </w:rPr>
              <w:t>RF02</w:t>
            </w:r>
          </w:p>
        </w:tc>
        <w:tc>
          <w:tcPr>
            <w:tcW w:type="dxa" w:w="3600"/>
            <w:vAlign w:val="top"/>
          </w:tcPr>
          <w:p>
            <w:pPr>
              <w:spacing w:after="0"/>
            </w:pPr>
            <w:r/>
            <w:r>
              <w:rPr>
                <w:b w:val="0"/>
                <w:sz w:val="16"/>
              </w:rPr>
              <w:t>Interactuar con iframes, enlaces, ventanas y tablas.</w:t>
            </w:r>
          </w:p>
        </w:tc>
        <w:tc>
          <w:tcPr>
            <w:tcW w:type="dxa" w:w="4608"/>
            <w:vAlign w:val="top"/>
          </w:tcPr>
          <w:p>
            <w:pPr>
              <w:spacing w:after="0"/>
            </w:pPr>
            <w:r/>
            <w:r>
              <w:rPr>
                <w:b w:val="0"/>
                <w:sz w:val="16"/>
              </w:rPr>
              <w:t>Los elementos responden sin errores críticos.</w:t>
            </w:r>
          </w:p>
        </w:tc>
      </w:tr>
      <w:tr>
        <w:tc>
          <w:tcPr>
            <w:tcW w:type="dxa" w:w="1008"/>
            <w:vAlign w:val="top"/>
          </w:tcPr>
          <w:p>
            <w:pPr>
              <w:spacing w:after="0"/>
            </w:pPr>
            <w:r/>
            <w:r>
              <w:rPr>
                <w:b w:val="0"/>
                <w:sz w:val="16"/>
              </w:rPr>
              <w:t>RF03</w:t>
            </w:r>
          </w:p>
        </w:tc>
        <w:tc>
          <w:tcPr>
            <w:tcW w:type="dxa" w:w="3600"/>
            <w:vAlign w:val="top"/>
          </w:tcPr>
          <w:p>
            <w:pPr>
              <w:spacing w:after="0"/>
            </w:pPr>
            <w:r/>
            <w:r>
              <w:rPr>
                <w:b w:val="0"/>
                <w:sz w:val="16"/>
              </w:rPr>
              <w:t>Usar desafíos de paginación y filtros.</w:t>
            </w:r>
          </w:p>
        </w:tc>
        <w:tc>
          <w:tcPr>
            <w:tcW w:type="dxa" w:w="4608"/>
            <w:vAlign w:val="top"/>
          </w:tcPr>
          <w:p>
            <w:pPr>
              <w:spacing w:after="0"/>
            </w:pPr>
            <w:r/>
            <w:r>
              <w:rPr>
                <w:b w:val="0"/>
                <w:sz w:val="16"/>
              </w:rPr>
              <w:t>La paginación cambia productos y los filtros devuelven resultados coherentes.</w:t>
            </w:r>
          </w:p>
        </w:tc>
      </w:tr>
      <w:tr>
        <w:tc>
          <w:tcPr>
            <w:tcW w:type="dxa" w:w="1008"/>
            <w:vAlign w:val="top"/>
          </w:tcPr>
          <w:p>
            <w:pPr>
              <w:spacing w:after="0"/>
            </w:pPr>
            <w:r/>
            <w:r>
              <w:rPr>
                <w:b w:val="0"/>
                <w:sz w:val="16"/>
              </w:rPr>
              <w:t>RF04</w:t>
            </w:r>
          </w:p>
        </w:tc>
        <w:tc>
          <w:tcPr>
            <w:tcW w:type="dxa" w:w="3600"/>
            <w:vAlign w:val="top"/>
          </w:tcPr>
          <w:p>
            <w:pPr>
              <w:spacing w:after="0"/>
            </w:pPr>
            <w:r/>
            <w:r>
              <w:rPr>
                <w:b w:val="0"/>
                <w:sz w:val="16"/>
              </w:rPr>
              <w:t>Consultar artículos del blog.</w:t>
            </w:r>
          </w:p>
        </w:tc>
        <w:tc>
          <w:tcPr>
            <w:tcW w:type="dxa" w:w="4608"/>
            <w:vAlign w:val="top"/>
          </w:tcPr>
          <w:p>
            <w:pPr>
              <w:spacing w:after="0"/>
            </w:pPr>
            <w:r/>
            <w:r>
              <w:rPr>
                <w:b w:val="0"/>
                <w:sz w:val="16"/>
              </w:rPr>
              <w:t>Los artículos cargan correctamente y son accesibles.</w:t>
            </w:r>
          </w:p>
        </w:tc>
      </w:tr>
      <w:tr>
        <w:tc>
          <w:tcPr>
            <w:tcW w:type="dxa" w:w="1008"/>
            <w:vAlign w:val="top"/>
          </w:tcPr>
          <w:p>
            <w:pPr>
              <w:spacing w:after="0"/>
            </w:pPr>
            <w:r/>
            <w:r>
              <w:rPr>
                <w:b w:val="0"/>
                <w:sz w:val="16"/>
              </w:rPr>
              <w:t>RF05</w:t>
            </w:r>
          </w:p>
        </w:tc>
        <w:tc>
          <w:tcPr>
            <w:tcW w:type="dxa" w:w="3600"/>
            <w:vAlign w:val="top"/>
          </w:tcPr>
          <w:p>
            <w:pPr>
              <w:spacing w:after="0"/>
            </w:pPr>
            <w:r/>
            <w:r>
              <w:rPr>
                <w:b w:val="0"/>
                <w:sz w:val="16"/>
              </w:rPr>
              <w:t>Mantener navegación principal funcional.</w:t>
            </w:r>
          </w:p>
        </w:tc>
        <w:tc>
          <w:tcPr>
            <w:tcW w:type="dxa" w:w="4608"/>
            <w:vAlign w:val="top"/>
          </w:tcPr>
          <w:p>
            <w:pPr>
              <w:spacing w:after="0"/>
            </w:pPr>
            <w:r/>
            <w:r>
              <w:rPr>
                <w:b w:val="0"/>
                <w:sz w:val="16"/>
              </w:rPr>
              <w:t>Home, Concepts, Challenges y Blogs redirigen sin errores HTTP 5xx.</w:t>
            </w:r>
          </w:p>
        </w:tc>
      </w:tr>
    </w:tbl>
    <w:p/>
    <w:p>
      <w:pPr>
        <w:pStyle w:val="Heading2"/>
      </w:pPr>
      <w:r>
        <w:rPr>
          <w:color w:val="0B4F6C"/>
        </w:rPr>
        <w:t>3.2 Requisitos no funcionales</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00"/>
        <w:gridCol w:w="3400"/>
        <w:gridCol w:w="3400"/>
      </w:tblGrid>
      <w:tr>
        <w:trPr>
          <w:tblHeader w:val="true"/>
        </w:trPr>
        <w:tc>
          <w:tcPr>
            <w:tcW w:type="dxa" w:w="1008"/>
            <w:vAlign w:val="top"/>
            <w:shd w:fill="EAF3F8"/>
          </w:tcPr>
          <w:p>
            <w:pPr>
              <w:spacing w:after="0"/>
            </w:pPr>
            <w:r/>
            <w:r>
              <w:rPr>
                <w:b/>
                <w:color w:val="123C69"/>
                <w:sz w:val="16"/>
              </w:rPr>
              <w:t>ID</w:t>
            </w:r>
          </w:p>
        </w:tc>
        <w:tc>
          <w:tcPr>
            <w:tcW w:type="dxa" w:w="3600"/>
            <w:vAlign w:val="top"/>
            <w:shd w:fill="EAF3F8"/>
          </w:tcPr>
          <w:p>
            <w:pPr>
              <w:spacing w:after="0"/>
            </w:pPr>
            <w:r/>
            <w:r>
              <w:rPr>
                <w:b/>
                <w:color w:val="123C69"/>
                <w:sz w:val="16"/>
              </w:rPr>
              <w:t>Requisito</w:t>
            </w:r>
          </w:p>
        </w:tc>
        <w:tc>
          <w:tcPr>
            <w:tcW w:type="dxa" w:w="4608"/>
            <w:vAlign w:val="top"/>
            <w:shd w:fill="EAF3F8"/>
          </w:tcPr>
          <w:p>
            <w:pPr>
              <w:spacing w:after="0"/>
            </w:pPr>
            <w:r/>
            <w:r>
              <w:rPr>
                <w:b/>
                <w:color w:val="123C69"/>
                <w:sz w:val="16"/>
              </w:rPr>
              <w:t>Criterio de aceptación</w:t>
            </w:r>
          </w:p>
        </w:tc>
      </w:tr>
      <w:tr>
        <w:tc>
          <w:tcPr>
            <w:tcW w:type="dxa" w:w="1008"/>
            <w:vAlign w:val="top"/>
          </w:tcPr>
          <w:p>
            <w:pPr>
              <w:spacing w:after="0"/>
            </w:pPr>
            <w:r/>
            <w:r>
              <w:rPr>
                <w:b w:val="0"/>
                <w:sz w:val="16"/>
              </w:rPr>
              <w:t>RNF01</w:t>
            </w:r>
          </w:p>
        </w:tc>
        <w:tc>
          <w:tcPr>
            <w:tcW w:type="dxa" w:w="3600"/>
            <w:vAlign w:val="top"/>
          </w:tcPr>
          <w:p>
            <w:pPr>
              <w:spacing w:after="0"/>
            </w:pPr>
            <w:r/>
            <w:r>
              <w:rPr>
                <w:b w:val="0"/>
                <w:sz w:val="16"/>
              </w:rPr>
              <w:t>Rendimiento.</w:t>
            </w:r>
          </w:p>
        </w:tc>
        <w:tc>
          <w:tcPr>
            <w:tcW w:type="dxa" w:w="4608"/>
            <w:vAlign w:val="top"/>
          </w:tcPr>
          <w:p>
            <w:pPr>
              <w:spacing w:after="0"/>
            </w:pPr>
            <w:r/>
            <w:r>
              <w:rPr>
                <w:b w:val="0"/>
                <w:sz w:val="16"/>
              </w:rPr>
              <w:t>Las páginas críticas deben cargar en menos de 3 segundos.</w:t>
            </w:r>
          </w:p>
        </w:tc>
      </w:tr>
      <w:tr>
        <w:tc>
          <w:tcPr>
            <w:tcW w:type="dxa" w:w="1008"/>
            <w:vAlign w:val="top"/>
          </w:tcPr>
          <w:p>
            <w:pPr>
              <w:spacing w:after="0"/>
            </w:pPr>
            <w:r/>
            <w:r>
              <w:rPr>
                <w:b w:val="0"/>
                <w:sz w:val="16"/>
              </w:rPr>
              <w:t>RNF02</w:t>
            </w:r>
          </w:p>
        </w:tc>
        <w:tc>
          <w:tcPr>
            <w:tcW w:type="dxa" w:w="3600"/>
            <w:vAlign w:val="top"/>
          </w:tcPr>
          <w:p>
            <w:pPr>
              <w:spacing w:after="0"/>
            </w:pPr>
            <w:r/>
            <w:r>
              <w:rPr>
                <w:b w:val="0"/>
                <w:sz w:val="16"/>
              </w:rPr>
              <w:t>Usabilidad.</w:t>
            </w:r>
          </w:p>
        </w:tc>
        <w:tc>
          <w:tcPr>
            <w:tcW w:type="dxa" w:w="4608"/>
            <w:vAlign w:val="top"/>
          </w:tcPr>
          <w:p>
            <w:pPr>
              <w:spacing w:after="0"/>
            </w:pPr>
            <w:r/>
            <w:r>
              <w:rPr>
                <w:b w:val="0"/>
                <w:sz w:val="16"/>
              </w:rPr>
              <w:t>La interfaz debe ser comprensible para usuarios nuevos.</w:t>
            </w:r>
          </w:p>
        </w:tc>
      </w:tr>
      <w:tr>
        <w:tc>
          <w:tcPr>
            <w:tcW w:type="dxa" w:w="1008"/>
            <w:vAlign w:val="top"/>
          </w:tcPr>
          <w:p>
            <w:pPr>
              <w:spacing w:after="0"/>
            </w:pPr>
            <w:r/>
            <w:r>
              <w:rPr>
                <w:b w:val="0"/>
                <w:sz w:val="16"/>
              </w:rPr>
              <w:t>RNF03</w:t>
            </w:r>
          </w:p>
        </w:tc>
        <w:tc>
          <w:tcPr>
            <w:tcW w:type="dxa" w:w="3600"/>
            <w:vAlign w:val="top"/>
          </w:tcPr>
          <w:p>
            <w:pPr>
              <w:spacing w:after="0"/>
            </w:pPr>
            <w:r/>
            <w:r>
              <w:rPr>
                <w:b w:val="0"/>
                <w:sz w:val="16"/>
              </w:rPr>
              <w:t>Fiabilidad.</w:t>
            </w:r>
          </w:p>
        </w:tc>
        <w:tc>
          <w:tcPr>
            <w:tcW w:type="dxa" w:w="4608"/>
            <w:vAlign w:val="top"/>
          </w:tcPr>
          <w:p>
            <w:pPr>
              <w:spacing w:after="0"/>
            </w:pPr>
            <w:r/>
            <w:r>
              <w:rPr>
                <w:b w:val="0"/>
                <w:sz w:val="16"/>
              </w:rPr>
              <w:t>No deben presentarse errores críticos de consola ni HTTP 5xx.</w:t>
            </w:r>
          </w:p>
        </w:tc>
      </w:tr>
      <w:tr>
        <w:tc>
          <w:tcPr>
            <w:tcW w:type="dxa" w:w="1008"/>
            <w:vAlign w:val="top"/>
          </w:tcPr>
          <w:p>
            <w:pPr>
              <w:spacing w:after="0"/>
            </w:pPr>
            <w:r/>
            <w:r>
              <w:rPr>
                <w:b w:val="0"/>
                <w:sz w:val="16"/>
              </w:rPr>
              <w:t>RNF04</w:t>
            </w:r>
          </w:p>
        </w:tc>
        <w:tc>
          <w:tcPr>
            <w:tcW w:type="dxa" w:w="3600"/>
            <w:vAlign w:val="top"/>
          </w:tcPr>
          <w:p>
            <w:pPr>
              <w:spacing w:after="0"/>
            </w:pPr>
            <w:r/>
            <w:r>
              <w:rPr>
                <w:b w:val="0"/>
                <w:sz w:val="16"/>
              </w:rPr>
              <w:t>Seguridad.</w:t>
            </w:r>
          </w:p>
        </w:tc>
        <w:tc>
          <w:tcPr>
            <w:tcW w:type="dxa" w:w="4608"/>
            <w:vAlign w:val="top"/>
          </w:tcPr>
          <w:p>
            <w:pPr>
              <w:spacing w:after="0"/>
            </w:pPr>
            <w:r/>
            <w:r>
              <w:rPr>
                <w:b w:val="0"/>
                <w:sz w:val="16"/>
              </w:rPr>
              <w:t>No deben existir vulnerabilidades críticas evidentes en revisión pasiva.</w:t>
            </w:r>
          </w:p>
        </w:tc>
      </w:tr>
      <w:tr>
        <w:tc>
          <w:tcPr>
            <w:tcW w:type="dxa" w:w="1008"/>
            <w:vAlign w:val="top"/>
          </w:tcPr>
          <w:p>
            <w:pPr>
              <w:spacing w:after="0"/>
            </w:pPr>
            <w:r/>
            <w:r>
              <w:rPr>
                <w:b w:val="0"/>
                <w:sz w:val="16"/>
              </w:rPr>
              <w:t>RNF05</w:t>
            </w:r>
          </w:p>
        </w:tc>
        <w:tc>
          <w:tcPr>
            <w:tcW w:type="dxa" w:w="3600"/>
            <w:vAlign w:val="top"/>
          </w:tcPr>
          <w:p>
            <w:pPr>
              <w:spacing w:after="0"/>
            </w:pPr>
            <w:r/>
            <w:r>
              <w:rPr>
                <w:b w:val="0"/>
                <w:sz w:val="16"/>
              </w:rPr>
              <w:t>Compatibilidad.</w:t>
            </w:r>
          </w:p>
        </w:tc>
        <w:tc>
          <w:tcPr>
            <w:tcW w:type="dxa" w:w="4608"/>
            <w:vAlign w:val="top"/>
          </w:tcPr>
          <w:p>
            <w:pPr>
              <w:spacing w:after="0"/>
            </w:pPr>
            <w:r/>
            <w:r>
              <w:rPr>
                <w:b w:val="0"/>
                <w:sz w:val="16"/>
              </w:rPr>
              <w:t>Los flujos principales deben ejecutarse en Chrome y Firefox.</w:t>
            </w:r>
          </w:p>
        </w:tc>
      </w:tr>
    </w:tbl>
    <w:p/>
    <w:p>
      <w:pPr>
        <w:pStyle w:val="Heading2"/>
      </w:pPr>
      <w:r>
        <w:rPr>
          <w:color w:val="0B4F6C"/>
        </w:rPr>
        <w:t>3.3 Atributos de calidad analizados</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00"/>
        <w:gridCol w:w="5100"/>
      </w:tblGrid>
      <w:tr>
        <w:trPr>
          <w:tblHeader w:val="true"/>
        </w:trPr>
        <w:tc>
          <w:tcPr>
            <w:tcW w:type="dxa" w:w="2016"/>
            <w:vAlign w:val="top"/>
            <w:shd w:fill="EAF3F8"/>
          </w:tcPr>
          <w:p>
            <w:pPr>
              <w:spacing w:after="0"/>
            </w:pPr>
            <w:r/>
            <w:r>
              <w:rPr>
                <w:b/>
                <w:color w:val="123C69"/>
                <w:sz w:val="16"/>
              </w:rPr>
              <w:t>Atributo</w:t>
            </w:r>
          </w:p>
        </w:tc>
        <w:tc>
          <w:tcPr>
            <w:tcW w:type="dxa" w:w="7200"/>
            <w:vAlign w:val="top"/>
            <w:shd w:fill="EAF3F8"/>
          </w:tcPr>
          <w:p>
            <w:pPr>
              <w:spacing w:after="0"/>
            </w:pPr>
            <w:r/>
            <w:r>
              <w:rPr>
                <w:b/>
                <w:color w:val="123C69"/>
                <w:sz w:val="16"/>
              </w:rPr>
              <w:t>Análisis aplicado</w:t>
            </w:r>
          </w:p>
        </w:tc>
      </w:tr>
      <w:tr>
        <w:tc>
          <w:tcPr>
            <w:tcW w:type="dxa" w:w="2016"/>
            <w:vAlign w:val="top"/>
          </w:tcPr>
          <w:p>
            <w:pPr>
              <w:spacing w:after="0"/>
            </w:pPr>
            <w:r/>
            <w:r>
              <w:rPr>
                <w:b w:val="0"/>
                <w:sz w:val="16"/>
              </w:rPr>
              <w:t>Funcionalidad</w:t>
            </w:r>
          </w:p>
        </w:tc>
        <w:tc>
          <w:tcPr>
            <w:tcW w:type="dxa" w:w="7200"/>
            <w:vAlign w:val="top"/>
          </w:tcPr>
          <w:p>
            <w:pPr>
              <w:spacing w:after="0"/>
            </w:pPr>
            <w:r/>
            <w:r>
              <w:rPr>
                <w:b w:val="0"/>
                <w:sz w:val="16"/>
              </w:rPr>
              <w:t>Validación de conceptos, desafíos, blogs y navegación principal.</w:t>
            </w:r>
          </w:p>
        </w:tc>
      </w:tr>
      <w:tr>
        <w:tc>
          <w:tcPr>
            <w:tcW w:type="dxa" w:w="2016"/>
            <w:vAlign w:val="top"/>
          </w:tcPr>
          <w:p>
            <w:pPr>
              <w:spacing w:after="0"/>
            </w:pPr>
            <w:r/>
            <w:r>
              <w:rPr>
                <w:b w:val="0"/>
                <w:sz w:val="16"/>
              </w:rPr>
              <w:t>Usabilidad</w:t>
            </w:r>
          </w:p>
        </w:tc>
        <w:tc>
          <w:tcPr>
            <w:tcW w:type="dxa" w:w="7200"/>
            <w:vAlign w:val="top"/>
          </w:tcPr>
          <w:p>
            <w:pPr>
              <w:spacing w:after="0"/>
            </w:pPr>
            <w:r/>
            <w:r>
              <w:rPr>
                <w:b w:val="0"/>
                <w:sz w:val="16"/>
              </w:rPr>
              <w:t>Revisión de claridad visual, mensajes y facilidad de uso.</w:t>
            </w:r>
          </w:p>
        </w:tc>
      </w:tr>
      <w:tr>
        <w:tc>
          <w:tcPr>
            <w:tcW w:type="dxa" w:w="2016"/>
            <w:vAlign w:val="top"/>
          </w:tcPr>
          <w:p>
            <w:pPr>
              <w:spacing w:after="0"/>
            </w:pPr>
            <w:r/>
            <w:r>
              <w:rPr>
                <w:b w:val="0"/>
                <w:sz w:val="16"/>
              </w:rPr>
              <w:t>Fiabilidad</w:t>
            </w:r>
          </w:p>
        </w:tc>
        <w:tc>
          <w:tcPr>
            <w:tcW w:type="dxa" w:w="7200"/>
            <w:vAlign w:val="top"/>
          </w:tcPr>
          <w:p>
            <w:pPr>
              <w:spacing w:after="0"/>
            </w:pPr>
            <w:r/>
            <w:r>
              <w:rPr>
                <w:b w:val="0"/>
                <w:sz w:val="16"/>
              </w:rPr>
              <w:t>Monitoreo de consola y respuestas HTTP durante navegación.</w:t>
            </w:r>
          </w:p>
        </w:tc>
      </w:tr>
      <w:tr>
        <w:tc>
          <w:tcPr>
            <w:tcW w:type="dxa" w:w="2016"/>
            <w:vAlign w:val="top"/>
          </w:tcPr>
          <w:p>
            <w:pPr>
              <w:spacing w:after="0"/>
            </w:pPr>
            <w:r/>
            <w:r>
              <w:rPr>
                <w:b w:val="0"/>
                <w:sz w:val="16"/>
              </w:rPr>
              <w:t>Rendimiento</w:t>
            </w:r>
          </w:p>
        </w:tc>
        <w:tc>
          <w:tcPr>
            <w:tcW w:type="dxa" w:w="7200"/>
            <w:vAlign w:val="top"/>
          </w:tcPr>
          <w:p>
            <w:pPr>
              <w:spacing w:after="0"/>
            </w:pPr>
            <w:r/>
            <w:r>
              <w:rPr>
                <w:b w:val="0"/>
                <w:sz w:val="16"/>
              </w:rPr>
              <w:t>Medición con Playwright, DevTools y k6.</w:t>
            </w:r>
          </w:p>
        </w:tc>
      </w:tr>
      <w:tr>
        <w:tc>
          <w:tcPr>
            <w:tcW w:type="dxa" w:w="2016"/>
            <w:vAlign w:val="top"/>
          </w:tcPr>
          <w:p>
            <w:pPr>
              <w:spacing w:after="0"/>
            </w:pPr>
            <w:r/>
            <w:r>
              <w:rPr>
                <w:b w:val="0"/>
                <w:sz w:val="16"/>
              </w:rPr>
              <w:t>Seguridad</w:t>
            </w:r>
          </w:p>
        </w:tc>
        <w:tc>
          <w:tcPr>
            <w:tcW w:type="dxa" w:w="7200"/>
            <w:vAlign w:val="top"/>
          </w:tcPr>
          <w:p>
            <w:pPr>
              <w:spacing w:after="0"/>
            </w:pPr>
            <w:r/>
            <w:r>
              <w:rPr>
                <w:b w:val="0"/>
                <w:sz w:val="16"/>
              </w:rPr>
              <w:t>Evaluación OWASP Top 10 con ZAP y revisión pasiva.</w:t>
            </w:r>
          </w:p>
        </w:tc>
      </w:tr>
      <w:tr>
        <w:tc>
          <w:tcPr>
            <w:tcW w:type="dxa" w:w="2016"/>
            <w:vAlign w:val="top"/>
          </w:tcPr>
          <w:p>
            <w:pPr>
              <w:spacing w:after="0"/>
            </w:pPr>
            <w:r/>
            <w:r>
              <w:rPr>
                <w:b w:val="0"/>
                <w:sz w:val="16"/>
              </w:rPr>
              <w:t>Mantenibilidad</w:t>
            </w:r>
          </w:p>
        </w:tc>
        <w:tc>
          <w:tcPr>
            <w:tcW w:type="dxa" w:w="7200"/>
            <w:vAlign w:val="top"/>
          </w:tcPr>
          <w:p>
            <w:pPr>
              <w:spacing w:after="0"/>
            </w:pPr>
            <w:r/>
            <w:r>
              <w:rPr>
                <w:b w:val="0"/>
                <w:sz w:val="16"/>
              </w:rPr>
              <w:t>Uso de POM, separación de scripts y análisis SonarQube sobre repositorio QA.</w:t>
            </w:r>
          </w:p>
        </w:tc>
      </w:tr>
    </w:tbl>
    <w:p/>
    <w:p>
      <w:pPr>
        <w:pStyle w:val="Heading1"/>
      </w:pPr>
      <w:r>
        <w:rPr>
          <w:color w:val="123C69"/>
        </w:rPr>
        <w:t>4. Plan de pruebas</w:t>
      </w:r>
    </w:p>
    <w:p>
      <w:pPr>
        <w:spacing w:after="120" w:line="259" w:lineRule="auto"/>
        <w:jc w:val="both"/>
      </w:pPr>
      <w:r>
        <w:rPr>
          <w:color w:val="172033"/>
          <w:sz w:val="21"/>
        </w:rPr>
        <w:t>El plan de pruebas se estructuró siguiendo lineamientos IEEE/ISO, considerando objetivos, alcance, niveles de prueba, estrategias, técnicas, recursos, ambientes, criterios de entrada y salida, y cronograma de ejecución.</w:t>
      </w:r>
    </w:p>
    <w:p>
      <w:pPr>
        <w:pStyle w:val="Heading2"/>
      </w:pPr>
      <w:r>
        <w:rPr>
          <w:color w:val="0B4F6C"/>
        </w:rPr>
        <w:t>4.1 Objetivos de prueba</w:t>
      </w:r>
    </w:p>
    <w:p>
      <w:pPr>
        <w:pStyle w:val="ListBullet"/>
        <w:spacing w:after="40"/>
      </w:pPr>
      <w:r>
        <w:rPr>
          <w:sz w:val="20"/>
        </w:rPr>
        <w:t>Verificar que Cnarios cumple los requisitos funcionales y no funcionales definidos.</w:t>
      </w:r>
    </w:p>
    <w:p>
      <w:pPr>
        <w:pStyle w:val="ListBullet"/>
        <w:spacing w:after="40"/>
      </w:pPr>
      <w:r>
        <w:rPr>
          <w:sz w:val="20"/>
        </w:rPr>
        <w:t>Detectar defectos relacionados con navegación, formularios, iframes, ventanas, enlaces, tablas, paginación y filtros.</w:t>
      </w:r>
    </w:p>
    <w:p>
      <w:pPr>
        <w:pStyle w:val="ListBullet"/>
        <w:spacing w:after="40"/>
      </w:pPr>
      <w:r>
        <w:rPr>
          <w:sz w:val="20"/>
        </w:rPr>
        <w:t>Evaluar tiempos de carga, estabilidad básica y postura de seguridad observable.</w:t>
      </w:r>
    </w:p>
    <w:p>
      <w:pPr>
        <w:pStyle w:val="ListBullet"/>
        <w:spacing w:after="40"/>
      </w:pPr>
      <w:r>
        <w:rPr>
          <w:sz w:val="20"/>
        </w:rPr>
        <w:t>Implementar automatización reproducible con Playwright y TypeScript.</w:t>
      </w:r>
    </w:p>
    <w:p>
      <w:pPr>
        <w:pStyle w:val="ListBullet"/>
        <w:spacing w:after="40"/>
      </w:pPr>
      <w:r>
        <w:rPr>
          <w:sz w:val="20"/>
        </w:rPr>
        <w:t>Documentar evidencias, defectos, métricas y recomendaciones.</w:t>
      </w:r>
    </w:p>
    <w:p>
      <w:pPr>
        <w:pStyle w:val="Heading2"/>
      </w:pPr>
      <w:r>
        <w:rPr>
          <w:color w:val="0B4F6C"/>
        </w:rPr>
        <w:t>4.2 Tipos, niveles y estrategias</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00"/>
        <w:gridCol w:w="5100"/>
      </w:tblGrid>
      <w:tr>
        <w:trPr>
          <w:tblHeader w:val="true"/>
        </w:trPr>
        <w:tc>
          <w:tcPr>
            <w:tcW w:type="dxa" w:w="2160"/>
            <w:vAlign w:val="top"/>
            <w:shd w:fill="EAF3F8"/>
          </w:tcPr>
          <w:p>
            <w:pPr>
              <w:spacing w:after="0"/>
            </w:pPr>
            <w:r/>
            <w:r>
              <w:rPr>
                <w:b/>
                <w:color w:val="123C69"/>
                <w:sz w:val="16"/>
              </w:rPr>
              <w:t>Tipo/Nivel</w:t>
            </w:r>
          </w:p>
        </w:tc>
        <w:tc>
          <w:tcPr>
            <w:tcW w:type="dxa" w:w="7056"/>
            <w:vAlign w:val="top"/>
            <w:shd w:fill="EAF3F8"/>
          </w:tcPr>
          <w:p>
            <w:pPr>
              <w:spacing w:after="0"/>
            </w:pPr>
            <w:r/>
            <w:r>
              <w:rPr>
                <w:b/>
                <w:color w:val="123C69"/>
                <w:sz w:val="16"/>
              </w:rPr>
              <w:t>Aplicación en el proyecto</w:t>
            </w:r>
          </w:p>
        </w:tc>
      </w:tr>
      <w:tr>
        <w:tc>
          <w:tcPr>
            <w:tcW w:type="dxa" w:w="2160"/>
            <w:vAlign w:val="top"/>
          </w:tcPr>
          <w:p>
            <w:pPr>
              <w:spacing w:after="0"/>
            </w:pPr>
            <w:r/>
            <w:r>
              <w:rPr>
                <w:b w:val="0"/>
                <w:sz w:val="16"/>
              </w:rPr>
              <w:t>Unitarias</w:t>
            </w:r>
          </w:p>
        </w:tc>
        <w:tc>
          <w:tcPr>
            <w:tcW w:type="dxa" w:w="7056"/>
            <w:vAlign w:val="top"/>
          </w:tcPr>
          <w:p>
            <w:pPr>
              <w:spacing w:after="0"/>
            </w:pPr>
            <w:r/>
            <w:r>
              <w:rPr>
                <w:b w:val="0"/>
                <w:sz w:val="16"/>
              </w:rPr>
              <w:t>No aplican al producto por caja negra. Aplican al repositorio QA si se amplían utilidades.</w:t>
            </w:r>
          </w:p>
        </w:tc>
      </w:tr>
      <w:tr>
        <w:tc>
          <w:tcPr>
            <w:tcW w:type="dxa" w:w="2160"/>
            <w:vAlign w:val="top"/>
          </w:tcPr>
          <w:p>
            <w:pPr>
              <w:spacing w:after="0"/>
            </w:pPr>
            <w:r/>
            <w:r>
              <w:rPr>
                <w:b w:val="0"/>
                <w:sz w:val="16"/>
              </w:rPr>
              <w:t>Integración</w:t>
            </w:r>
          </w:p>
        </w:tc>
        <w:tc>
          <w:tcPr>
            <w:tcW w:type="dxa" w:w="7056"/>
            <w:vAlign w:val="top"/>
          </w:tcPr>
          <w:p>
            <w:pPr>
              <w:spacing w:after="0"/>
            </w:pPr>
            <w:r/>
            <w:r>
              <w:rPr>
                <w:b w:val="0"/>
                <w:sz w:val="16"/>
              </w:rPr>
              <w:t>Se valida integración observable entre SPA, rutas, recursos y navegador.</w:t>
            </w:r>
          </w:p>
        </w:tc>
      </w:tr>
      <w:tr>
        <w:tc>
          <w:tcPr>
            <w:tcW w:type="dxa" w:w="2160"/>
            <w:vAlign w:val="top"/>
          </w:tcPr>
          <w:p>
            <w:pPr>
              <w:spacing w:after="0"/>
            </w:pPr>
            <w:r/>
            <w:r>
              <w:rPr>
                <w:b w:val="0"/>
                <w:sz w:val="16"/>
              </w:rPr>
              <w:t>Sistema</w:t>
            </w:r>
          </w:p>
        </w:tc>
        <w:tc>
          <w:tcPr>
            <w:tcW w:type="dxa" w:w="7056"/>
            <w:vAlign w:val="top"/>
          </w:tcPr>
          <w:p>
            <w:pPr>
              <w:spacing w:after="0"/>
            </w:pPr>
            <w:r/>
            <w:r>
              <w:rPr>
                <w:b w:val="0"/>
                <w:sz w:val="16"/>
              </w:rPr>
              <w:t>Principal nivel de prueba mediante flujos completos desde la interfaz web.</w:t>
            </w:r>
          </w:p>
        </w:tc>
      </w:tr>
      <w:tr>
        <w:tc>
          <w:tcPr>
            <w:tcW w:type="dxa" w:w="2160"/>
            <w:vAlign w:val="top"/>
          </w:tcPr>
          <w:p>
            <w:pPr>
              <w:spacing w:after="0"/>
            </w:pPr>
            <w:r/>
            <w:r>
              <w:rPr>
                <w:b w:val="0"/>
                <w:sz w:val="16"/>
              </w:rPr>
              <w:t>Aceptación</w:t>
            </w:r>
          </w:p>
        </w:tc>
        <w:tc>
          <w:tcPr>
            <w:tcW w:type="dxa" w:w="7056"/>
            <w:vAlign w:val="top"/>
          </w:tcPr>
          <w:p>
            <w:pPr>
              <w:spacing w:after="0"/>
            </w:pPr>
            <w:r/>
            <w:r>
              <w:rPr>
                <w:b w:val="0"/>
                <w:sz w:val="16"/>
              </w:rPr>
              <w:t>Validación de criterios RF/RNF contra casos manuales y automatizados.</w:t>
            </w:r>
          </w:p>
        </w:tc>
      </w:tr>
      <w:tr>
        <w:tc>
          <w:tcPr>
            <w:tcW w:type="dxa" w:w="2160"/>
            <w:vAlign w:val="top"/>
          </w:tcPr>
          <w:p>
            <w:pPr>
              <w:spacing w:after="0"/>
            </w:pPr>
            <w:r/>
            <w:r>
              <w:rPr>
                <w:b w:val="0"/>
                <w:sz w:val="16"/>
              </w:rPr>
              <w:t>Funcionales</w:t>
            </w:r>
          </w:p>
        </w:tc>
        <w:tc>
          <w:tcPr>
            <w:tcW w:type="dxa" w:w="7056"/>
            <w:vAlign w:val="top"/>
          </w:tcPr>
          <w:p>
            <w:pPr>
              <w:spacing w:after="0"/>
            </w:pPr>
            <w:r/>
            <w:r>
              <w:rPr>
                <w:b w:val="0"/>
                <w:sz w:val="16"/>
              </w:rPr>
              <w:t>Conceptos, desafíos, blogs y navegación.</w:t>
            </w:r>
          </w:p>
        </w:tc>
      </w:tr>
      <w:tr>
        <w:tc>
          <w:tcPr>
            <w:tcW w:type="dxa" w:w="2160"/>
            <w:vAlign w:val="top"/>
          </w:tcPr>
          <w:p>
            <w:pPr>
              <w:spacing w:after="0"/>
            </w:pPr>
            <w:r/>
            <w:r>
              <w:rPr>
                <w:b w:val="0"/>
                <w:sz w:val="16"/>
              </w:rPr>
              <w:t>No funcionales</w:t>
            </w:r>
          </w:p>
        </w:tc>
        <w:tc>
          <w:tcPr>
            <w:tcW w:type="dxa" w:w="7056"/>
            <w:vAlign w:val="top"/>
          </w:tcPr>
          <w:p>
            <w:pPr>
              <w:spacing w:after="0"/>
            </w:pPr>
            <w:r/>
            <w:r>
              <w:rPr>
                <w:b w:val="0"/>
                <w:sz w:val="16"/>
              </w:rPr>
              <w:t>Rendimiento, fiabilidad, usabilidad, compatibilidad y seguridad.</w:t>
            </w:r>
          </w:p>
        </w:tc>
      </w:tr>
      <w:tr>
        <w:tc>
          <w:tcPr>
            <w:tcW w:type="dxa" w:w="2160"/>
            <w:vAlign w:val="top"/>
          </w:tcPr>
          <w:p>
            <w:pPr>
              <w:spacing w:after="0"/>
            </w:pPr>
            <w:r/>
            <w:r>
              <w:rPr>
                <w:b w:val="0"/>
                <w:sz w:val="16"/>
              </w:rPr>
              <w:t>Automatizadas</w:t>
            </w:r>
          </w:p>
        </w:tc>
        <w:tc>
          <w:tcPr>
            <w:tcW w:type="dxa" w:w="7056"/>
            <w:vAlign w:val="top"/>
          </w:tcPr>
          <w:p>
            <w:pPr>
              <w:spacing w:after="0"/>
            </w:pPr>
            <w:r/>
            <w:r>
              <w:rPr>
                <w:b w:val="0"/>
                <w:sz w:val="16"/>
              </w:rPr>
              <w:t>Playwright con Page Object Model.</w:t>
            </w:r>
          </w:p>
        </w:tc>
      </w:tr>
      <w:tr>
        <w:tc>
          <w:tcPr>
            <w:tcW w:type="dxa" w:w="2160"/>
            <w:vAlign w:val="top"/>
          </w:tcPr>
          <w:p>
            <w:pPr>
              <w:spacing w:after="0"/>
            </w:pPr>
            <w:r/>
            <w:r>
              <w:rPr>
                <w:b w:val="0"/>
                <w:sz w:val="16"/>
              </w:rPr>
              <w:t>Exploratorias</w:t>
            </w:r>
          </w:p>
        </w:tc>
        <w:tc>
          <w:tcPr>
            <w:tcW w:type="dxa" w:w="7056"/>
            <w:vAlign w:val="top"/>
          </w:tcPr>
          <w:p>
            <w:pPr>
              <w:spacing w:after="0"/>
            </w:pPr>
            <w:r/>
            <w:r>
              <w:rPr>
                <w:b w:val="0"/>
                <w:sz w:val="16"/>
              </w:rPr>
              <w:t>Navegación libre, consola, enlaces y observación de comportamiento.</w:t>
            </w:r>
          </w:p>
        </w:tc>
      </w:tr>
    </w:tbl>
    <w:p/>
    <w:p>
      <w:pPr>
        <w:pStyle w:val="Heading2"/>
      </w:pPr>
      <w:r>
        <w:rPr>
          <w:color w:val="0B4F6C"/>
        </w:rPr>
        <w:t>4.3 Técnicas aplicadas</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00"/>
        <w:gridCol w:w="5100"/>
      </w:tblGrid>
      <w:tr>
        <w:trPr>
          <w:tblHeader w:val="true"/>
        </w:trPr>
        <w:tc>
          <w:tcPr>
            <w:tcW w:type="dxa" w:w="2448"/>
            <w:vAlign w:val="top"/>
            <w:shd w:fill="EAF3F8"/>
          </w:tcPr>
          <w:p>
            <w:pPr>
              <w:spacing w:after="0"/>
            </w:pPr>
            <w:r/>
            <w:r>
              <w:rPr>
                <w:b/>
                <w:color w:val="123C69"/>
                <w:sz w:val="16"/>
              </w:rPr>
              <w:t>Técnica</w:t>
            </w:r>
          </w:p>
        </w:tc>
        <w:tc>
          <w:tcPr>
            <w:tcW w:type="dxa" w:w="6768"/>
            <w:vAlign w:val="top"/>
            <w:shd w:fill="EAF3F8"/>
          </w:tcPr>
          <w:p>
            <w:pPr>
              <w:spacing w:after="0"/>
            </w:pPr>
            <w:r/>
            <w:r>
              <w:rPr>
                <w:b/>
                <w:color w:val="123C69"/>
                <w:sz w:val="16"/>
              </w:rPr>
              <w:t>Uso aplicado</w:t>
            </w:r>
          </w:p>
        </w:tc>
      </w:tr>
      <w:tr>
        <w:tc>
          <w:tcPr>
            <w:tcW w:type="dxa" w:w="2448"/>
            <w:vAlign w:val="top"/>
          </w:tcPr>
          <w:p>
            <w:pPr>
              <w:spacing w:after="0"/>
            </w:pPr>
            <w:r/>
            <w:r>
              <w:rPr>
                <w:b w:val="0"/>
                <w:sz w:val="16"/>
              </w:rPr>
              <w:t>Partición de equivalencia</w:t>
            </w:r>
          </w:p>
        </w:tc>
        <w:tc>
          <w:tcPr>
            <w:tcW w:type="dxa" w:w="6768"/>
            <w:vAlign w:val="top"/>
          </w:tcPr>
          <w:p>
            <w:pPr>
              <w:spacing w:after="0"/>
            </w:pPr>
            <w:r/>
            <w:r>
              <w:rPr>
                <w:b w:val="0"/>
                <w:sz w:val="16"/>
              </w:rPr>
              <w:t>Datos válidos e inválidos en formularios y filtros por categoría.</w:t>
            </w:r>
          </w:p>
        </w:tc>
      </w:tr>
      <w:tr>
        <w:tc>
          <w:tcPr>
            <w:tcW w:type="dxa" w:w="2448"/>
            <w:vAlign w:val="top"/>
          </w:tcPr>
          <w:p>
            <w:pPr>
              <w:spacing w:after="0"/>
            </w:pPr>
            <w:r/>
            <w:r>
              <w:rPr>
                <w:b w:val="0"/>
                <w:sz w:val="16"/>
              </w:rPr>
              <w:t>Valores límite</w:t>
            </w:r>
          </w:p>
        </w:tc>
        <w:tc>
          <w:tcPr>
            <w:tcW w:type="dxa" w:w="6768"/>
            <w:vAlign w:val="top"/>
          </w:tcPr>
          <w:p>
            <w:pPr>
              <w:spacing w:after="0"/>
            </w:pPr>
            <w:r/>
            <w:r>
              <w:rPr>
                <w:b w:val="0"/>
                <w:sz w:val="16"/>
              </w:rPr>
              <w:t>Umbral de 3 segundos, tasa de fallos HTTP menor al 1 %, límites de navegación/paginación.</w:t>
            </w:r>
          </w:p>
        </w:tc>
      </w:tr>
      <w:tr>
        <w:tc>
          <w:tcPr>
            <w:tcW w:type="dxa" w:w="2448"/>
            <w:vAlign w:val="top"/>
          </w:tcPr>
          <w:p>
            <w:pPr>
              <w:spacing w:after="0"/>
            </w:pPr>
            <w:r/>
            <w:r>
              <w:rPr>
                <w:b w:val="0"/>
                <w:sz w:val="16"/>
              </w:rPr>
              <w:t>Tabla de decisión</w:t>
            </w:r>
          </w:p>
        </w:tc>
        <w:tc>
          <w:tcPr>
            <w:tcW w:type="dxa" w:w="6768"/>
            <w:vAlign w:val="top"/>
          </w:tcPr>
          <w:p>
            <w:pPr>
              <w:spacing w:after="0"/>
            </w:pPr>
            <w:r/>
            <w:r>
              <w:rPr>
                <w:b w:val="0"/>
                <w:sz w:val="16"/>
              </w:rPr>
              <w:t>Comportamiento esperado al combinar categoría, búsqueda y reset de filtros.</w:t>
            </w:r>
          </w:p>
        </w:tc>
      </w:tr>
      <w:tr>
        <w:tc>
          <w:tcPr>
            <w:tcW w:type="dxa" w:w="2448"/>
            <w:vAlign w:val="top"/>
          </w:tcPr>
          <w:p>
            <w:pPr>
              <w:spacing w:after="0"/>
            </w:pPr>
            <w:r/>
            <w:r>
              <w:rPr>
                <w:b w:val="0"/>
                <w:sz w:val="16"/>
              </w:rPr>
              <w:t>Caja negra</w:t>
            </w:r>
          </w:p>
        </w:tc>
        <w:tc>
          <w:tcPr>
            <w:tcW w:type="dxa" w:w="6768"/>
            <w:vAlign w:val="top"/>
          </w:tcPr>
          <w:p>
            <w:pPr>
              <w:spacing w:after="0"/>
            </w:pPr>
            <w:r/>
            <w:r>
              <w:rPr>
                <w:b w:val="0"/>
                <w:sz w:val="16"/>
              </w:rPr>
              <w:t>Evaluación del comportamiento observable sin acceso al código fuente del sistema.</w:t>
            </w:r>
          </w:p>
        </w:tc>
      </w:tr>
      <w:tr>
        <w:tc>
          <w:tcPr>
            <w:tcW w:type="dxa" w:w="2448"/>
            <w:vAlign w:val="top"/>
          </w:tcPr>
          <w:p>
            <w:pPr>
              <w:spacing w:after="0"/>
            </w:pPr>
            <w:r/>
            <w:r>
              <w:rPr>
                <w:b w:val="0"/>
                <w:sz w:val="16"/>
              </w:rPr>
              <w:t>Exploratoria</w:t>
            </w:r>
          </w:p>
        </w:tc>
        <w:tc>
          <w:tcPr>
            <w:tcW w:type="dxa" w:w="6768"/>
            <w:vAlign w:val="top"/>
          </w:tcPr>
          <w:p>
            <w:pPr>
              <w:spacing w:after="0"/>
            </w:pPr>
            <w:r/>
            <w:r>
              <w:rPr>
                <w:b w:val="0"/>
                <w:sz w:val="16"/>
              </w:rPr>
              <w:t>Identificación de defectos no previstos durante navegación manual.</w:t>
            </w:r>
          </w:p>
        </w:tc>
      </w:tr>
    </w:tbl>
    <w:p/>
    <w:p>
      <w:pPr>
        <w:pStyle w:val="Heading2"/>
      </w:pPr>
      <w:r>
        <w:rPr>
          <w:color w:val="0B4F6C"/>
        </w:rPr>
        <w:t>4.4 Recursos y ambiente</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00"/>
        <w:gridCol w:w="5100"/>
      </w:tblGrid>
      <w:tr>
        <w:trPr>
          <w:tblHeader w:val="true"/>
        </w:trPr>
        <w:tc>
          <w:tcPr>
            <w:tcW w:type="dxa" w:w="2592"/>
            <w:vAlign w:val="top"/>
            <w:shd w:fill="EAF3F8"/>
          </w:tcPr>
          <w:p>
            <w:pPr>
              <w:spacing w:after="0"/>
            </w:pPr>
            <w:r/>
            <w:r>
              <w:rPr>
                <w:b/>
                <w:color w:val="123C69"/>
                <w:sz w:val="16"/>
              </w:rPr>
              <w:t>Recurso</w:t>
            </w:r>
          </w:p>
        </w:tc>
        <w:tc>
          <w:tcPr>
            <w:tcW w:type="dxa" w:w="6624"/>
            <w:vAlign w:val="top"/>
            <w:shd w:fill="EAF3F8"/>
          </w:tcPr>
          <w:p>
            <w:pPr>
              <w:spacing w:after="0"/>
            </w:pPr>
            <w:r/>
            <w:r>
              <w:rPr>
                <w:b/>
                <w:color w:val="123C69"/>
                <w:sz w:val="16"/>
              </w:rPr>
              <w:t>Uso</w:t>
            </w:r>
          </w:p>
        </w:tc>
      </w:tr>
      <w:tr>
        <w:tc>
          <w:tcPr>
            <w:tcW w:type="dxa" w:w="2592"/>
            <w:vAlign w:val="top"/>
          </w:tcPr>
          <w:p>
            <w:pPr>
              <w:spacing w:after="0"/>
            </w:pPr>
            <w:r/>
            <w:r>
              <w:rPr>
                <w:b w:val="0"/>
                <w:sz w:val="16"/>
              </w:rPr>
              <w:t>Playwright + TypeScript</w:t>
            </w:r>
          </w:p>
        </w:tc>
        <w:tc>
          <w:tcPr>
            <w:tcW w:type="dxa" w:w="6624"/>
            <w:vAlign w:val="top"/>
          </w:tcPr>
          <w:p>
            <w:pPr>
              <w:spacing w:after="0"/>
            </w:pPr>
            <w:r/>
            <w:r>
              <w:rPr>
                <w:b w:val="0"/>
                <w:sz w:val="16"/>
              </w:rPr>
              <w:t>Automatización funcional y no funcional básica.</w:t>
            </w:r>
          </w:p>
        </w:tc>
      </w:tr>
      <w:tr>
        <w:tc>
          <w:tcPr>
            <w:tcW w:type="dxa" w:w="2592"/>
            <w:vAlign w:val="top"/>
          </w:tcPr>
          <w:p>
            <w:pPr>
              <w:spacing w:after="0"/>
            </w:pPr>
            <w:r/>
            <w:r>
              <w:rPr>
                <w:b w:val="0"/>
                <w:sz w:val="16"/>
              </w:rPr>
              <w:t>Docker Desktop</w:t>
            </w:r>
          </w:p>
        </w:tc>
        <w:tc>
          <w:tcPr>
            <w:tcW w:type="dxa" w:w="6624"/>
            <w:vAlign w:val="top"/>
          </w:tcPr>
          <w:p>
            <w:pPr>
              <w:spacing w:after="0"/>
            </w:pPr>
            <w:r/>
            <w:r>
              <w:rPr>
                <w:b w:val="0"/>
                <w:sz w:val="16"/>
              </w:rPr>
              <w:t>Ejecución de k6, OWASP ZAP y SonarQube/SonarScanner.</w:t>
            </w:r>
          </w:p>
        </w:tc>
      </w:tr>
      <w:tr>
        <w:tc>
          <w:tcPr>
            <w:tcW w:type="dxa" w:w="2592"/>
            <w:vAlign w:val="top"/>
          </w:tcPr>
          <w:p>
            <w:pPr>
              <w:spacing w:after="0"/>
            </w:pPr>
            <w:r/>
            <w:r>
              <w:rPr>
                <w:b w:val="0"/>
                <w:sz w:val="16"/>
              </w:rPr>
              <w:t>k6</w:t>
            </w:r>
          </w:p>
        </w:tc>
        <w:tc>
          <w:tcPr>
            <w:tcW w:type="dxa" w:w="6624"/>
            <w:vAlign w:val="top"/>
          </w:tcPr>
          <w:p>
            <w:pPr>
              <w:spacing w:after="0"/>
            </w:pPr>
            <w:r/>
            <w:r>
              <w:rPr>
                <w:b w:val="0"/>
                <w:sz w:val="16"/>
              </w:rPr>
              <w:t>Prueba básica de carga y tiempo de respuesta.</w:t>
            </w:r>
          </w:p>
        </w:tc>
      </w:tr>
      <w:tr>
        <w:tc>
          <w:tcPr>
            <w:tcW w:type="dxa" w:w="2592"/>
            <w:vAlign w:val="top"/>
          </w:tcPr>
          <w:p>
            <w:pPr>
              <w:spacing w:after="0"/>
            </w:pPr>
            <w:r/>
            <w:r>
              <w:rPr>
                <w:b w:val="0"/>
                <w:sz w:val="16"/>
              </w:rPr>
              <w:t>OWASP ZAP</w:t>
            </w:r>
          </w:p>
        </w:tc>
        <w:tc>
          <w:tcPr>
            <w:tcW w:type="dxa" w:w="6624"/>
            <w:vAlign w:val="top"/>
          </w:tcPr>
          <w:p>
            <w:pPr>
              <w:spacing w:after="0"/>
            </w:pPr>
            <w:r/>
            <w:r>
              <w:rPr>
                <w:b w:val="0"/>
                <w:sz w:val="16"/>
              </w:rPr>
              <w:t>Escaneo pasivo de seguridad basado en OWASP Top 10.</w:t>
            </w:r>
          </w:p>
        </w:tc>
      </w:tr>
      <w:tr>
        <w:tc>
          <w:tcPr>
            <w:tcW w:type="dxa" w:w="2592"/>
            <w:vAlign w:val="top"/>
          </w:tcPr>
          <w:p>
            <w:pPr>
              <w:spacing w:after="0"/>
            </w:pPr>
            <w:r/>
            <w:r>
              <w:rPr>
                <w:b w:val="0"/>
                <w:sz w:val="16"/>
              </w:rPr>
              <w:t>SonarQube</w:t>
            </w:r>
          </w:p>
        </w:tc>
        <w:tc>
          <w:tcPr>
            <w:tcW w:type="dxa" w:w="6624"/>
            <w:vAlign w:val="top"/>
          </w:tcPr>
          <w:p>
            <w:pPr>
              <w:spacing w:after="0"/>
            </w:pPr>
            <w:r/>
            <w:r>
              <w:rPr>
                <w:b w:val="0"/>
                <w:sz w:val="16"/>
              </w:rPr>
              <w:t>Análisis estático del repositorio de pruebas.</w:t>
            </w:r>
          </w:p>
        </w:tc>
      </w:tr>
      <w:tr>
        <w:tc>
          <w:tcPr>
            <w:tcW w:type="dxa" w:w="2592"/>
            <w:vAlign w:val="top"/>
          </w:tcPr>
          <w:p>
            <w:pPr>
              <w:spacing w:after="0"/>
            </w:pPr>
            <w:r/>
            <w:r>
              <w:rPr>
                <w:b w:val="0"/>
                <w:sz w:val="16"/>
              </w:rPr>
              <w:t>GitHub Actions</w:t>
            </w:r>
          </w:p>
        </w:tc>
        <w:tc>
          <w:tcPr>
            <w:tcW w:type="dxa" w:w="6624"/>
            <w:vAlign w:val="top"/>
          </w:tcPr>
          <w:p>
            <w:pPr>
              <w:spacing w:after="0"/>
            </w:pPr>
            <w:r/>
            <w:r>
              <w:rPr>
                <w:b w:val="0"/>
                <w:sz w:val="16"/>
              </w:rPr>
              <w:t>Propuesta de integración continua.</w:t>
            </w:r>
          </w:p>
        </w:tc>
      </w:tr>
      <w:tr>
        <w:tc>
          <w:tcPr>
            <w:tcW w:type="dxa" w:w="2592"/>
            <w:vAlign w:val="top"/>
          </w:tcPr>
          <w:p>
            <w:pPr>
              <w:spacing w:after="0"/>
            </w:pPr>
            <w:r/>
            <w:r>
              <w:rPr>
                <w:b w:val="0"/>
                <w:sz w:val="16"/>
              </w:rPr>
              <w:t>Equipo humano</w:t>
            </w:r>
          </w:p>
        </w:tc>
        <w:tc>
          <w:tcPr>
            <w:tcW w:type="dxa" w:w="6624"/>
            <w:vAlign w:val="top"/>
          </w:tcPr>
          <w:p>
            <w:pPr>
              <w:spacing w:after="0"/>
            </w:pPr>
            <w:r/>
            <w:r>
              <w:rPr>
                <w:b w:val="0"/>
                <w:sz w:val="16"/>
              </w:rPr>
              <w:t>QA Lead, tester manual, automatizador y analista de seguridad/rendimiento.</w:t>
            </w:r>
          </w:p>
        </w:tc>
      </w:tr>
    </w:tbl>
    <w:p/>
    <w:p>
      <w:pPr>
        <w:pStyle w:val="Heading2"/>
      </w:pPr>
      <w:r>
        <w:rPr>
          <w:color w:val="0B4F6C"/>
        </w:rPr>
        <w:t>4.5 Cronograma</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50"/>
        <w:gridCol w:w="2550"/>
        <w:gridCol w:w="2550"/>
        <w:gridCol w:w="2550"/>
      </w:tblGrid>
      <w:tr>
        <w:trPr>
          <w:tblHeader w:val="true"/>
        </w:trPr>
        <w:tc>
          <w:tcPr>
            <w:tcW w:type="dxa" w:w="3456"/>
            <w:vAlign w:val="top"/>
            <w:shd w:fill="EAF3F8"/>
          </w:tcPr>
          <w:p>
            <w:pPr>
              <w:spacing w:after="0"/>
            </w:pPr>
            <w:r/>
            <w:r>
              <w:rPr>
                <w:b/>
                <w:color w:val="123C69"/>
                <w:sz w:val="16"/>
              </w:rPr>
              <w:t>Actividad</w:t>
            </w:r>
          </w:p>
        </w:tc>
        <w:tc>
          <w:tcPr>
            <w:tcW w:type="dxa" w:w="2448"/>
            <w:vAlign w:val="top"/>
            <w:shd w:fill="EAF3F8"/>
          </w:tcPr>
          <w:p>
            <w:pPr>
              <w:spacing w:after="0"/>
            </w:pPr>
            <w:r/>
            <w:r>
              <w:rPr>
                <w:b/>
                <w:color w:val="123C69"/>
                <w:sz w:val="16"/>
              </w:rPr>
              <w:t>Responsable</w:t>
            </w:r>
          </w:p>
        </w:tc>
        <w:tc>
          <w:tcPr>
            <w:tcW w:type="dxa" w:w="1584"/>
            <w:vAlign w:val="top"/>
            <w:shd w:fill="EAF3F8"/>
          </w:tcPr>
          <w:p>
            <w:pPr>
              <w:spacing w:after="0"/>
            </w:pPr>
            <w:r/>
            <w:r>
              <w:rPr>
                <w:b/>
                <w:color w:val="123C69"/>
                <w:sz w:val="16"/>
              </w:rPr>
              <w:t>Inicio</w:t>
            </w:r>
          </w:p>
        </w:tc>
        <w:tc>
          <w:tcPr>
            <w:tcW w:type="dxa" w:w="1584"/>
            <w:vAlign w:val="top"/>
            <w:shd w:fill="EAF3F8"/>
          </w:tcPr>
          <w:p>
            <w:pPr>
              <w:spacing w:after="0"/>
            </w:pPr>
            <w:r/>
            <w:r>
              <w:rPr>
                <w:b/>
                <w:color w:val="123C69"/>
                <w:sz w:val="16"/>
              </w:rPr>
              <w:t>Fin</w:t>
            </w:r>
          </w:p>
        </w:tc>
      </w:tr>
      <w:tr>
        <w:tc>
          <w:tcPr>
            <w:tcW w:type="dxa" w:w="3456"/>
            <w:vAlign w:val="top"/>
          </w:tcPr>
          <w:p>
            <w:pPr>
              <w:spacing w:after="0"/>
            </w:pPr>
            <w:r/>
            <w:r>
              <w:rPr>
                <w:b w:val="0"/>
                <w:sz w:val="16"/>
              </w:rPr>
              <w:t>Revisión de requisitos y plan</w:t>
            </w:r>
          </w:p>
        </w:tc>
        <w:tc>
          <w:tcPr>
            <w:tcW w:type="dxa" w:w="2448"/>
            <w:vAlign w:val="top"/>
          </w:tcPr>
          <w:p>
            <w:pPr>
              <w:spacing w:after="0"/>
            </w:pPr>
            <w:r/>
            <w:r>
              <w:rPr>
                <w:b w:val="0"/>
                <w:sz w:val="16"/>
              </w:rPr>
              <w:t>QA Lead</w:t>
            </w:r>
          </w:p>
        </w:tc>
        <w:tc>
          <w:tcPr>
            <w:tcW w:type="dxa" w:w="1584"/>
            <w:vAlign w:val="top"/>
          </w:tcPr>
          <w:p>
            <w:pPr>
              <w:spacing w:after="0"/>
            </w:pPr>
            <w:r/>
            <w:r>
              <w:rPr>
                <w:b w:val="0"/>
                <w:sz w:val="16"/>
              </w:rPr>
              <w:t>14/may/2026</w:t>
            </w:r>
          </w:p>
        </w:tc>
        <w:tc>
          <w:tcPr>
            <w:tcW w:type="dxa" w:w="1584"/>
            <w:vAlign w:val="top"/>
          </w:tcPr>
          <w:p>
            <w:pPr>
              <w:spacing w:after="0"/>
            </w:pPr>
            <w:r/>
            <w:r>
              <w:rPr>
                <w:b w:val="0"/>
                <w:sz w:val="16"/>
              </w:rPr>
              <w:t>15/may/2026</w:t>
            </w:r>
          </w:p>
        </w:tc>
      </w:tr>
      <w:tr>
        <w:tc>
          <w:tcPr>
            <w:tcW w:type="dxa" w:w="3456"/>
            <w:vAlign w:val="top"/>
          </w:tcPr>
          <w:p>
            <w:pPr>
              <w:spacing w:after="0"/>
            </w:pPr>
            <w:r/>
            <w:r>
              <w:rPr>
                <w:b w:val="0"/>
                <w:sz w:val="16"/>
              </w:rPr>
              <w:t>Diseño de casos manuales</w:t>
            </w:r>
          </w:p>
        </w:tc>
        <w:tc>
          <w:tcPr>
            <w:tcW w:type="dxa" w:w="2448"/>
            <w:vAlign w:val="top"/>
          </w:tcPr>
          <w:p>
            <w:pPr>
              <w:spacing w:after="0"/>
            </w:pPr>
            <w:r/>
            <w:r>
              <w:rPr>
                <w:b w:val="0"/>
                <w:sz w:val="16"/>
              </w:rPr>
              <w:t>Tester manual</w:t>
            </w:r>
          </w:p>
        </w:tc>
        <w:tc>
          <w:tcPr>
            <w:tcW w:type="dxa" w:w="1584"/>
            <w:vAlign w:val="top"/>
          </w:tcPr>
          <w:p>
            <w:pPr>
              <w:spacing w:after="0"/>
            </w:pPr>
            <w:r/>
            <w:r>
              <w:rPr>
                <w:b w:val="0"/>
                <w:sz w:val="16"/>
              </w:rPr>
              <w:t>15/may/2026</w:t>
            </w:r>
          </w:p>
        </w:tc>
        <w:tc>
          <w:tcPr>
            <w:tcW w:type="dxa" w:w="1584"/>
            <w:vAlign w:val="top"/>
          </w:tcPr>
          <w:p>
            <w:pPr>
              <w:spacing w:after="0"/>
            </w:pPr>
            <w:r/>
            <w:r>
              <w:rPr>
                <w:b w:val="0"/>
                <w:sz w:val="16"/>
              </w:rPr>
              <w:t>17/may/2026</w:t>
            </w:r>
          </w:p>
        </w:tc>
      </w:tr>
      <w:tr>
        <w:tc>
          <w:tcPr>
            <w:tcW w:type="dxa" w:w="3456"/>
            <w:vAlign w:val="top"/>
          </w:tcPr>
          <w:p>
            <w:pPr>
              <w:spacing w:after="0"/>
            </w:pPr>
            <w:r/>
            <w:r>
              <w:rPr>
                <w:b w:val="0"/>
                <w:sz w:val="16"/>
              </w:rPr>
              <w:t>Automatización</w:t>
            </w:r>
          </w:p>
        </w:tc>
        <w:tc>
          <w:tcPr>
            <w:tcW w:type="dxa" w:w="2448"/>
            <w:vAlign w:val="top"/>
          </w:tcPr>
          <w:p>
            <w:pPr>
              <w:spacing w:after="0"/>
            </w:pPr>
            <w:r/>
            <w:r>
              <w:rPr>
                <w:b w:val="0"/>
                <w:sz w:val="16"/>
              </w:rPr>
              <w:t>Tester automatizador</w:t>
            </w:r>
          </w:p>
        </w:tc>
        <w:tc>
          <w:tcPr>
            <w:tcW w:type="dxa" w:w="1584"/>
            <w:vAlign w:val="top"/>
          </w:tcPr>
          <w:p>
            <w:pPr>
              <w:spacing w:after="0"/>
            </w:pPr>
            <w:r/>
            <w:r>
              <w:rPr>
                <w:b w:val="0"/>
                <w:sz w:val="16"/>
              </w:rPr>
              <w:t>17/may/2026</w:t>
            </w:r>
          </w:p>
        </w:tc>
        <w:tc>
          <w:tcPr>
            <w:tcW w:type="dxa" w:w="1584"/>
            <w:vAlign w:val="top"/>
          </w:tcPr>
          <w:p>
            <w:pPr>
              <w:spacing w:after="0"/>
            </w:pPr>
            <w:r/>
            <w:r>
              <w:rPr>
                <w:b w:val="0"/>
                <w:sz w:val="16"/>
              </w:rPr>
              <w:t>20/may/2026</w:t>
            </w:r>
          </w:p>
        </w:tc>
      </w:tr>
      <w:tr>
        <w:tc>
          <w:tcPr>
            <w:tcW w:type="dxa" w:w="3456"/>
            <w:vAlign w:val="top"/>
          </w:tcPr>
          <w:p>
            <w:pPr>
              <w:spacing w:after="0"/>
            </w:pPr>
            <w:r/>
            <w:r>
              <w:rPr>
                <w:b w:val="0"/>
                <w:sz w:val="16"/>
              </w:rPr>
              <w:t>Ejecución manual</w:t>
            </w:r>
          </w:p>
        </w:tc>
        <w:tc>
          <w:tcPr>
            <w:tcW w:type="dxa" w:w="2448"/>
            <w:vAlign w:val="top"/>
          </w:tcPr>
          <w:p>
            <w:pPr>
              <w:spacing w:after="0"/>
            </w:pPr>
            <w:r/>
            <w:r>
              <w:rPr>
                <w:b w:val="0"/>
                <w:sz w:val="16"/>
              </w:rPr>
              <w:t>Tester manual</w:t>
            </w:r>
          </w:p>
        </w:tc>
        <w:tc>
          <w:tcPr>
            <w:tcW w:type="dxa" w:w="1584"/>
            <w:vAlign w:val="top"/>
          </w:tcPr>
          <w:p>
            <w:pPr>
              <w:spacing w:after="0"/>
            </w:pPr>
            <w:r/>
            <w:r>
              <w:rPr>
                <w:b w:val="0"/>
                <w:sz w:val="16"/>
              </w:rPr>
              <w:t>18/may/2026</w:t>
            </w:r>
          </w:p>
        </w:tc>
        <w:tc>
          <w:tcPr>
            <w:tcW w:type="dxa" w:w="1584"/>
            <w:vAlign w:val="top"/>
          </w:tcPr>
          <w:p>
            <w:pPr>
              <w:spacing w:after="0"/>
            </w:pPr>
            <w:r/>
            <w:r>
              <w:rPr>
                <w:b w:val="0"/>
                <w:sz w:val="16"/>
              </w:rPr>
              <w:t>21/may/2026</w:t>
            </w:r>
          </w:p>
        </w:tc>
      </w:tr>
      <w:tr>
        <w:tc>
          <w:tcPr>
            <w:tcW w:type="dxa" w:w="3456"/>
            <w:vAlign w:val="top"/>
          </w:tcPr>
          <w:p>
            <w:pPr>
              <w:spacing w:after="0"/>
            </w:pPr>
            <w:r/>
            <w:r>
              <w:rPr>
                <w:b w:val="0"/>
                <w:sz w:val="16"/>
              </w:rPr>
              <w:t>Ejecución automatizada</w:t>
            </w:r>
          </w:p>
        </w:tc>
        <w:tc>
          <w:tcPr>
            <w:tcW w:type="dxa" w:w="2448"/>
            <w:vAlign w:val="top"/>
          </w:tcPr>
          <w:p>
            <w:pPr>
              <w:spacing w:after="0"/>
            </w:pPr>
            <w:r/>
            <w:r>
              <w:rPr>
                <w:b w:val="0"/>
                <w:sz w:val="16"/>
              </w:rPr>
              <w:t>Tester automatizador</w:t>
            </w:r>
          </w:p>
        </w:tc>
        <w:tc>
          <w:tcPr>
            <w:tcW w:type="dxa" w:w="1584"/>
            <w:vAlign w:val="top"/>
          </w:tcPr>
          <w:p>
            <w:pPr>
              <w:spacing w:after="0"/>
            </w:pPr>
            <w:r/>
            <w:r>
              <w:rPr>
                <w:b w:val="0"/>
                <w:sz w:val="16"/>
              </w:rPr>
              <w:t>20/may/2026</w:t>
            </w:r>
          </w:p>
        </w:tc>
        <w:tc>
          <w:tcPr>
            <w:tcW w:type="dxa" w:w="1584"/>
            <w:vAlign w:val="top"/>
          </w:tcPr>
          <w:p>
            <w:pPr>
              <w:spacing w:after="0"/>
            </w:pPr>
            <w:r/>
            <w:r>
              <w:rPr>
                <w:b w:val="0"/>
                <w:sz w:val="16"/>
              </w:rPr>
              <w:t>22/may/2026</w:t>
            </w:r>
          </w:p>
        </w:tc>
      </w:tr>
      <w:tr>
        <w:tc>
          <w:tcPr>
            <w:tcW w:type="dxa" w:w="3456"/>
            <w:vAlign w:val="top"/>
          </w:tcPr>
          <w:p>
            <w:pPr>
              <w:spacing w:after="0"/>
            </w:pPr>
            <w:r/>
            <w:r>
              <w:rPr>
                <w:b w:val="0"/>
                <w:sz w:val="16"/>
              </w:rPr>
              <w:t>Rendimiento y seguridad</w:t>
            </w:r>
          </w:p>
        </w:tc>
        <w:tc>
          <w:tcPr>
            <w:tcW w:type="dxa" w:w="2448"/>
            <w:vAlign w:val="top"/>
          </w:tcPr>
          <w:p>
            <w:pPr>
              <w:spacing w:after="0"/>
            </w:pPr>
            <w:r/>
            <w:r>
              <w:rPr>
                <w:b w:val="0"/>
                <w:sz w:val="16"/>
              </w:rPr>
              <w:t>Analista QA</w:t>
            </w:r>
          </w:p>
        </w:tc>
        <w:tc>
          <w:tcPr>
            <w:tcW w:type="dxa" w:w="1584"/>
            <w:vAlign w:val="top"/>
          </w:tcPr>
          <w:p>
            <w:pPr>
              <w:spacing w:after="0"/>
            </w:pPr>
            <w:r/>
            <w:r>
              <w:rPr>
                <w:b w:val="0"/>
                <w:sz w:val="16"/>
              </w:rPr>
              <w:t>21/may/2026</w:t>
            </w:r>
          </w:p>
        </w:tc>
        <w:tc>
          <w:tcPr>
            <w:tcW w:type="dxa" w:w="1584"/>
            <w:vAlign w:val="top"/>
          </w:tcPr>
          <w:p>
            <w:pPr>
              <w:spacing w:after="0"/>
            </w:pPr>
            <w:r/>
            <w:r>
              <w:rPr>
                <w:b w:val="0"/>
                <w:sz w:val="16"/>
              </w:rPr>
              <w:t>22/may/2026</w:t>
            </w:r>
          </w:p>
        </w:tc>
      </w:tr>
      <w:tr>
        <w:tc>
          <w:tcPr>
            <w:tcW w:type="dxa" w:w="3456"/>
            <w:vAlign w:val="top"/>
          </w:tcPr>
          <w:p>
            <w:pPr>
              <w:spacing w:after="0"/>
            </w:pPr>
            <w:r/>
            <w:r>
              <w:rPr>
                <w:b w:val="0"/>
                <w:sz w:val="16"/>
              </w:rPr>
              <w:t>Análisis y métricas</w:t>
            </w:r>
          </w:p>
        </w:tc>
        <w:tc>
          <w:tcPr>
            <w:tcW w:type="dxa" w:w="2448"/>
            <w:vAlign w:val="top"/>
          </w:tcPr>
          <w:p>
            <w:pPr>
              <w:spacing w:after="0"/>
            </w:pPr>
            <w:r/>
            <w:r>
              <w:rPr>
                <w:b w:val="0"/>
                <w:sz w:val="16"/>
              </w:rPr>
              <w:t>Equipo QA</w:t>
            </w:r>
          </w:p>
        </w:tc>
        <w:tc>
          <w:tcPr>
            <w:tcW w:type="dxa" w:w="1584"/>
            <w:vAlign w:val="top"/>
          </w:tcPr>
          <w:p>
            <w:pPr>
              <w:spacing w:after="0"/>
            </w:pPr>
            <w:r/>
            <w:r>
              <w:rPr>
                <w:b w:val="0"/>
                <w:sz w:val="16"/>
              </w:rPr>
              <w:t>21/may/2026</w:t>
            </w:r>
          </w:p>
        </w:tc>
        <w:tc>
          <w:tcPr>
            <w:tcW w:type="dxa" w:w="1584"/>
            <w:vAlign w:val="top"/>
          </w:tcPr>
          <w:p>
            <w:pPr>
              <w:spacing w:after="0"/>
            </w:pPr>
            <w:r/>
            <w:r>
              <w:rPr>
                <w:b w:val="0"/>
                <w:sz w:val="16"/>
              </w:rPr>
              <w:t>23/may/2026</w:t>
            </w:r>
          </w:p>
        </w:tc>
      </w:tr>
      <w:tr>
        <w:tc>
          <w:tcPr>
            <w:tcW w:type="dxa" w:w="3456"/>
            <w:vAlign w:val="top"/>
          </w:tcPr>
          <w:p>
            <w:pPr>
              <w:spacing w:after="0"/>
            </w:pPr>
            <w:r/>
            <w:r>
              <w:rPr>
                <w:b w:val="0"/>
                <w:sz w:val="16"/>
              </w:rPr>
              <w:t>Informe final</w:t>
            </w:r>
          </w:p>
        </w:tc>
        <w:tc>
          <w:tcPr>
            <w:tcW w:type="dxa" w:w="2448"/>
            <w:vAlign w:val="top"/>
          </w:tcPr>
          <w:p>
            <w:pPr>
              <w:spacing w:after="0"/>
            </w:pPr>
            <w:r/>
            <w:r>
              <w:rPr>
                <w:b w:val="0"/>
                <w:sz w:val="16"/>
              </w:rPr>
              <w:t>QA Lead y equipo</w:t>
            </w:r>
          </w:p>
        </w:tc>
        <w:tc>
          <w:tcPr>
            <w:tcW w:type="dxa" w:w="1584"/>
            <w:vAlign w:val="top"/>
          </w:tcPr>
          <w:p>
            <w:pPr>
              <w:spacing w:after="0"/>
            </w:pPr>
            <w:r/>
            <w:r>
              <w:rPr>
                <w:b w:val="0"/>
                <w:sz w:val="16"/>
              </w:rPr>
              <w:t>23/may/2026</w:t>
            </w:r>
          </w:p>
        </w:tc>
        <w:tc>
          <w:tcPr>
            <w:tcW w:type="dxa" w:w="1584"/>
            <w:vAlign w:val="top"/>
          </w:tcPr>
          <w:p>
            <w:pPr>
              <w:spacing w:after="0"/>
            </w:pPr>
            <w:r/>
            <w:r>
              <w:rPr>
                <w:b w:val="0"/>
                <w:sz w:val="16"/>
              </w:rPr>
              <w:t>24/may/2026</w:t>
            </w:r>
          </w:p>
        </w:tc>
      </w:tr>
    </w:tbl>
    <w:p/>
    <w:p>
      <w:pPr>
        <w:pStyle w:val="Heading1"/>
      </w:pPr>
      <w:r>
        <w:rPr>
          <w:color w:val="123C69"/>
        </w:rPr>
        <w:t>5. Diseño de casos de prueba</w:t>
      </w:r>
    </w:p>
    <w:p>
      <w:pPr>
        <w:spacing w:after="120" w:line="259" w:lineRule="auto"/>
        <w:jc w:val="both"/>
      </w:pPr>
      <w:r>
        <w:rPr>
          <w:color w:val="172033"/>
          <w:sz w:val="21"/>
        </w:rPr>
        <w:t>Se diseñaron 10 casos manuales y 5 casos automatizados funcionales, además de pruebas no funcionales asociadas a rendimiento, consola y respuestas HTTP. Cada caso se relaciona con requisitos funcionales o no funcionales.</w:t>
      </w:r>
    </w:p>
    <w:p>
      <w:pPr>
        <w:pStyle w:val="Heading2"/>
      </w:pPr>
      <w:r>
        <w:rPr>
          <w:color w:val="0B4F6C"/>
        </w:rPr>
        <w:t>5.1 Casos manuales</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50"/>
        <w:gridCol w:w="2550"/>
        <w:gridCol w:w="2550"/>
        <w:gridCol w:w="2550"/>
      </w:tblGrid>
      <w:tr>
        <w:trPr>
          <w:tblHeader w:val="true"/>
        </w:trPr>
        <w:tc>
          <w:tcPr>
            <w:tcW w:type="dxa" w:w="1152"/>
            <w:vAlign w:val="top"/>
            <w:shd w:fill="EAF3F8"/>
          </w:tcPr>
          <w:p>
            <w:pPr>
              <w:spacing w:after="0"/>
            </w:pPr>
            <w:r/>
            <w:r>
              <w:rPr>
                <w:b/>
                <w:color w:val="123C69"/>
                <w:sz w:val="16"/>
              </w:rPr>
              <w:t>ID</w:t>
            </w:r>
          </w:p>
        </w:tc>
        <w:tc>
          <w:tcPr>
            <w:tcW w:type="dxa" w:w="4320"/>
            <w:vAlign w:val="top"/>
            <w:shd w:fill="EAF3F8"/>
          </w:tcPr>
          <w:p>
            <w:pPr>
              <w:spacing w:after="0"/>
            </w:pPr>
            <w:r/>
            <w:r>
              <w:rPr>
                <w:b/>
                <w:color w:val="123C69"/>
                <w:sz w:val="16"/>
              </w:rPr>
              <w:t>Nombre</w:t>
            </w:r>
          </w:p>
        </w:tc>
        <w:tc>
          <w:tcPr>
            <w:tcW w:type="dxa" w:w="1584"/>
            <w:vAlign w:val="top"/>
            <w:shd w:fill="EAF3F8"/>
          </w:tcPr>
          <w:p>
            <w:pPr>
              <w:spacing w:after="0"/>
            </w:pPr>
            <w:r/>
            <w:r>
              <w:rPr>
                <w:b/>
                <w:color w:val="123C69"/>
                <w:sz w:val="16"/>
              </w:rPr>
              <w:t>Req.</w:t>
            </w:r>
          </w:p>
        </w:tc>
        <w:tc>
          <w:tcPr>
            <w:tcW w:type="dxa" w:w="2016"/>
            <w:vAlign w:val="top"/>
            <w:shd w:fill="EAF3F8"/>
          </w:tcPr>
          <w:p>
            <w:pPr>
              <w:spacing w:after="0"/>
            </w:pPr>
            <w:r/>
            <w:r>
              <w:rPr>
                <w:b/>
                <w:color w:val="123C69"/>
                <w:sz w:val="16"/>
              </w:rPr>
              <w:t>Estado</w:t>
            </w:r>
          </w:p>
        </w:tc>
      </w:tr>
      <w:tr>
        <w:tc>
          <w:tcPr>
            <w:tcW w:type="dxa" w:w="1152"/>
            <w:vAlign w:val="top"/>
          </w:tcPr>
          <w:p>
            <w:pPr>
              <w:spacing w:after="0"/>
            </w:pPr>
            <w:r/>
            <w:r>
              <w:rPr>
                <w:b w:val="0"/>
                <w:sz w:val="16"/>
              </w:rPr>
              <w:t>TCM-01</w:t>
            </w:r>
          </w:p>
        </w:tc>
        <w:tc>
          <w:tcPr>
            <w:tcW w:type="dxa" w:w="4320"/>
            <w:vAlign w:val="top"/>
          </w:tcPr>
          <w:p>
            <w:pPr>
              <w:spacing w:after="0"/>
            </w:pPr>
            <w:r/>
            <w:r>
              <w:rPr>
                <w:b w:val="0"/>
                <w:sz w:val="16"/>
              </w:rPr>
              <w:t>Navegación a conceptos</w:t>
            </w:r>
          </w:p>
        </w:tc>
        <w:tc>
          <w:tcPr>
            <w:tcW w:type="dxa" w:w="1584"/>
            <w:vAlign w:val="top"/>
          </w:tcPr>
          <w:p>
            <w:pPr>
              <w:spacing w:after="0"/>
            </w:pPr>
            <w:r/>
            <w:r>
              <w:rPr>
                <w:b w:val="0"/>
                <w:sz w:val="16"/>
              </w:rPr>
              <w:t>RF01, RF05</w:t>
            </w:r>
          </w:p>
        </w:tc>
        <w:tc>
          <w:tcPr>
            <w:tcW w:type="dxa" w:w="2016"/>
            <w:vAlign w:val="top"/>
          </w:tcPr>
          <w:p>
            <w:pPr>
              <w:spacing w:after="0"/>
            </w:pPr>
            <w:r/>
            <w:r>
              <w:rPr>
                <w:b w:val="0"/>
                <w:sz w:val="16"/>
              </w:rPr>
              <w:t>Aprobado</w:t>
            </w:r>
          </w:p>
        </w:tc>
      </w:tr>
      <w:tr>
        <w:tc>
          <w:tcPr>
            <w:tcW w:type="dxa" w:w="1152"/>
            <w:vAlign w:val="top"/>
          </w:tcPr>
          <w:p>
            <w:pPr>
              <w:spacing w:after="0"/>
            </w:pPr>
            <w:r/>
            <w:r>
              <w:rPr>
                <w:b w:val="0"/>
                <w:sz w:val="16"/>
              </w:rPr>
              <w:t>TCM-02</w:t>
            </w:r>
          </w:p>
        </w:tc>
        <w:tc>
          <w:tcPr>
            <w:tcW w:type="dxa" w:w="4320"/>
            <w:vAlign w:val="top"/>
          </w:tcPr>
          <w:p>
            <w:pPr>
              <w:spacing w:after="0"/>
            </w:pPr>
            <w:r/>
            <w:r>
              <w:rPr>
                <w:b w:val="0"/>
                <w:sz w:val="16"/>
              </w:rPr>
              <w:t>Interacción con iframe</w:t>
            </w:r>
          </w:p>
        </w:tc>
        <w:tc>
          <w:tcPr>
            <w:tcW w:type="dxa" w:w="1584"/>
            <w:vAlign w:val="top"/>
          </w:tcPr>
          <w:p>
            <w:pPr>
              <w:spacing w:after="0"/>
            </w:pPr>
            <w:r/>
            <w:r>
              <w:rPr>
                <w:b w:val="0"/>
                <w:sz w:val="16"/>
              </w:rPr>
              <w:t>RF02</w:t>
            </w:r>
          </w:p>
        </w:tc>
        <w:tc>
          <w:tcPr>
            <w:tcW w:type="dxa" w:w="2016"/>
            <w:vAlign w:val="top"/>
          </w:tcPr>
          <w:p>
            <w:pPr>
              <w:spacing w:after="0"/>
            </w:pPr>
            <w:r/>
            <w:r>
              <w:rPr>
                <w:b w:val="0"/>
                <w:sz w:val="16"/>
              </w:rPr>
              <w:t>Aprobado con observación</w:t>
            </w:r>
          </w:p>
        </w:tc>
      </w:tr>
      <w:tr>
        <w:tc>
          <w:tcPr>
            <w:tcW w:type="dxa" w:w="1152"/>
            <w:vAlign w:val="top"/>
          </w:tcPr>
          <w:p>
            <w:pPr>
              <w:spacing w:after="0"/>
            </w:pPr>
            <w:r/>
            <w:r>
              <w:rPr>
                <w:b w:val="0"/>
                <w:sz w:val="16"/>
              </w:rPr>
              <w:t>TCM-03</w:t>
            </w:r>
          </w:p>
        </w:tc>
        <w:tc>
          <w:tcPr>
            <w:tcW w:type="dxa" w:w="4320"/>
            <w:vAlign w:val="top"/>
          </w:tcPr>
          <w:p>
            <w:pPr>
              <w:spacing w:after="0"/>
            </w:pPr>
            <w:r/>
            <w:r>
              <w:rPr>
                <w:b w:val="0"/>
                <w:sz w:val="16"/>
              </w:rPr>
              <w:t>Apertura de nueva ventana</w:t>
            </w:r>
          </w:p>
        </w:tc>
        <w:tc>
          <w:tcPr>
            <w:tcW w:type="dxa" w:w="1584"/>
            <w:vAlign w:val="top"/>
          </w:tcPr>
          <w:p>
            <w:pPr>
              <w:spacing w:after="0"/>
            </w:pPr>
            <w:r/>
            <w:r>
              <w:rPr>
                <w:b w:val="0"/>
                <w:sz w:val="16"/>
              </w:rPr>
              <w:t>RF02</w:t>
            </w:r>
          </w:p>
        </w:tc>
        <w:tc>
          <w:tcPr>
            <w:tcW w:type="dxa" w:w="2016"/>
            <w:vAlign w:val="top"/>
          </w:tcPr>
          <w:p>
            <w:pPr>
              <w:spacing w:after="0"/>
            </w:pPr>
            <w:r/>
            <w:r>
              <w:rPr>
                <w:b w:val="0"/>
                <w:sz w:val="16"/>
              </w:rPr>
              <w:t>Aprobado</w:t>
            </w:r>
          </w:p>
        </w:tc>
      </w:tr>
      <w:tr>
        <w:tc>
          <w:tcPr>
            <w:tcW w:type="dxa" w:w="1152"/>
            <w:vAlign w:val="top"/>
          </w:tcPr>
          <w:p>
            <w:pPr>
              <w:spacing w:after="0"/>
            </w:pPr>
            <w:r/>
            <w:r>
              <w:rPr>
                <w:b w:val="0"/>
                <w:sz w:val="16"/>
              </w:rPr>
              <w:t>TCM-04</w:t>
            </w:r>
          </w:p>
        </w:tc>
        <w:tc>
          <w:tcPr>
            <w:tcW w:type="dxa" w:w="4320"/>
            <w:vAlign w:val="top"/>
          </w:tcPr>
          <w:p>
            <w:pPr>
              <w:spacing w:after="0"/>
            </w:pPr>
            <w:r/>
            <w:r>
              <w:rPr>
                <w:b w:val="0"/>
                <w:sz w:val="16"/>
              </w:rPr>
              <w:t>Verificación de enlaces</w:t>
            </w:r>
          </w:p>
        </w:tc>
        <w:tc>
          <w:tcPr>
            <w:tcW w:type="dxa" w:w="1584"/>
            <w:vAlign w:val="top"/>
          </w:tcPr>
          <w:p>
            <w:pPr>
              <w:spacing w:after="0"/>
            </w:pPr>
            <w:r/>
            <w:r>
              <w:rPr>
                <w:b w:val="0"/>
                <w:sz w:val="16"/>
              </w:rPr>
              <w:t>RF02</w:t>
            </w:r>
          </w:p>
        </w:tc>
        <w:tc>
          <w:tcPr>
            <w:tcW w:type="dxa" w:w="2016"/>
            <w:vAlign w:val="top"/>
          </w:tcPr>
          <w:p>
            <w:pPr>
              <w:spacing w:after="0"/>
            </w:pPr>
            <w:r/>
            <w:r>
              <w:rPr>
                <w:b w:val="0"/>
                <w:sz w:val="16"/>
              </w:rPr>
              <w:t>Aprobado</w:t>
            </w:r>
          </w:p>
        </w:tc>
      </w:tr>
      <w:tr>
        <w:tc>
          <w:tcPr>
            <w:tcW w:type="dxa" w:w="1152"/>
            <w:vAlign w:val="top"/>
          </w:tcPr>
          <w:p>
            <w:pPr>
              <w:spacing w:after="0"/>
            </w:pPr>
            <w:r/>
            <w:r>
              <w:rPr>
                <w:b w:val="0"/>
                <w:sz w:val="16"/>
              </w:rPr>
              <w:t>TCM-05</w:t>
            </w:r>
          </w:p>
        </w:tc>
        <w:tc>
          <w:tcPr>
            <w:tcW w:type="dxa" w:w="4320"/>
            <w:vAlign w:val="top"/>
          </w:tcPr>
          <w:p>
            <w:pPr>
              <w:spacing w:after="0"/>
            </w:pPr>
            <w:r/>
            <w:r>
              <w:rPr>
                <w:b w:val="0"/>
                <w:sz w:val="16"/>
              </w:rPr>
              <w:t>Funcionalidad de tabla</w:t>
            </w:r>
          </w:p>
        </w:tc>
        <w:tc>
          <w:tcPr>
            <w:tcW w:type="dxa" w:w="1584"/>
            <w:vAlign w:val="top"/>
          </w:tcPr>
          <w:p>
            <w:pPr>
              <w:spacing w:after="0"/>
            </w:pPr>
            <w:r/>
            <w:r>
              <w:rPr>
                <w:b w:val="0"/>
                <w:sz w:val="16"/>
              </w:rPr>
              <w:t>RF02</w:t>
            </w:r>
          </w:p>
        </w:tc>
        <w:tc>
          <w:tcPr>
            <w:tcW w:type="dxa" w:w="2016"/>
            <w:vAlign w:val="top"/>
          </w:tcPr>
          <w:p>
            <w:pPr>
              <w:spacing w:after="0"/>
            </w:pPr>
            <w:r/>
            <w:r>
              <w:rPr>
                <w:b w:val="0"/>
                <w:sz w:val="16"/>
              </w:rPr>
              <w:t>Aprobado</w:t>
            </w:r>
          </w:p>
        </w:tc>
      </w:tr>
      <w:tr>
        <w:tc>
          <w:tcPr>
            <w:tcW w:type="dxa" w:w="1152"/>
            <w:vAlign w:val="top"/>
          </w:tcPr>
          <w:p>
            <w:pPr>
              <w:spacing w:after="0"/>
            </w:pPr>
            <w:r/>
            <w:r>
              <w:rPr>
                <w:b w:val="0"/>
                <w:sz w:val="16"/>
              </w:rPr>
              <w:t>TCM-06</w:t>
            </w:r>
          </w:p>
        </w:tc>
        <w:tc>
          <w:tcPr>
            <w:tcW w:type="dxa" w:w="4320"/>
            <w:vAlign w:val="top"/>
          </w:tcPr>
          <w:p>
            <w:pPr>
              <w:spacing w:after="0"/>
            </w:pPr>
            <w:r/>
            <w:r>
              <w:rPr>
                <w:b w:val="0"/>
                <w:sz w:val="16"/>
              </w:rPr>
              <w:t>Navegación del blog</w:t>
            </w:r>
          </w:p>
        </w:tc>
        <w:tc>
          <w:tcPr>
            <w:tcW w:type="dxa" w:w="1584"/>
            <w:vAlign w:val="top"/>
          </w:tcPr>
          <w:p>
            <w:pPr>
              <w:spacing w:after="0"/>
            </w:pPr>
            <w:r/>
            <w:r>
              <w:rPr>
                <w:b w:val="0"/>
                <w:sz w:val="16"/>
              </w:rPr>
              <w:t>RF04</w:t>
            </w:r>
          </w:p>
        </w:tc>
        <w:tc>
          <w:tcPr>
            <w:tcW w:type="dxa" w:w="2016"/>
            <w:vAlign w:val="top"/>
          </w:tcPr>
          <w:p>
            <w:pPr>
              <w:spacing w:after="0"/>
            </w:pPr>
            <w:r/>
            <w:r>
              <w:rPr>
                <w:b w:val="0"/>
                <w:sz w:val="16"/>
              </w:rPr>
              <w:t>Aprobado</w:t>
            </w:r>
          </w:p>
        </w:tc>
      </w:tr>
      <w:tr>
        <w:tc>
          <w:tcPr>
            <w:tcW w:type="dxa" w:w="1152"/>
            <w:vAlign w:val="top"/>
          </w:tcPr>
          <w:p>
            <w:pPr>
              <w:spacing w:after="0"/>
            </w:pPr>
            <w:r/>
            <w:r>
              <w:rPr>
                <w:b w:val="0"/>
                <w:sz w:val="16"/>
              </w:rPr>
              <w:t>TCM-07</w:t>
            </w:r>
          </w:p>
        </w:tc>
        <w:tc>
          <w:tcPr>
            <w:tcW w:type="dxa" w:w="4320"/>
            <w:vAlign w:val="top"/>
          </w:tcPr>
          <w:p>
            <w:pPr>
              <w:spacing w:after="0"/>
            </w:pPr>
            <w:r/>
            <w:r>
              <w:rPr>
                <w:b w:val="0"/>
                <w:sz w:val="16"/>
              </w:rPr>
              <w:t>Paginación</w:t>
            </w:r>
          </w:p>
        </w:tc>
        <w:tc>
          <w:tcPr>
            <w:tcW w:type="dxa" w:w="1584"/>
            <w:vAlign w:val="top"/>
          </w:tcPr>
          <w:p>
            <w:pPr>
              <w:spacing w:after="0"/>
            </w:pPr>
            <w:r/>
            <w:r>
              <w:rPr>
                <w:b w:val="0"/>
                <w:sz w:val="16"/>
              </w:rPr>
              <w:t>RF03</w:t>
            </w:r>
          </w:p>
        </w:tc>
        <w:tc>
          <w:tcPr>
            <w:tcW w:type="dxa" w:w="2016"/>
            <w:vAlign w:val="top"/>
          </w:tcPr>
          <w:p>
            <w:pPr>
              <w:spacing w:after="0"/>
            </w:pPr>
            <w:r/>
            <w:r>
              <w:rPr>
                <w:b w:val="0"/>
                <w:sz w:val="16"/>
              </w:rPr>
              <w:t>Aprobado</w:t>
            </w:r>
          </w:p>
        </w:tc>
      </w:tr>
      <w:tr>
        <w:tc>
          <w:tcPr>
            <w:tcW w:type="dxa" w:w="1152"/>
            <w:vAlign w:val="top"/>
          </w:tcPr>
          <w:p>
            <w:pPr>
              <w:spacing w:after="0"/>
            </w:pPr>
            <w:r/>
            <w:r>
              <w:rPr>
                <w:b w:val="0"/>
                <w:sz w:val="16"/>
              </w:rPr>
              <w:t>TCM-08</w:t>
            </w:r>
          </w:p>
        </w:tc>
        <w:tc>
          <w:tcPr>
            <w:tcW w:type="dxa" w:w="4320"/>
            <w:vAlign w:val="top"/>
          </w:tcPr>
          <w:p>
            <w:pPr>
              <w:spacing w:after="0"/>
            </w:pPr>
            <w:r/>
            <w:r>
              <w:rPr>
                <w:b w:val="0"/>
                <w:sz w:val="16"/>
              </w:rPr>
              <w:t>Filtro por categoría</w:t>
            </w:r>
          </w:p>
        </w:tc>
        <w:tc>
          <w:tcPr>
            <w:tcW w:type="dxa" w:w="1584"/>
            <w:vAlign w:val="top"/>
          </w:tcPr>
          <w:p>
            <w:pPr>
              <w:spacing w:after="0"/>
            </w:pPr>
            <w:r/>
            <w:r>
              <w:rPr>
                <w:b w:val="0"/>
                <w:sz w:val="16"/>
              </w:rPr>
              <w:t>RF03</w:t>
            </w:r>
          </w:p>
        </w:tc>
        <w:tc>
          <w:tcPr>
            <w:tcW w:type="dxa" w:w="2016"/>
            <w:vAlign w:val="top"/>
          </w:tcPr>
          <w:p>
            <w:pPr>
              <w:spacing w:after="0"/>
            </w:pPr>
            <w:r/>
            <w:r>
              <w:rPr>
                <w:b w:val="0"/>
                <w:sz w:val="16"/>
              </w:rPr>
              <w:t>Aprobado</w:t>
            </w:r>
          </w:p>
        </w:tc>
      </w:tr>
      <w:tr>
        <w:tc>
          <w:tcPr>
            <w:tcW w:type="dxa" w:w="1152"/>
            <w:vAlign w:val="top"/>
          </w:tcPr>
          <w:p>
            <w:pPr>
              <w:spacing w:after="0"/>
            </w:pPr>
            <w:r/>
            <w:r>
              <w:rPr>
                <w:b w:val="0"/>
                <w:sz w:val="16"/>
              </w:rPr>
              <w:t>TCM-09</w:t>
            </w:r>
          </w:p>
        </w:tc>
        <w:tc>
          <w:tcPr>
            <w:tcW w:type="dxa" w:w="4320"/>
            <w:vAlign w:val="top"/>
          </w:tcPr>
          <w:p>
            <w:pPr>
              <w:spacing w:after="0"/>
            </w:pPr>
            <w:r/>
            <w:r>
              <w:rPr>
                <w:b w:val="0"/>
                <w:sz w:val="16"/>
              </w:rPr>
              <w:t>Tiempos de carga</w:t>
            </w:r>
          </w:p>
        </w:tc>
        <w:tc>
          <w:tcPr>
            <w:tcW w:type="dxa" w:w="1584"/>
            <w:vAlign w:val="top"/>
          </w:tcPr>
          <w:p>
            <w:pPr>
              <w:spacing w:after="0"/>
            </w:pPr>
            <w:r/>
            <w:r>
              <w:rPr>
                <w:b w:val="0"/>
                <w:sz w:val="16"/>
              </w:rPr>
              <w:t>RNF01</w:t>
            </w:r>
          </w:p>
        </w:tc>
        <w:tc>
          <w:tcPr>
            <w:tcW w:type="dxa" w:w="2016"/>
            <w:vAlign w:val="top"/>
          </w:tcPr>
          <w:p>
            <w:pPr>
              <w:spacing w:after="0"/>
            </w:pPr>
            <w:r/>
            <w:r>
              <w:rPr>
                <w:b w:val="0"/>
                <w:sz w:val="16"/>
              </w:rPr>
              <w:t>Aprobado</w:t>
            </w:r>
          </w:p>
        </w:tc>
      </w:tr>
      <w:tr>
        <w:tc>
          <w:tcPr>
            <w:tcW w:type="dxa" w:w="1152"/>
            <w:vAlign w:val="top"/>
          </w:tcPr>
          <w:p>
            <w:pPr>
              <w:spacing w:after="0"/>
            </w:pPr>
            <w:r/>
            <w:r>
              <w:rPr>
                <w:b w:val="0"/>
                <w:sz w:val="16"/>
              </w:rPr>
              <w:t>TCM-10</w:t>
            </w:r>
          </w:p>
        </w:tc>
        <w:tc>
          <w:tcPr>
            <w:tcW w:type="dxa" w:w="4320"/>
            <w:vAlign w:val="top"/>
          </w:tcPr>
          <w:p>
            <w:pPr>
              <w:spacing w:after="0"/>
            </w:pPr>
            <w:r/>
            <w:r>
              <w:rPr>
                <w:b w:val="0"/>
                <w:sz w:val="16"/>
              </w:rPr>
              <w:t>Errores JavaScript/HTTP</w:t>
            </w:r>
          </w:p>
        </w:tc>
        <w:tc>
          <w:tcPr>
            <w:tcW w:type="dxa" w:w="1584"/>
            <w:vAlign w:val="top"/>
          </w:tcPr>
          <w:p>
            <w:pPr>
              <w:spacing w:after="0"/>
            </w:pPr>
            <w:r/>
            <w:r>
              <w:rPr>
                <w:b w:val="0"/>
                <w:sz w:val="16"/>
              </w:rPr>
              <w:t>RNF03</w:t>
            </w:r>
          </w:p>
        </w:tc>
        <w:tc>
          <w:tcPr>
            <w:tcW w:type="dxa" w:w="2016"/>
            <w:vAlign w:val="top"/>
          </w:tcPr>
          <w:p>
            <w:pPr>
              <w:spacing w:after="0"/>
            </w:pPr>
            <w:r/>
            <w:r>
              <w:rPr>
                <w:b w:val="0"/>
                <w:sz w:val="16"/>
              </w:rPr>
              <w:t>Aprobado</w:t>
            </w:r>
          </w:p>
        </w:tc>
      </w:tr>
    </w:tbl>
    <w:p/>
    <w:p>
      <w:pPr>
        <w:pStyle w:val="Heading2"/>
      </w:pPr>
      <w:r>
        <w:rPr>
          <w:color w:val="0B4F6C"/>
        </w:rPr>
        <w:t>5.2 Casos automatizados</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50"/>
        <w:gridCol w:w="2550"/>
        <w:gridCol w:w="2550"/>
        <w:gridCol w:w="2550"/>
      </w:tblGrid>
      <w:tr>
        <w:trPr>
          <w:tblHeader w:val="true"/>
        </w:trPr>
        <w:tc>
          <w:tcPr>
            <w:tcW w:type="dxa" w:w="1152"/>
            <w:vAlign w:val="top"/>
            <w:shd w:fill="EAF3F8"/>
          </w:tcPr>
          <w:p>
            <w:pPr>
              <w:spacing w:after="0"/>
            </w:pPr>
            <w:r/>
            <w:r>
              <w:rPr>
                <w:b/>
                <w:color w:val="123C69"/>
                <w:sz w:val="16"/>
              </w:rPr>
              <w:t>ID</w:t>
            </w:r>
          </w:p>
        </w:tc>
        <w:tc>
          <w:tcPr>
            <w:tcW w:type="dxa" w:w="3312"/>
            <w:vAlign w:val="top"/>
            <w:shd w:fill="EAF3F8"/>
          </w:tcPr>
          <w:p>
            <w:pPr>
              <w:spacing w:after="0"/>
            </w:pPr>
            <w:r/>
            <w:r>
              <w:rPr>
                <w:b/>
                <w:color w:val="123C69"/>
                <w:sz w:val="16"/>
              </w:rPr>
              <w:t>Nombre</w:t>
            </w:r>
          </w:p>
        </w:tc>
        <w:tc>
          <w:tcPr>
            <w:tcW w:type="dxa" w:w="1440"/>
            <w:vAlign w:val="top"/>
            <w:shd w:fill="EAF3F8"/>
          </w:tcPr>
          <w:p>
            <w:pPr>
              <w:spacing w:after="0"/>
            </w:pPr>
            <w:r/>
            <w:r>
              <w:rPr>
                <w:b/>
                <w:color w:val="123C69"/>
                <w:sz w:val="16"/>
              </w:rPr>
              <w:t>Req.</w:t>
            </w:r>
          </w:p>
        </w:tc>
        <w:tc>
          <w:tcPr>
            <w:tcW w:type="dxa" w:w="3456"/>
            <w:vAlign w:val="top"/>
            <w:shd w:fill="EAF3F8"/>
          </w:tcPr>
          <w:p>
            <w:pPr>
              <w:spacing w:after="0"/>
            </w:pPr>
            <w:r/>
            <w:r>
              <w:rPr>
                <w:b/>
                <w:color w:val="123C69"/>
                <w:sz w:val="16"/>
              </w:rPr>
              <w:t>Archivo</w:t>
            </w:r>
          </w:p>
        </w:tc>
      </w:tr>
      <w:tr>
        <w:tc>
          <w:tcPr>
            <w:tcW w:type="dxa" w:w="1152"/>
            <w:vAlign w:val="top"/>
          </w:tcPr>
          <w:p>
            <w:pPr>
              <w:spacing w:after="0"/>
            </w:pPr>
            <w:r/>
            <w:r>
              <w:rPr>
                <w:b w:val="0"/>
                <w:sz w:val="16"/>
              </w:rPr>
              <w:t>TCA-01</w:t>
            </w:r>
          </w:p>
        </w:tc>
        <w:tc>
          <w:tcPr>
            <w:tcW w:type="dxa" w:w="3312"/>
            <w:vAlign w:val="top"/>
          </w:tcPr>
          <w:p>
            <w:pPr>
              <w:spacing w:after="0"/>
            </w:pPr>
            <w:r/>
            <w:r>
              <w:rPr>
                <w:b w:val="0"/>
                <w:sz w:val="16"/>
              </w:rPr>
              <w:t>Navegación y conceptos</w:t>
            </w:r>
          </w:p>
        </w:tc>
        <w:tc>
          <w:tcPr>
            <w:tcW w:type="dxa" w:w="1440"/>
            <w:vAlign w:val="top"/>
          </w:tcPr>
          <w:p>
            <w:pPr>
              <w:spacing w:after="0"/>
            </w:pPr>
            <w:r/>
            <w:r>
              <w:rPr>
                <w:b w:val="0"/>
                <w:sz w:val="16"/>
              </w:rPr>
              <w:t>RF01</w:t>
            </w:r>
          </w:p>
        </w:tc>
        <w:tc>
          <w:tcPr>
            <w:tcW w:type="dxa" w:w="3456"/>
            <w:vAlign w:val="top"/>
          </w:tcPr>
          <w:p>
            <w:pPr>
              <w:spacing w:after="0"/>
            </w:pPr>
            <w:r/>
            <w:r>
              <w:rPr>
                <w:b w:val="0"/>
                <w:sz w:val="16"/>
              </w:rPr>
              <w:t>tests/cnarios.automated.spec.ts</w:t>
            </w:r>
          </w:p>
        </w:tc>
      </w:tr>
      <w:tr>
        <w:tc>
          <w:tcPr>
            <w:tcW w:type="dxa" w:w="1152"/>
            <w:vAlign w:val="top"/>
          </w:tcPr>
          <w:p>
            <w:pPr>
              <w:spacing w:after="0"/>
            </w:pPr>
            <w:r/>
            <w:r>
              <w:rPr>
                <w:b w:val="0"/>
                <w:sz w:val="16"/>
              </w:rPr>
              <w:t>TCA-02</w:t>
            </w:r>
          </w:p>
        </w:tc>
        <w:tc>
          <w:tcPr>
            <w:tcW w:type="dxa" w:w="3312"/>
            <w:vAlign w:val="top"/>
          </w:tcPr>
          <w:p>
            <w:pPr>
              <w:spacing w:after="0"/>
            </w:pPr>
            <w:r/>
            <w:r>
              <w:rPr>
                <w:b w:val="0"/>
                <w:sz w:val="16"/>
              </w:rPr>
              <w:t>Interacción con iframe</w:t>
            </w:r>
          </w:p>
        </w:tc>
        <w:tc>
          <w:tcPr>
            <w:tcW w:type="dxa" w:w="1440"/>
            <w:vAlign w:val="top"/>
          </w:tcPr>
          <w:p>
            <w:pPr>
              <w:spacing w:after="0"/>
            </w:pPr>
            <w:r/>
            <w:r>
              <w:rPr>
                <w:b w:val="0"/>
                <w:sz w:val="16"/>
              </w:rPr>
              <w:t>RF02</w:t>
            </w:r>
          </w:p>
        </w:tc>
        <w:tc>
          <w:tcPr>
            <w:tcW w:type="dxa" w:w="3456"/>
            <w:vAlign w:val="top"/>
          </w:tcPr>
          <w:p>
            <w:pPr>
              <w:spacing w:after="0"/>
            </w:pPr>
            <w:r/>
            <w:r>
              <w:rPr>
                <w:b w:val="0"/>
                <w:sz w:val="16"/>
              </w:rPr>
              <w:t>tests/cnarios.automated.spec.ts</w:t>
            </w:r>
          </w:p>
        </w:tc>
      </w:tr>
      <w:tr>
        <w:tc>
          <w:tcPr>
            <w:tcW w:type="dxa" w:w="1152"/>
            <w:vAlign w:val="top"/>
          </w:tcPr>
          <w:p>
            <w:pPr>
              <w:spacing w:after="0"/>
            </w:pPr>
            <w:r/>
            <w:r>
              <w:rPr>
                <w:b w:val="0"/>
                <w:sz w:val="16"/>
              </w:rPr>
              <w:t>TCA-03</w:t>
            </w:r>
          </w:p>
        </w:tc>
        <w:tc>
          <w:tcPr>
            <w:tcW w:type="dxa" w:w="3312"/>
            <w:vAlign w:val="top"/>
          </w:tcPr>
          <w:p>
            <w:pPr>
              <w:spacing w:after="0"/>
            </w:pPr>
            <w:r/>
            <w:r>
              <w:rPr>
                <w:b w:val="0"/>
                <w:sz w:val="16"/>
              </w:rPr>
              <w:t>Multi-window</w:t>
            </w:r>
          </w:p>
        </w:tc>
        <w:tc>
          <w:tcPr>
            <w:tcW w:type="dxa" w:w="1440"/>
            <w:vAlign w:val="top"/>
          </w:tcPr>
          <w:p>
            <w:pPr>
              <w:spacing w:after="0"/>
            </w:pPr>
            <w:r/>
            <w:r>
              <w:rPr>
                <w:b w:val="0"/>
                <w:sz w:val="16"/>
              </w:rPr>
              <w:t>RF02</w:t>
            </w:r>
          </w:p>
        </w:tc>
        <w:tc>
          <w:tcPr>
            <w:tcW w:type="dxa" w:w="3456"/>
            <w:vAlign w:val="top"/>
          </w:tcPr>
          <w:p>
            <w:pPr>
              <w:spacing w:after="0"/>
            </w:pPr>
            <w:r/>
            <w:r>
              <w:rPr>
                <w:b w:val="0"/>
                <w:sz w:val="16"/>
              </w:rPr>
              <w:t>tests/cnarios.automated.spec.ts</w:t>
            </w:r>
          </w:p>
        </w:tc>
      </w:tr>
      <w:tr>
        <w:tc>
          <w:tcPr>
            <w:tcW w:type="dxa" w:w="1152"/>
            <w:vAlign w:val="top"/>
          </w:tcPr>
          <w:p>
            <w:pPr>
              <w:spacing w:after="0"/>
            </w:pPr>
            <w:r/>
            <w:r>
              <w:rPr>
                <w:b w:val="0"/>
                <w:sz w:val="16"/>
              </w:rPr>
              <w:t>TCA-04</w:t>
            </w:r>
          </w:p>
        </w:tc>
        <w:tc>
          <w:tcPr>
            <w:tcW w:type="dxa" w:w="3312"/>
            <w:vAlign w:val="top"/>
          </w:tcPr>
          <w:p>
            <w:pPr>
              <w:spacing w:after="0"/>
            </w:pPr>
            <w:r/>
            <w:r>
              <w:rPr>
                <w:b w:val="0"/>
                <w:sz w:val="16"/>
              </w:rPr>
              <w:t>Paginación</w:t>
            </w:r>
          </w:p>
        </w:tc>
        <w:tc>
          <w:tcPr>
            <w:tcW w:type="dxa" w:w="1440"/>
            <w:vAlign w:val="top"/>
          </w:tcPr>
          <w:p>
            <w:pPr>
              <w:spacing w:after="0"/>
            </w:pPr>
            <w:r/>
            <w:r>
              <w:rPr>
                <w:b w:val="0"/>
                <w:sz w:val="16"/>
              </w:rPr>
              <w:t>RF03</w:t>
            </w:r>
          </w:p>
        </w:tc>
        <w:tc>
          <w:tcPr>
            <w:tcW w:type="dxa" w:w="3456"/>
            <w:vAlign w:val="top"/>
          </w:tcPr>
          <w:p>
            <w:pPr>
              <w:spacing w:after="0"/>
            </w:pPr>
            <w:r/>
            <w:r>
              <w:rPr>
                <w:b w:val="0"/>
                <w:sz w:val="16"/>
              </w:rPr>
              <w:t>tests/cnarios.automated.spec.ts</w:t>
            </w:r>
          </w:p>
        </w:tc>
      </w:tr>
      <w:tr>
        <w:tc>
          <w:tcPr>
            <w:tcW w:type="dxa" w:w="1152"/>
            <w:vAlign w:val="top"/>
          </w:tcPr>
          <w:p>
            <w:pPr>
              <w:spacing w:after="0"/>
            </w:pPr>
            <w:r/>
            <w:r>
              <w:rPr>
                <w:b w:val="0"/>
                <w:sz w:val="16"/>
              </w:rPr>
              <w:t>TCA-05</w:t>
            </w:r>
          </w:p>
        </w:tc>
        <w:tc>
          <w:tcPr>
            <w:tcW w:type="dxa" w:w="3312"/>
            <w:vAlign w:val="top"/>
          </w:tcPr>
          <w:p>
            <w:pPr>
              <w:spacing w:after="0"/>
            </w:pPr>
            <w:r/>
            <w:r>
              <w:rPr>
                <w:b w:val="0"/>
                <w:sz w:val="16"/>
              </w:rPr>
              <w:t>Filtrado</w:t>
            </w:r>
          </w:p>
        </w:tc>
        <w:tc>
          <w:tcPr>
            <w:tcW w:type="dxa" w:w="1440"/>
            <w:vAlign w:val="top"/>
          </w:tcPr>
          <w:p>
            <w:pPr>
              <w:spacing w:after="0"/>
            </w:pPr>
            <w:r/>
            <w:r>
              <w:rPr>
                <w:b w:val="0"/>
                <w:sz w:val="16"/>
              </w:rPr>
              <w:t>RF03</w:t>
            </w:r>
          </w:p>
        </w:tc>
        <w:tc>
          <w:tcPr>
            <w:tcW w:type="dxa" w:w="3456"/>
            <w:vAlign w:val="top"/>
          </w:tcPr>
          <w:p>
            <w:pPr>
              <w:spacing w:after="0"/>
            </w:pPr>
            <w:r/>
            <w:r>
              <w:rPr>
                <w:b w:val="0"/>
                <w:sz w:val="16"/>
              </w:rPr>
              <w:t>tests/cnarios.automated.spec.ts</w:t>
            </w:r>
          </w:p>
        </w:tc>
      </w:tr>
      <w:tr>
        <w:tc>
          <w:tcPr>
            <w:tcW w:type="dxa" w:w="1152"/>
            <w:vAlign w:val="top"/>
          </w:tcPr>
          <w:p>
            <w:pPr>
              <w:spacing w:after="0"/>
            </w:pPr>
            <w:r/>
            <w:r>
              <w:rPr>
                <w:b w:val="0"/>
                <w:sz w:val="16"/>
              </w:rPr>
              <w:t>RNF01</w:t>
            </w:r>
          </w:p>
        </w:tc>
        <w:tc>
          <w:tcPr>
            <w:tcW w:type="dxa" w:w="3312"/>
            <w:vAlign w:val="top"/>
          </w:tcPr>
          <w:p>
            <w:pPr>
              <w:spacing w:after="0"/>
            </w:pPr>
            <w:r/>
            <w:r>
              <w:rPr>
                <w:b w:val="0"/>
                <w:sz w:val="16"/>
              </w:rPr>
              <w:t>Tiempos de carga</w:t>
            </w:r>
          </w:p>
        </w:tc>
        <w:tc>
          <w:tcPr>
            <w:tcW w:type="dxa" w:w="1440"/>
            <w:vAlign w:val="top"/>
          </w:tcPr>
          <w:p>
            <w:pPr>
              <w:spacing w:after="0"/>
            </w:pPr>
            <w:r/>
            <w:r>
              <w:rPr>
                <w:b w:val="0"/>
                <w:sz w:val="16"/>
              </w:rPr>
              <w:t>RNF01</w:t>
            </w:r>
          </w:p>
        </w:tc>
        <w:tc>
          <w:tcPr>
            <w:tcW w:type="dxa" w:w="3456"/>
            <w:vAlign w:val="top"/>
          </w:tcPr>
          <w:p>
            <w:pPr>
              <w:spacing w:after="0"/>
            </w:pPr>
            <w:r/>
            <w:r>
              <w:rPr>
                <w:b w:val="0"/>
                <w:sz w:val="16"/>
              </w:rPr>
              <w:t>tests/cnarios.nonfunctional.spec.ts</w:t>
            </w:r>
          </w:p>
        </w:tc>
      </w:tr>
      <w:tr>
        <w:tc>
          <w:tcPr>
            <w:tcW w:type="dxa" w:w="1152"/>
            <w:vAlign w:val="top"/>
          </w:tcPr>
          <w:p>
            <w:pPr>
              <w:spacing w:after="0"/>
            </w:pPr>
            <w:r/>
            <w:r>
              <w:rPr>
                <w:b w:val="0"/>
                <w:sz w:val="16"/>
              </w:rPr>
              <w:t>RNF03</w:t>
            </w:r>
          </w:p>
        </w:tc>
        <w:tc>
          <w:tcPr>
            <w:tcW w:type="dxa" w:w="3312"/>
            <w:vAlign w:val="top"/>
          </w:tcPr>
          <w:p>
            <w:pPr>
              <w:spacing w:after="0"/>
            </w:pPr>
            <w:r/>
            <w:r>
              <w:rPr>
                <w:b w:val="0"/>
                <w:sz w:val="16"/>
              </w:rPr>
              <w:t>Consola y HTTP 5xx</w:t>
            </w:r>
          </w:p>
        </w:tc>
        <w:tc>
          <w:tcPr>
            <w:tcW w:type="dxa" w:w="1440"/>
            <w:vAlign w:val="top"/>
          </w:tcPr>
          <w:p>
            <w:pPr>
              <w:spacing w:after="0"/>
            </w:pPr>
            <w:r/>
            <w:r>
              <w:rPr>
                <w:b w:val="0"/>
                <w:sz w:val="16"/>
              </w:rPr>
              <w:t>RNF03</w:t>
            </w:r>
          </w:p>
        </w:tc>
        <w:tc>
          <w:tcPr>
            <w:tcW w:type="dxa" w:w="3456"/>
            <w:vAlign w:val="top"/>
          </w:tcPr>
          <w:p>
            <w:pPr>
              <w:spacing w:after="0"/>
            </w:pPr>
            <w:r/>
            <w:r>
              <w:rPr>
                <w:b w:val="0"/>
                <w:sz w:val="16"/>
              </w:rPr>
              <w:t>tests/cnarios.nonfunctional.spec.ts</w:t>
            </w:r>
          </w:p>
        </w:tc>
      </w:tr>
    </w:tbl>
    <w:p/>
    <w:p>
      <w:pPr>
        <w:pStyle w:val="Heading2"/>
      </w:pPr>
      <w:r>
        <w:rPr>
          <w:color w:val="0B4F6C"/>
        </w:rPr>
        <w:t>5.3 Matriz de trazabilidad</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00"/>
        <w:gridCol w:w="3400"/>
        <w:gridCol w:w="3400"/>
      </w:tblGrid>
      <w:tr>
        <w:trPr>
          <w:tblHeader w:val="true"/>
        </w:trPr>
        <w:tc>
          <w:tcPr>
            <w:tcW w:type="dxa" w:w="1152"/>
            <w:vAlign w:val="top"/>
            <w:shd w:fill="EAF3F8"/>
          </w:tcPr>
          <w:p>
            <w:pPr>
              <w:spacing w:after="0"/>
            </w:pPr>
            <w:r/>
            <w:r>
              <w:rPr>
                <w:b/>
                <w:color w:val="123C69"/>
                <w:sz w:val="16"/>
              </w:rPr>
              <w:t>Req.</w:t>
            </w:r>
          </w:p>
        </w:tc>
        <w:tc>
          <w:tcPr>
            <w:tcW w:type="dxa" w:w="4320"/>
            <w:vAlign w:val="top"/>
            <w:shd w:fill="EAF3F8"/>
          </w:tcPr>
          <w:p>
            <w:pPr>
              <w:spacing w:after="0"/>
            </w:pPr>
            <w:r/>
            <w:r>
              <w:rPr>
                <w:b/>
                <w:color w:val="123C69"/>
                <w:sz w:val="16"/>
              </w:rPr>
              <w:t>Descripción</w:t>
            </w:r>
          </w:p>
        </w:tc>
        <w:tc>
          <w:tcPr>
            <w:tcW w:type="dxa" w:w="3744"/>
            <w:vAlign w:val="top"/>
            <w:shd w:fill="EAF3F8"/>
          </w:tcPr>
          <w:p>
            <w:pPr>
              <w:spacing w:after="0"/>
            </w:pPr>
            <w:r/>
            <w:r>
              <w:rPr>
                <w:b/>
                <w:color w:val="123C69"/>
                <w:sz w:val="16"/>
              </w:rPr>
              <w:t>Casos/Evidencias</w:t>
            </w:r>
          </w:p>
        </w:tc>
      </w:tr>
      <w:tr>
        <w:tc>
          <w:tcPr>
            <w:tcW w:type="dxa" w:w="1152"/>
            <w:vAlign w:val="top"/>
          </w:tcPr>
          <w:p>
            <w:pPr>
              <w:spacing w:after="0"/>
            </w:pPr>
            <w:r/>
            <w:r>
              <w:rPr>
                <w:b w:val="0"/>
                <w:sz w:val="16"/>
              </w:rPr>
              <w:t>RF01</w:t>
            </w:r>
          </w:p>
        </w:tc>
        <w:tc>
          <w:tcPr>
            <w:tcW w:type="dxa" w:w="4320"/>
            <w:vAlign w:val="top"/>
          </w:tcPr>
          <w:p>
            <w:pPr>
              <w:spacing w:after="0"/>
            </w:pPr>
            <w:r/>
            <w:r>
              <w:rPr>
                <w:b w:val="0"/>
                <w:sz w:val="16"/>
              </w:rPr>
              <w:t>Navegar entre conceptos</w:t>
            </w:r>
          </w:p>
        </w:tc>
        <w:tc>
          <w:tcPr>
            <w:tcW w:type="dxa" w:w="3744"/>
            <w:vAlign w:val="top"/>
          </w:tcPr>
          <w:p>
            <w:pPr>
              <w:spacing w:after="0"/>
            </w:pPr>
            <w:r/>
            <w:r>
              <w:rPr>
                <w:b w:val="0"/>
                <w:sz w:val="16"/>
              </w:rPr>
              <w:t>TCM-01, TCA-01</w:t>
            </w:r>
          </w:p>
        </w:tc>
      </w:tr>
      <w:tr>
        <w:tc>
          <w:tcPr>
            <w:tcW w:type="dxa" w:w="1152"/>
            <w:vAlign w:val="top"/>
          </w:tcPr>
          <w:p>
            <w:pPr>
              <w:spacing w:after="0"/>
            </w:pPr>
            <w:r/>
            <w:r>
              <w:rPr>
                <w:b w:val="0"/>
                <w:sz w:val="16"/>
              </w:rPr>
              <w:t>RF02</w:t>
            </w:r>
          </w:p>
        </w:tc>
        <w:tc>
          <w:tcPr>
            <w:tcW w:type="dxa" w:w="4320"/>
            <w:vAlign w:val="top"/>
          </w:tcPr>
          <w:p>
            <w:pPr>
              <w:spacing w:after="0"/>
            </w:pPr>
            <w:r/>
            <w:r>
              <w:rPr>
                <w:b w:val="0"/>
                <w:sz w:val="16"/>
              </w:rPr>
              <w:t>Interactuar con iframe, enlaces, ventanas y tablas</w:t>
            </w:r>
          </w:p>
        </w:tc>
        <w:tc>
          <w:tcPr>
            <w:tcW w:type="dxa" w:w="3744"/>
            <w:vAlign w:val="top"/>
          </w:tcPr>
          <w:p>
            <w:pPr>
              <w:spacing w:after="0"/>
            </w:pPr>
            <w:r/>
            <w:r>
              <w:rPr>
                <w:b w:val="0"/>
                <w:sz w:val="16"/>
              </w:rPr>
              <w:t>TCM-02 a TCM-05, TCA-02, TCA-03</w:t>
            </w:r>
          </w:p>
        </w:tc>
      </w:tr>
      <w:tr>
        <w:tc>
          <w:tcPr>
            <w:tcW w:type="dxa" w:w="1152"/>
            <w:vAlign w:val="top"/>
          </w:tcPr>
          <w:p>
            <w:pPr>
              <w:spacing w:after="0"/>
            </w:pPr>
            <w:r/>
            <w:r>
              <w:rPr>
                <w:b w:val="0"/>
                <w:sz w:val="16"/>
              </w:rPr>
              <w:t>RF03</w:t>
            </w:r>
          </w:p>
        </w:tc>
        <w:tc>
          <w:tcPr>
            <w:tcW w:type="dxa" w:w="4320"/>
            <w:vAlign w:val="top"/>
          </w:tcPr>
          <w:p>
            <w:pPr>
              <w:spacing w:after="0"/>
            </w:pPr>
            <w:r/>
            <w:r>
              <w:rPr>
                <w:b w:val="0"/>
                <w:sz w:val="16"/>
              </w:rPr>
              <w:t>Usar desafíos de paginación y filtros</w:t>
            </w:r>
          </w:p>
        </w:tc>
        <w:tc>
          <w:tcPr>
            <w:tcW w:type="dxa" w:w="3744"/>
            <w:vAlign w:val="top"/>
          </w:tcPr>
          <w:p>
            <w:pPr>
              <w:spacing w:after="0"/>
            </w:pPr>
            <w:r/>
            <w:r>
              <w:rPr>
                <w:b w:val="0"/>
                <w:sz w:val="16"/>
              </w:rPr>
              <w:t>TCM-07, TCM-08, TCA-04, TCA-05</w:t>
            </w:r>
          </w:p>
        </w:tc>
      </w:tr>
      <w:tr>
        <w:tc>
          <w:tcPr>
            <w:tcW w:type="dxa" w:w="1152"/>
            <w:vAlign w:val="top"/>
          </w:tcPr>
          <w:p>
            <w:pPr>
              <w:spacing w:after="0"/>
            </w:pPr>
            <w:r/>
            <w:r>
              <w:rPr>
                <w:b w:val="0"/>
                <w:sz w:val="16"/>
              </w:rPr>
              <w:t>RF04</w:t>
            </w:r>
          </w:p>
        </w:tc>
        <w:tc>
          <w:tcPr>
            <w:tcW w:type="dxa" w:w="4320"/>
            <w:vAlign w:val="top"/>
          </w:tcPr>
          <w:p>
            <w:pPr>
              <w:spacing w:after="0"/>
            </w:pPr>
            <w:r/>
            <w:r>
              <w:rPr>
                <w:b w:val="0"/>
                <w:sz w:val="16"/>
              </w:rPr>
              <w:t>Consultar blogs</w:t>
            </w:r>
          </w:p>
        </w:tc>
        <w:tc>
          <w:tcPr>
            <w:tcW w:type="dxa" w:w="3744"/>
            <w:vAlign w:val="top"/>
          </w:tcPr>
          <w:p>
            <w:pPr>
              <w:spacing w:after="0"/>
            </w:pPr>
            <w:r/>
            <w:r>
              <w:rPr>
                <w:b w:val="0"/>
                <w:sz w:val="16"/>
              </w:rPr>
              <w:t>TCM-06</w:t>
            </w:r>
          </w:p>
        </w:tc>
      </w:tr>
      <w:tr>
        <w:tc>
          <w:tcPr>
            <w:tcW w:type="dxa" w:w="1152"/>
            <w:vAlign w:val="top"/>
          </w:tcPr>
          <w:p>
            <w:pPr>
              <w:spacing w:after="0"/>
            </w:pPr>
            <w:r/>
            <w:r>
              <w:rPr>
                <w:b w:val="0"/>
                <w:sz w:val="16"/>
              </w:rPr>
              <w:t>RF05</w:t>
            </w:r>
          </w:p>
        </w:tc>
        <w:tc>
          <w:tcPr>
            <w:tcW w:type="dxa" w:w="4320"/>
            <w:vAlign w:val="top"/>
          </w:tcPr>
          <w:p>
            <w:pPr>
              <w:spacing w:after="0"/>
            </w:pPr>
            <w:r/>
            <w:r>
              <w:rPr>
                <w:b w:val="0"/>
                <w:sz w:val="16"/>
              </w:rPr>
              <w:t>Navegación principal</w:t>
            </w:r>
          </w:p>
        </w:tc>
        <w:tc>
          <w:tcPr>
            <w:tcW w:type="dxa" w:w="3744"/>
            <w:vAlign w:val="top"/>
          </w:tcPr>
          <w:p>
            <w:pPr>
              <w:spacing w:after="0"/>
            </w:pPr>
            <w:r/>
            <w:r>
              <w:rPr>
                <w:b w:val="0"/>
                <w:sz w:val="16"/>
              </w:rPr>
              <w:t>TCM-01, RNF03</w:t>
            </w:r>
          </w:p>
        </w:tc>
      </w:tr>
      <w:tr>
        <w:tc>
          <w:tcPr>
            <w:tcW w:type="dxa" w:w="1152"/>
            <w:vAlign w:val="top"/>
          </w:tcPr>
          <w:p>
            <w:pPr>
              <w:spacing w:after="0"/>
            </w:pPr>
            <w:r/>
            <w:r>
              <w:rPr>
                <w:b w:val="0"/>
                <w:sz w:val="16"/>
              </w:rPr>
              <w:t>RNF01</w:t>
            </w:r>
          </w:p>
        </w:tc>
        <w:tc>
          <w:tcPr>
            <w:tcW w:type="dxa" w:w="4320"/>
            <w:vAlign w:val="top"/>
          </w:tcPr>
          <w:p>
            <w:pPr>
              <w:spacing w:after="0"/>
            </w:pPr>
            <w:r/>
            <w:r>
              <w:rPr>
                <w:b w:val="0"/>
                <w:sz w:val="16"/>
              </w:rPr>
              <w:t>Rendimiento</w:t>
            </w:r>
          </w:p>
        </w:tc>
        <w:tc>
          <w:tcPr>
            <w:tcW w:type="dxa" w:w="3744"/>
            <w:vAlign w:val="top"/>
          </w:tcPr>
          <w:p>
            <w:pPr>
              <w:spacing w:after="0"/>
            </w:pPr>
            <w:r/>
            <w:r>
              <w:rPr>
                <w:b w:val="0"/>
                <w:sz w:val="16"/>
              </w:rPr>
              <w:t>TCM-09, k6, Playwright</w:t>
            </w:r>
          </w:p>
        </w:tc>
      </w:tr>
      <w:tr>
        <w:tc>
          <w:tcPr>
            <w:tcW w:type="dxa" w:w="1152"/>
            <w:vAlign w:val="top"/>
          </w:tcPr>
          <w:p>
            <w:pPr>
              <w:spacing w:after="0"/>
            </w:pPr>
            <w:r/>
            <w:r>
              <w:rPr>
                <w:b w:val="0"/>
                <w:sz w:val="16"/>
              </w:rPr>
              <w:t>RNF03</w:t>
            </w:r>
          </w:p>
        </w:tc>
        <w:tc>
          <w:tcPr>
            <w:tcW w:type="dxa" w:w="4320"/>
            <w:vAlign w:val="top"/>
          </w:tcPr>
          <w:p>
            <w:pPr>
              <w:spacing w:after="0"/>
            </w:pPr>
            <w:r/>
            <w:r>
              <w:rPr>
                <w:b w:val="0"/>
                <w:sz w:val="16"/>
              </w:rPr>
              <w:t>Fiabilidad</w:t>
            </w:r>
          </w:p>
        </w:tc>
        <w:tc>
          <w:tcPr>
            <w:tcW w:type="dxa" w:w="3744"/>
            <w:vAlign w:val="top"/>
          </w:tcPr>
          <w:p>
            <w:pPr>
              <w:spacing w:after="0"/>
            </w:pPr>
            <w:r/>
            <w:r>
              <w:rPr>
                <w:b w:val="0"/>
                <w:sz w:val="16"/>
              </w:rPr>
              <w:t>TCM-10, RNF03 automatizada</w:t>
            </w:r>
          </w:p>
        </w:tc>
      </w:tr>
      <w:tr>
        <w:tc>
          <w:tcPr>
            <w:tcW w:type="dxa" w:w="1152"/>
            <w:vAlign w:val="top"/>
          </w:tcPr>
          <w:p>
            <w:pPr>
              <w:spacing w:after="0"/>
            </w:pPr>
            <w:r/>
            <w:r>
              <w:rPr>
                <w:b w:val="0"/>
                <w:sz w:val="16"/>
              </w:rPr>
              <w:t>RNF04</w:t>
            </w:r>
          </w:p>
        </w:tc>
        <w:tc>
          <w:tcPr>
            <w:tcW w:type="dxa" w:w="4320"/>
            <w:vAlign w:val="top"/>
          </w:tcPr>
          <w:p>
            <w:pPr>
              <w:spacing w:after="0"/>
            </w:pPr>
            <w:r/>
            <w:r>
              <w:rPr>
                <w:b w:val="0"/>
                <w:sz w:val="16"/>
              </w:rPr>
              <w:t>Seguridad</w:t>
            </w:r>
          </w:p>
        </w:tc>
        <w:tc>
          <w:tcPr>
            <w:tcW w:type="dxa" w:w="3744"/>
            <w:vAlign w:val="top"/>
          </w:tcPr>
          <w:p>
            <w:pPr>
              <w:spacing w:after="0"/>
            </w:pPr>
            <w:r/>
            <w:r>
              <w:rPr>
                <w:b w:val="0"/>
                <w:sz w:val="16"/>
              </w:rPr>
              <w:t>OWASP ZAP, revisión pasiva, SonarQube</w:t>
            </w:r>
          </w:p>
        </w:tc>
      </w:tr>
    </w:tbl>
    <w:p/>
    <w:p>
      <w:pPr>
        <w:pStyle w:val="Heading1"/>
      </w:pPr>
      <w:r>
        <w:rPr>
          <w:color w:val="123C69"/>
        </w:rPr>
        <w:t>6. Ejecución y evidencias de pruebas</w:t>
      </w:r>
    </w:p>
    <w:p>
      <w:pPr>
        <w:spacing w:after="120" w:line="259" w:lineRule="auto"/>
        <w:jc w:val="both"/>
      </w:pPr>
      <w:r>
        <w:rPr>
          <w:color w:val="172033"/>
          <w:sz w:val="21"/>
        </w:rPr>
        <w:t>Se ejecutó la suite automatizada con Playwright mediante el comando npm run test:compat. La ejecución cubrió navegadores Chrome y Firefox, validando navegación, iframe, apertura de ventanas, paginación, filtros, tiempos de carga y errores HTTP/JavaScript. Como evidencia se adjuntan capturas del reporte HTML de Playwright, la consola de ejecución y los artefactos generados por la herramienta.</w:t>
      </w:r>
    </w:p>
    <w:p>
      <w:pPr>
        <w:spacing w:before="60" w:after="160"/>
        <w:ind w:left="288" w:right="288"/>
        <w:shd w:fill="F7F9FC"/>
      </w:pPr>
      <w:r>
        <w:rPr>
          <w:rFonts w:ascii="Consolas" w:hAnsi="Consolas" w:eastAsia="Consolas"/>
          <w:sz w:val="17"/>
        </w:rPr>
        <w:t>npm run test:compat</w:t>
      </w:r>
    </w:p>
    <w:p>
      <w:pPr>
        <w:jc w:val="center"/>
      </w:pPr>
      <w:r>
        <w:drawing>
          <wp:inline xmlns:a="http://schemas.openxmlformats.org/drawingml/2006/main" xmlns:pic="http://schemas.openxmlformats.org/drawingml/2006/picture">
            <wp:extent cx="5394960" cy="3847402"/>
            <wp:docPr id="2" name="Picture 2"/>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5394960" cy="3847402"/>
                    </a:xfrm>
                    <a:prstGeom prst="rect"/>
                  </pic:spPr>
                </pic:pic>
              </a:graphicData>
            </a:graphic>
          </wp:inline>
        </w:drawing>
      </w:r>
    </w:p>
    <w:p>
      <w:pPr>
        <w:spacing w:after="160"/>
        <w:jc w:val="center"/>
      </w:pPr>
      <w:r>
        <w:rPr>
          <w:i/>
          <w:color w:val="64748B"/>
          <w:sz w:val="17"/>
        </w:rPr>
        <w:t>Evidencia EV-AUTO-01: ejecución de pruebas Playwright desde consola.</w:t>
      </w:r>
    </w:p>
    <w:p>
      <w:pPr>
        <w:jc w:val="center"/>
      </w:pPr>
      <w:r>
        <w:drawing>
          <wp:inline xmlns:a="http://schemas.openxmlformats.org/drawingml/2006/main" xmlns:pic="http://schemas.openxmlformats.org/drawingml/2006/picture">
            <wp:extent cx="5394960" cy="2707330"/>
            <wp:docPr id="3" name="Picture 3"/>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5394960" cy="2707330"/>
                    </a:xfrm>
                    <a:prstGeom prst="rect"/>
                  </pic:spPr>
                </pic:pic>
              </a:graphicData>
            </a:graphic>
          </wp:inline>
        </w:drawing>
      </w:r>
    </w:p>
    <w:p>
      <w:pPr>
        <w:spacing w:after="160"/>
        <w:jc w:val="center"/>
      </w:pPr>
      <w:r>
        <w:rPr>
          <w:i/>
          <w:color w:val="64748B"/>
          <w:sz w:val="17"/>
        </w:rPr>
        <w:t>Evidencia EV-AUTO-02: reporte de ejecución automatizada en Playwright.</w:t>
      </w:r>
    </w:p>
    <w:p>
      <w:pPr>
        <w:jc w:val="center"/>
      </w:pPr>
      <w:r>
        <w:drawing>
          <wp:inline xmlns:a="http://schemas.openxmlformats.org/drawingml/2006/main" xmlns:pic="http://schemas.openxmlformats.org/drawingml/2006/picture">
            <wp:extent cx="4206240" cy="4347096"/>
            <wp:docPr id="4" name="Picture 4"/>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4206240" cy="4347096"/>
                    </a:xfrm>
                    <a:prstGeom prst="rect"/>
                  </pic:spPr>
                </pic:pic>
              </a:graphicData>
            </a:graphic>
          </wp:inline>
        </w:drawing>
      </w:r>
    </w:p>
    <w:p>
      <w:pPr>
        <w:spacing w:after="160"/>
        <w:jc w:val="center"/>
      </w:pPr>
      <w:r>
        <w:rPr>
          <w:i/>
          <w:color w:val="64748B"/>
          <w:sz w:val="17"/>
        </w:rPr>
        <w:t>Evidencia EV-AUTO-03: detalle de artefactos y trazas de Playwright.</w:t>
      </w:r>
    </w:p>
    <w:p>
      <w:pPr>
        <w:pStyle w:val="Heading2"/>
      </w:pPr>
      <w:r>
        <w:rPr>
          <w:color w:val="0B4F6C"/>
        </w:rPr>
        <w:t>6.1 Evidencias de casos manuales</w:t>
      </w:r>
    </w:p>
    <w:p>
      <w:pPr>
        <w:pStyle w:val="Heading3"/>
      </w:pPr>
      <w:r>
        <w:rPr>
          <w:color w:val="0B4F6C"/>
        </w:rPr>
        <w:t>TCM-01: Navegación a conceptos</w:t>
      </w:r>
    </w:p>
    <w:p>
      <w:pPr>
        <w:spacing w:after="120" w:line="259" w:lineRule="auto"/>
        <w:jc w:val="both"/>
      </w:pPr>
      <w:r>
        <w:rPr>
          <w:color w:val="172033"/>
          <w:sz w:val="21"/>
        </w:rPr>
        <w:t>Se validó el acceso a la página principal y a la sección de conceptos.</w:t>
      </w:r>
    </w:p>
    <w:p>
      <w:pPr>
        <w:jc w:val="center"/>
      </w:pPr>
      <w:r>
        <w:drawing>
          <wp:inline xmlns:a="http://schemas.openxmlformats.org/drawingml/2006/main" xmlns:pic="http://schemas.openxmlformats.org/drawingml/2006/picture">
            <wp:extent cx="5212080" cy="2458911"/>
            <wp:docPr id="5" name="Picture 5"/>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5212080" cy="2458911"/>
                    </a:xfrm>
                    <a:prstGeom prst="rect"/>
                  </pic:spPr>
                </pic:pic>
              </a:graphicData>
            </a:graphic>
          </wp:inline>
        </w:drawing>
      </w:r>
    </w:p>
    <w:p>
      <w:pPr>
        <w:spacing w:after="160"/>
        <w:jc w:val="center"/>
      </w:pPr>
      <w:r>
        <w:rPr>
          <w:i/>
          <w:color w:val="64748B"/>
          <w:sz w:val="17"/>
        </w:rPr>
        <w:t>EV-MAN-01: página principal de Cnarios.</w:t>
      </w:r>
    </w:p>
    <w:p>
      <w:pPr>
        <w:jc w:val="center"/>
      </w:pPr>
      <w:r>
        <w:drawing>
          <wp:inline xmlns:a="http://schemas.openxmlformats.org/drawingml/2006/main" xmlns:pic="http://schemas.openxmlformats.org/drawingml/2006/picture">
            <wp:extent cx="5212080" cy="2509621"/>
            <wp:docPr id="6" name="Picture 6"/>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5212080" cy="2509621"/>
                    </a:xfrm>
                    <a:prstGeom prst="rect"/>
                  </pic:spPr>
                </pic:pic>
              </a:graphicData>
            </a:graphic>
          </wp:inline>
        </w:drawing>
      </w:r>
    </w:p>
    <w:p>
      <w:pPr>
        <w:spacing w:after="160"/>
        <w:jc w:val="center"/>
      </w:pPr>
      <w:r>
        <w:rPr>
          <w:i/>
          <w:color w:val="64748B"/>
          <w:sz w:val="17"/>
        </w:rPr>
        <w:t>EV-MAN-02: listado de conceptos disponible.</w:t>
      </w:r>
    </w:p>
    <w:p>
      <w:pPr>
        <w:jc w:val="center"/>
      </w:pPr>
      <w:r>
        <w:drawing>
          <wp:inline xmlns:a="http://schemas.openxmlformats.org/drawingml/2006/main" xmlns:pic="http://schemas.openxmlformats.org/drawingml/2006/picture">
            <wp:extent cx="5212080" cy="2337020"/>
            <wp:docPr id="7" name="Picture 7"/>
            <wp:cNvGraphicFramePr>
              <a:graphicFrameLocks noChangeAspect="1"/>
            </wp:cNvGraphicFramePr>
            <a:graphic>
              <a:graphicData uri="http://schemas.openxmlformats.org/drawingml/2006/picture">
                <pic:pic>
                  <pic:nvPicPr>
                    <pic:cNvPr id="0" name="image6.png"/>
                    <pic:cNvPicPr/>
                  </pic:nvPicPr>
                  <pic:blipFill>
                    <a:blip r:embed="rId17"/>
                    <a:stretch>
                      <a:fillRect/>
                    </a:stretch>
                  </pic:blipFill>
                  <pic:spPr>
                    <a:xfrm>
                      <a:off x="0" y="0"/>
                      <a:ext cx="5212080" cy="2337020"/>
                    </a:xfrm>
                    <a:prstGeom prst="rect"/>
                  </pic:spPr>
                </pic:pic>
              </a:graphicData>
            </a:graphic>
          </wp:inline>
        </w:drawing>
      </w:r>
    </w:p>
    <w:p>
      <w:pPr>
        <w:spacing w:after="160"/>
        <w:jc w:val="center"/>
      </w:pPr>
      <w:r>
        <w:rPr>
          <w:i/>
          <w:color w:val="64748B"/>
          <w:sz w:val="17"/>
        </w:rPr>
        <w:t>EV-MAN-03: concepto Form visible desde el portal.</w:t>
      </w:r>
    </w:p>
    <w:p>
      <w:pPr>
        <w:jc w:val="center"/>
      </w:pPr>
      <w:r>
        <w:drawing>
          <wp:inline xmlns:a="http://schemas.openxmlformats.org/drawingml/2006/main" xmlns:pic="http://schemas.openxmlformats.org/drawingml/2006/picture">
            <wp:extent cx="5212080" cy="3451419"/>
            <wp:docPr id="8" name="Picture 8"/>
            <wp:cNvGraphicFramePr>
              <a:graphicFrameLocks noChangeAspect="1"/>
            </wp:cNvGraphicFramePr>
            <a:graphic>
              <a:graphicData uri="http://schemas.openxmlformats.org/drawingml/2006/picture">
                <pic:pic>
                  <pic:nvPicPr>
                    <pic:cNvPr id="0" name="image7.png"/>
                    <pic:cNvPicPr/>
                  </pic:nvPicPr>
                  <pic:blipFill>
                    <a:blip r:embed="rId18"/>
                    <a:stretch>
                      <a:fillRect/>
                    </a:stretch>
                  </pic:blipFill>
                  <pic:spPr>
                    <a:xfrm>
                      <a:off x="0" y="0"/>
                      <a:ext cx="5212080" cy="3451419"/>
                    </a:xfrm>
                    <a:prstGeom prst="rect"/>
                  </pic:spPr>
                </pic:pic>
              </a:graphicData>
            </a:graphic>
          </wp:inline>
        </w:drawing>
      </w:r>
    </w:p>
    <w:p>
      <w:pPr>
        <w:spacing w:after="160"/>
        <w:jc w:val="center"/>
      </w:pPr>
      <w:r>
        <w:rPr>
          <w:i/>
          <w:color w:val="64748B"/>
          <w:sz w:val="17"/>
        </w:rPr>
        <w:t>EV-MAN-04: concepto Iframe cargado correctamente.</w:t>
      </w:r>
    </w:p>
    <w:p>
      <w:pPr>
        <w:pStyle w:val="Heading3"/>
      </w:pPr>
      <w:r>
        <w:rPr>
          <w:color w:val="0B4F6C"/>
        </w:rPr>
        <w:t>TCM-02: Interacción con iframe</w:t>
      </w:r>
    </w:p>
    <w:p>
      <w:pPr>
        <w:spacing w:after="120" w:line="259" w:lineRule="auto"/>
        <w:jc w:val="both"/>
      </w:pPr>
      <w:r>
        <w:rPr>
          <w:color w:val="172033"/>
          <w:sz w:val="21"/>
        </w:rPr>
        <w:t>Se diligenció el formulario embebido dentro del iframe con datos de prueba.</w:t>
      </w:r>
    </w:p>
    <w:p>
      <w:pPr>
        <w:jc w:val="center"/>
      </w:pPr>
      <w:r>
        <w:drawing>
          <wp:inline xmlns:a="http://schemas.openxmlformats.org/drawingml/2006/main" xmlns:pic="http://schemas.openxmlformats.org/drawingml/2006/picture">
            <wp:extent cx="5212080" cy="4292610"/>
            <wp:docPr id="9" name="Picture 9"/>
            <wp:cNvGraphicFramePr>
              <a:graphicFrameLocks noChangeAspect="1"/>
            </wp:cNvGraphicFramePr>
            <a:graphic>
              <a:graphicData uri="http://schemas.openxmlformats.org/drawingml/2006/picture">
                <pic:pic>
                  <pic:nvPicPr>
                    <pic:cNvPr id="0" name="image8.png"/>
                    <pic:cNvPicPr/>
                  </pic:nvPicPr>
                  <pic:blipFill>
                    <a:blip r:embed="rId19"/>
                    <a:stretch>
                      <a:fillRect/>
                    </a:stretch>
                  </pic:blipFill>
                  <pic:spPr>
                    <a:xfrm>
                      <a:off x="0" y="0"/>
                      <a:ext cx="5212080" cy="4292610"/>
                    </a:xfrm>
                    <a:prstGeom prst="rect"/>
                  </pic:spPr>
                </pic:pic>
              </a:graphicData>
            </a:graphic>
          </wp:inline>
        </w:drawing>
      </w:r>
    </w:p>
    <w:p>
      <w:pPr>
        <w:spacing w:after="160"/>
        <w:jc w:val="center"/>
      </w:pPr>
      <w:r>
        <w:rPr>
          <w:i/>
          <w:color w:val="64748B"/>
          <w:sz w:val="17"/>
        </w:rPr>
        <w:t>EV-MAN-05: formulario de pago dentro del iframe.</w:t>
      </w:r>
    </w:p>
    <w:p>
      <w:pPr>
        <w:jc w:val="center"/>
      </w:pPr>
      <w:r>
        <w:drawing>
          <wp:inline xmlns:a="http://schemas.openxmlformats.org/drawingml/2006/main" xmlns:pic="http://schemas.openxmlformats.org/drawingml/2006/picture">
            <wp:extent cx="5212080" cy="3603192"/>
            <wp:docPr id="10" name="Picture 10"/>
            <wp:cNvGraphicFramePr>
              <a:graphicFrameLocks noChangeAspect="1"/>
            </wp:cNvGraphicFramePr>
            <a:graphic>
              <a:graphicData uri="http://schemas.openxmlformats.org/drawingml/2006/picture">
                <pic:pic>
                  <pic:nvPicPr>
                    <pic:cNvPr id="0" name="image9.png"/>
                    <pic:cNvPicPr/>
                  </pic:nvPicPr>
                  <pic:blipFill>
                    <a:blip r:embed="rId20"/>
                    <a:stretch>
                      <a:fillRect/>
                    </a:stretch>
                  </pic:blipFill>
                  <pic:spPr>
                    <a:xfrm>
                      <a:off x="0" y="0"/>
                      <a:ext cx="5212080" cy="3603192"/>
                    </a:xfrm>
                    <a:prstGeom prst="rect"/>
                  </pic:spPr>
                </pic:pic>
              </a:graphicData>
            </a:graphic>
          </wp:inline>
        </w:drawing>
      </w:r>
    </w:p>
    <w:p>
      <w:pPr>
        <w:spacing w:after="160"/>
        <w:jc w:val="center"/>
      </w:pPr>
      <w:r>
        <w:rPr>
          <w:i/>
          <w:color w:val="64748B"/>
          <w:sz w:val="17"/>
        </w:rPr>
        <w:t>EV-MAN-06: formulario diligenciado con datos de prueba.</w:t>
      </w:r>
    </w:p>
    <w:p>
      <w:pPr>
        <w:pStyle w:val="Heading3"/>
      </w:pPr>
      <w:r>
        <w:rPr>
          <w:color w:val="0B4F6C"/>
        </w:rPr>
        <w:t>TCM-03: Apertura de nueva ventana</w:t>
      </w:r>
    </w:p>
    <w:p>
      <w:pPr>
        <w:spacing w:after="120" w:line="259" w:lineRule="auto"/>
        <w:jc w:val="both"/>
      </w:pPr>
      <w:r>
        <w:rPr>
          <w:color w:val="172033"/>
          <w:sz w:val="21"/>
        </w:rPr>
        <w:t>Se verificó la apertura de una nueva pestaña o ventana desde el concepto Multi Window.</w:t>
      </w:r>
    </w:p>
    <w:p>
      <w:pPr>
        <w:jc w:val="center"/>
      </w:pPr>
      <w:r>
        <w:drawing>
          <wp:inline xmlns:a="http://schemas.openxmlformats.org/drawingml/2006/main" xmlns:pic="http://schemas.openxmlformats.org/drawingml/2006/picture">
            <wp:extent cx="5212080" cy="3633685"/>
            <wp:docPr id="11" name="Picture 11"/>
            <wp:cNvGraphicFramePr>
              <a:graphicFrameLocks noChangeAspect="1"/>
            </wp:cNvGraphicFramePr>
            <a:graphic>
              <a:graphicData uri="http://schemas.openxmlformats.org/drawingml/2006/picture">
                <pic:pic>
                  <pic:nvPicPr>
                    <pic:cNvPr id="0" name="image10.png"/>
                    <pic:cNvPicPr/>
                  </pic:nvPicPr>
                  <pic:blipFill>
                    <a:blip r:embed="rId21"/>
                    <a:stretch>
                      <a:fillRect/>
                    </a:stretch>
                  </pic:blipFill>
                  <pic:spPr>
                    <a:xfrm>
                      <a:off x="0" y="0"/>
                      <a:ext cx="5212080" cy="3633685"/>
                    </a:xfrm>
                    <a:prstGeom prst="rect"/>
                  </pic:spPr>
                </pic:pic>
              </a:graphicData>
            </a:graphic>
          </wp:inline>
        </w:drawing>
      </w:r>
    </w:p>
    <w:p>
      <w:pPr>
        <w:spacing w:after="160"/>
        <w:jc w:val="center"/>
      </w:pPr>
      <w:r>
        <w:rPr>
          <w:i/>
          <w:color w:val="64748B"/>
          <w:sz w:val="17"/>
        </w:rPr>
        <w:t>EV-MAN-07: sección Multi Window y enlaces disponibles.</w:t>
      </w:r>
    </w:p>
    <w:p>
      <w:pPr>
        <w:jc w:val="center"/>
      </w:pPr>
      <w:r>
        <w:drawing>
          <wp:inline xmlns:a="http://schemas.openxmlformats.org/drawingml/2006/main" xmlns:pic="http://schemas.openxmlformats.org/drawingml/2006/picture">
            <wp:extent cx="5212080" cy="2246586"/>
            <wp:docPr id="12" name="Picture 12"/>
            <wp:cNvGraphicFramePr>
              <a:graphicFrameLocks noChangeAspect="1"/>
            </wp:cNvGraphicFramePr>
            <a:graphic>
              <a:graphicData uri="http://schemas.openxmlformats.org/drawingml/2006/picture">
                <pic:pic>
                  <pic:nvPicPr>
                    <pic:cNvPr id="0" name="image11.png"/>
                    <pic:cNvPicPr/>
                  </pic:nvPicPr>
                  <pic:blipFill>
                    <a:blip r:embed="rId22"/>
                    <a:stretch>
                      <a:fillRect/>
                    </a:stretch>
                  </pic:blipFill>
                  <pic:spPr>
                    <a:xfrm>
                      <a:off x="0" y="0"/>
                      <a:ext cx="5212080" cy="2246586"/>
                    </a:xfrm>
                    <a:prstGeom prst="rect"/>
                  </pic:spPr>
                </pic:pic>
              </a:graphicData>
            </a:graphic>
          </wp:inline>
        </w:drawing>
      </w:r>
    </w:p>
    <w:p>
      <w:pPr>
        <w:spacing w:after="160"/>
        <w:jc w:val="center"/>
      </w:pPr>
      <w:r>
        <w:rPr>
          <w:i/>
          <w:color w:val="64748B"/>
          <w:sz w:val="17"/>
        </w:rPr>
        <w:t>EV-MAN-08: nueva ventana/pestaña cargada correctamente.</w:t>
      </w:r>
    </w:p>
    <w:p>
      <w:pPr>
        <w:pStyle w:val="Heading3"/>
      </w:pPr>
      <w:r>
        <w:rPr>
          <w:color w:val="0B4F6C"/>
        </w:rPr>
        <w:t>TCM-04: Verificación de enlaces</w:t>
      </w:r>
    </w:p>
    <w:p>
      <w:pPr>
        <w:spacing w:after="120" w:line="259" w:lineRule="auto"/>
        <w:jc w:val="both"/>
      </w:pPr>
      <w:r>
        <w:rPr>
          <w:color w:val="172033"/>
          <w:sz w:val="21"/>
        </w:rPr>
        <w:t>Se revisaron enlaces funcionales y el escenario de broken link.</w:t>
      </w:r>
    </w:p>
    <w:p>
      <w:pPr>
        <w:jc w:val="center"/>
      </w:pPr>
      <w:r>
        <w:drawing>
          <wp:inline xmlns:a="http://schemas.openxmlformats.org/drawingml/2006/main" xmlns:pic="http://schemas.openxmlformats.org/drawingml/2006/picture">
            <wp:extent cx="5212080" cy="3366573"/>
            <wp:docPr id="13" name="Picture 13"/>
            <wp:cNvGraphicFramePr>
              <a:graphicFrameLocks noChangeAspect="1"/>
            </wp:cNvGraphicFramePr>
            <a:graphic>
              <a:graphicData uri="http://schemas.openxmlformats.org/drawingml/2006/picture">
                <pic:pic>
                  <pic:nvPicPr>
                    <pic:cNvPr id="0" name="image12.png"/>
                    <pic:cNvPicPr/>
                  </pic:nvPicPr>
                  <pic:blipFill>
                    <a:blip r:embed="rId23"/>
                    <a:stretch>
                      <a:fillRect/>
                    </a:stretch>
                  </pic:blipFill>
                  <pic:spPr>
                    <a:xfrm>
                      <a:off x="0" y="0"/>
                      <a:ext cx="5212080" cy="3366573"/>
                    </a:xfrm>
                    <a:prstGeom prst="rect"/>
                  </pic:spPr>
                </pic:pic>
              </a:graphicData>
            </a:graphic>
          </wp:inline>
        </w:drawing>
      </w:r>
    </w:p>
    <w:p>
      <w:pPr>
        <w:spacing w:after="160"/>
        <w:jc w:val="center"/>
      </w:pPr>
      <w:r>
        <w:rPr>
          <w:i/>
          <w:color w:val="64748B"/>
          <w:sz w:val="17"/>
        </w:rPr>
        <w:t>EV-MAN-09: escenario de enlaces.</w:t>
      </w:r>
    </w:p>
    <w:p>
      <w:pPr>
        <w:jc w:val="center"/>
      </w:pPr>
      <w:r>
        <w:drawing>
          <wp:inline xmlns:a="http://schemas.openxmlformats.org/drawingml/2006/main" xmlns:pic="http://schemas.openxmlformats.org/drawingml/2006/picture">
            <wp:extent cx="5212080" cy="2786657"/>
            <wp:docPr id="14" name="Picture 14"/>
            <wp:cNvGraphicFramePr>
              <a:graphicFrameLocks noChangeAspect="1"/>
            </wp:cNvGraphicFramePr>
            <a:graphic>
              <a:graphicData uri="http://schemas.openxmlformats.org/drawingml/2006/picture">
                <pic:pic>
                  <pic:nvPicPr>
                    <pic:cNvPr id="0" name="image13.png"/>
                    <pic:cNvPicPr/>
                  </pic:nvPicPr>
                  <pic:blipFill>
                    <a:blip r:embed="rId24"/>
                    <a:stretch>
                      <a:fillRect/>
                    </a:stretch>
                  </pic:blipFill>
                  <pic:spPr>
                    <a:xfrm>
                      <a:off x="0" y="0"/>
                      <a:ext cx="5212080" cy="2786657"/>
                    </a:xfrm>
                    <a:prstGeom prst="rect"/>
                  </pic:spPr>
                </pic:pic>
              </a:graphicData>
            </a:graphic>
          </wp:inline>
        </w:drawing>
      </w:r>
    </w:p>
    <w:p>
      <w:pPr>
        <w:spacing w:after="160"/>
        <w:jc w:val="center"/>
      </w:pPr>
      <w:r>
        <w:rPr>
          <w:i/>
          <w:color w:val="64748B"/>
          <w:sz w:val="17"/>
        </w:rPr>
        <w:t>EV-MAN-10: evidencia del enlace roto documentado.</w:t>
      </w:r>
    </w:p>
    <w:p>
      <w:pPr>
        <w:pStyle w:val="Heading3"/>
      </w:pPr>
      <w:r>
        <w:rPr>
          <w:color w:val="0B4F6C"/>
        </w:rPr>
        <w:t>TCM-05: Funcionalidad de tabla</w:t>
      </w:r>
    </w:p>
    <w:p>
      <w:pPr>
        <w:spacing w:after="120" w:line="259" w:lineRule="auto"/>
        <w:jc w:val="both"/>
      </w:pPr>
      <w:r>
        <w:rPr>
          <w:color w:val="172033"/>
          <w:sz w:val="21"/>
        </w:rPr>
        <w:t>Se validó tabla o componente interactivo disponible en el escenario.</w:t>
      </w:r>
    </w:p>
    <w:p>
      <w:pPr>
        <w:jc w:val="center"/>
      </w:pPr>
      <w:r>
        <w:drawing>
          <wp:inline xmlns:a="http://schemas.openxmlformats.org/drawingml/2006/main" xmlns:pic="http://schemas.openxmlformats.org/drawingml/2006/picture">
            <wp:extent cx="5212080" cy="5235142"/>
            <wp:docPr id="15" name="Picture 15"/>
            <wp:cNvGraphicFramePr>
              <a:graphicFrameLocks noChangeAspect="1"/>
            </wp:cNvGraphicFramePr>
            <a:graphic>
              <a:graphicData uri="http://schemas.openxmlformats.org/drawingml/2006/picture">
                <pic:pic>
                  <pic:nvPicPr>
                    <pic:cNvPr id="0" name="image14.png"/>
                    <pic:cNvPicPr/>
                  </pic:nvPicPr>
                  <pic:blipFill>
                    <a:blip r:embed="rId25"/>
                    <a:stretch>
                      <a:fillRect/>
                    </a:stretch>
                  </pic:blipFill>
                  <pic:spPr>
                    <a:xfrm>
                      <a:off x="0" y="0"/>
                      <a:ext cx="5212080" cy="5235142"/>
                    </a:xfrm>
                    <a:prstGeom prst="rect"/>
                  </pic:spPr>
                </pic:pic>
              </a:graphicData>
            </a:graphic>
          </wp:inline>
        </w:drawing>
      </w:r>
    </w:p>
    <w:p>
      <w:pPr>
        <w:spacing w:after="160"/>
        <w:jc w:val="center"/>
      </w:pPr>
      <w:r>
        <w:rPr>
          <w:i/>
          <w:color w:val="64748B"/>
          <w:sz w:val="17"/>
        </w:rPr>
        <w:t>EV-MAN-11: evidencia del componente interactivo validado.</w:t>
      </w:r>
    </w:p>
    <w:p>
      <w:pPr>
        <w:pStyle w:val="Heading3"/>
      </w:pPr>
      <w:r>
        <w:rPr>
          <w:color w:val="0B4F6C"/>
        </w:rPr>
        <w:t>TCM-06: Navegación del blog</w:t>
      </w:r>
    </w:p>
    <w:p>
      <w:pPr>
        <w:spacing w:after="120" w:line="259" w:lineRule="auto"/>
        <w:jc w:val="both"/>
      </w:pPr>
      <w:r>
        <w:rPr>
          <w:color w:val="172033"/>
          <w:sz w:val="21"/>
        </w:rPr>
        <w:t>Los artículos cargan correctamente y son accesibles desde la navegación principal.</w:t>
      </w:r>
    </w:p>
    <w:p>
      <w:pPr>
        <w:jc w:val="center"/>
      </w:pPr>
      <w:r>
        <w:drawing>
          <wp:inline xmlns:a="http://schemas.openxmlformats.org/drawingml/2006/main" xmlns:pic="http://schemas.openxmlformats.org/drawingml/2006/picture">
            <wp:extent cx="5212080" cy="5194648"/>
            <wp:docPr id="16" name="Picture 16"/>
            <wp:cNvGraphicFramePr>
              <a:graphicFrameLocks noChangeAspect="1"/>
            </wp:cNvGraphicFramePr>
            <a:graphic>
              <a:graphicData uri="http://schemas.openxmlformats.org/drawingml/2006/picture">
                <pic:pic>
                  <pic:nvPicPr>
                    <pic:cNvPr id="0" name="image15.png"/>
                    <pic:cNvPicPr/>
                  </pic:nvPicPr>
                  <pic:blipFill>
                    <a:blip r:embed="rId26"/>
                    <a:stretch>
                      <a:fillRect/>
                    </a:stretch>
                  </pic:blipFill>
                  <pic:spPr>
                    <a:xfrm>
                      <a:off x="0" y="0"/>
                      <a:ext cx="5212080" cy="5194648"/>
                    </a:xfrm>
                    <a:prstGeom prst="rect"/>
                  </pic:spPr>
                </pic:pic>
              </a:graphicData>
            </a:graphic>
          </wp:inline>
        </w:drawing>
      </w:r>
    </w:p>
    <w:p>
      <w:pPr>
        <w:spacing w:after="160"/>
        <w:jc w:val="center"/>
      </w:pPr>
      <w:r>
        <w:rPr>
          <w:i/>
          <w:color w:val="64748B"/>
          <w:sz w:val="17"/>
        </w:rPr>
        <w:t>EV-MAN-12: artículo del blog cargado correctamente.</w:t>
      </w:r>
    </w:p>
    <w:p>
      <w:pPr>
        <w:pStyle w:val="Heading3"/>
      </w:pPr>
      <w:r>
        <w:rPr>
          <w:color w:val="0B4F6C"/>
        </w:rPr>
        <w:t>TCM-07: Paginación</w:t>
      </w:r>
    </w:p>
    <w:p>
      <w:pPr>
        <w:spacing w:after="120" w:line="259" w:lineRule="auto"/>
        <w:jc w:val="both"/>
      </w:pPr>
      <w:r>
        <w:rPr>
          <w:color w:val="172033"/>
          <w:sz w:val="21"/>
        </w:rPr>
        <w:t>La lista de productos cambia al avanzar y vuelve al estado inicial al retroceder.</w:t>
      </w:r>
    </w:p>
    <w:p>
      <w:pPr>
        <w:jc w:val="center"/>
      </w:pPr>
      <w:r>
        <w:drawing>
          <wp:inline xmlns:a="http://schemas.openxmlformats.org/drawingml/2006/main" xmlns:pic="http://schemas.openxmlformats.org/drawingml/2006/picture">
            <wp:extent cx="5212080" cy="2792296"/>
            <wp:docPr id="17" name="Picture 17"/>
            <wp:cNvGraphicFramePr>
              <a:graphicFrameLocks noChangeAspect="1"/>
            </wp:cNvGraphicFramePr>
            <a:graphic>
              <a:graphicData uri="http://schemas.openxmlformats.org/drawingml/2006/picture">
                <pic:pic>
                  <pic:nvPicPr>
                    <pic:cNvPr id="0" name="image16.png"/>
                    <pic:cNvPicPr/>
                  </pic:nvPicPr>
                  <pic:blipFill>
                    <a:blip r:embed="rId27"/>
                    <a:stretch>
                      <a:fillRect/>
                    </a:stretch>
                  </pic:blipFill>
                  <pic:spPr>
                    <a:xfrm>
                      <a:off x="0" y="0"/>
                      <a:ext cx="5212080" cy="2792296"/>
                    </a:xfrm>
                    <a:prstGeom prst="rect"/>
                  </pic:spPr>
                </pic:pic>
              </a:graphicData>
            </a:graphic>
          </wp:inline>
        </w:drawing>
      </w:r>
    </w:p>
    <w:p>
      <w:pPr>
        <w:spacing w:after="160"/>
        <w:jc w:val="center"/>
      </w:pPr>
      <w:r>
        <w:rPr>
          <w:i/>
          <w:color w:val="64748B"/>
          <w:sz w:val="17"/>
        </w:rPr>
        <w:t>EV-MAN-13: desafío de paginación de productos.</w:t>
      </w:r>
    </w:p>
    <w:p>
      <w:pPr>
        <w:pStyle w:val="Heading3"/>
      </w:pPr>
      <w:r>
        <w:rPr>
          <w:color w:val="0B4F6C"/>
        </w:rPr>
        <w:t>TCM-08: Filtro por categoría</w:t>
      </w:r>
    </w:p>
    <w:p>
      <w:pPr>
        <w:spacing w:after="120" w:line="259" w:lineRule="auto"/>
        <w:jc w:val="both"/>
      </w:pPr>
      <w:r>
        <w:rPr>
          <w:color w:val="172033"/>
          <w:sz w:val="21"/>
        </w:rPr>
        <w:t>El filtro por categoría funciona y la opción de reinicio restaura la lista.</w:t>
      </w:r>
    </w:p>
    <w:p>
      <w:pPr>
        <w:jc w:val="center"/>
      </w:pPr>
      <w:r>
        <w:drawing>
          <wp:inline xmlns:a="http://schemas.openxmlformats.org/drawingml/2006/main" xmlns:pic="http://schemas.openxmlformats.org/drawingml/2006/picture">
            <wp:extent cx="5212080" cy="4487708"/>
            <wp:docPr id="18" name="Picture 18"/>
            <wp:cNvGraphicFramePr>
              <a:graphicFrameLocks noChangeAspect="1"/>
            </wp:cNvGraphicFramePr>
            <a:graphic>
              <a:graphicData uri="http://schemas.openxmlformats.org/drawingml/2006/picture">
                <pic:pic>
                  <pic:nvPicPr>
                    <pic:cNvPr id="0" name="image17.png"/>
                    <pic:cNvPicPr/>
                  </pic:nvPicPr>
                  <pic:blipFill>
                    <a:blip r:embed="rId28"/>
                    <a:stretch>
                      <a:fillRect/>
                    </a:stretch>
                  </pic:blipFill>
                  <pic:spPr>
                    <a:xfrm>
                      <a:off x="0" y="0"/>
                      <a:ext cx="5212080" cy="4487708"/>
                    </a:xfrm>
                    <a:prstGeom prst="rect"/>
                  </pic:spPr>
                </pic:pic>
              </a:graphicData>
            </a:graphic>
          </wp:inline>
        </w:drawing>
      </w:r>
    </w:p>
    <w:p>
      <w:pPr>
        <w:spacing w:after="160"/>
        <w:jc w:val="center"/>
      </w:pPr>
      <w:r>
        <w:rPr>
          <w:i/>
          <w:color w:val="64748B"/>
          <w:sz w:val="17"/>
        </w:rPr>
        <w:t>EV-MAN-14: filtro de productos aplicado.</w:t>
      </w:r>
    </w:p>
    <w:p>
      <w:pPr>
        <w:pStyle w:val="Heading3"/>
      </w:pPr>
      <w:r>
        <w:rPr>
          <w:color w:val="0B4F6C"/>
        </w:rPr>
        <w:t>TCM-09: Tiempos de carga</w:t>
      </w:r>
    </w:p>
    <w:p>
      <w:pPr>
        <w:spacing w:after="120" w:line="259" w:lineRule="auto"/>
        <w:jc w:val="both"/>
      </w:pPr>
      <w:r>
        <w:rPr>
          <w:color w:val="172033"/>
          <w:sz w:val="21"/>
        </w:rPr>
        <w:t>Las páginas principales cargan dentro del umbral definido de 3 segundos.</w:t>
      </w:r>
    </w:p>
    <w:p>
      <w:pPr>
        <w:jc w:val="center"/>
      </w:pPr>
      <w:r>
        <w:drawing>
          <wp:inline xmlns:a="http://schemas.openxmlformats.org/drawingml/2006/main" xmlns:pic="http://schemas.openxmlformats.org/drawingml/2006/picture">
            <wp:extent cx="5212080" cy="6593281"/>
            <wp:docPr id="19" name="Picture 19"/>
            <wp:cNvGraphicFramePr>
              <a:graphicFrameLocks noChangeAspect="1"/>
            </wp:cNvGraphicFramePr>
            <a:graphic>
              <a:graphicData uri="http://schemas.openxmlformats.org/drawingml/2006/picture">
                <pic:pic>
                  <pic:nvPicPr>
                    <pic:cNvPr id="0" name="image18.png"/>
                    <pic:cNvPicPr/>
                  </pic:nvPicPr>
                  <pic:blipFill>
                    <a:blip r:embed="rId29"/>
                    <a:stretch>
                      <a:fillRect/>
                    </a:stretch>
                  </pic:blipFill>
                  <pic:spPr>
                    <a:xfrm>
                      <a:off x="0" y="0"/>
                      <a:ext cx="5212080" cy="6593281"/>
                    </a:xfrm>
                    <a:prstGeom prst="rect"/>
                  </pic:spPr>
                </pic:pic>
              </a:graphicData>
            </a:graphic>
          </wp:inline>
        </w:drawing>
      </w:r>
    </w:p>
    <w:p>
      <w:pPr>
        <w:spacing w:after="160"/>
        <w:jc w:val="center"/>
      </w:pPr>
      <w:r>
        <w:rPr>
          <w:i/>
          <w:color w:val="64748B"/>
          <w:sz w:val="17"/>
        </w:rPr>
        <w:t>EV-MAN-15: medición de carga desde DevTools/Network.</w:t>
      </w:r>
    </w:p>
    <w:p>
      <w:pPr>
        <w:pStyle w:val="Heading3"/>
      </w:pPr>
      <w:r>
        <w:rPr>
          <w:color w:val="0B4F6C"/>
        </w:rPr>
        <w:t>TCM-10: Errores JavaScript / HTTP</w:t>
      </w:r>
    </w:p>
    <w:p>
      <w:pPr>
        <w:spacing w:after="120" w:line="259" w:lineRule="auto"/>
        <w:jc w:val="both"/>
      </w:pPr>
      <w:r>
        <w:rPr>
          <w:color w:val="172033"/>
          <w:sz w:val="21"/>
        </w:rPr>
        <w:t>No se observaron errores críticos de JavaScript ni respuestas HTTP 5xx durante la navegación principal.</w:t>
      </w:r>
    </w:p>
    <w:p>
      <w:pPr>
        <w:jc w:val="center"/>
      </w:pPr>
      <w:r>
        <w:drawing>
          <wp:inline xmlns:a="http://schemas.openxmlformats.org/drawingml/2006/main" xmlns:pic="http://schemas.openxmlformats.org/drawingml/2006/picture">
            <wp:extent cx="5212080" cy="5064220"/>
            <wp:docPr id="20" name="Picture 20"/>
            <wp:cNvGraphicFramePr>
              <a:graphicFrameLocks noChangeAspect="1"/>
            </wp:cNvGraphicFramePr>
            <a:graphic>
              <a:graphicData uri="http://schemas.openxmlformats.org/drawingml/2006/picture">
                <pic:pic>
                  <pic:nvPicPr>
                    <pic:cNvPr id="0" name="image19.png"/>
                    <pic:cNvPicPr/>
                  </pic:nvPicPr>
                  <pic:blipFill>
                    <a:blip r:embed="rId30"/>
                    <a:stretch>
                      <a:fillRect/>
                    </a:stretch>
                  </pic:blipFill>
                  <pic:spPr>
                    <a:xfrm>
                      <a:off x="0" y="0"/>
                      <a:ext cx="5212080" cy="5064220"/>
                    </a:xfrm>
                    <a:prstGeom prst="rect"/>
                  </pic:spPr>
                </pic:pic>
              </a:graphicData>
            </a:graphic>
          </wp:inline>
        </w:drawing>
      </w:r>
    </w:p>
    <w:p>
      <w:pPr>
        <w:spacing w:after="160"/>
        <w:jc w:val="center"/>
      </w:pPr>
      <w:r>
        <w:rPr>
          <w:i/>
          <w:color w:val="64748B"/>
          <w:sz w:val="17"/>
        </w:rPr>
        <w:t>EV-MAN-16: consola sin errores críticos durante navegación.</w:t>
      </w:r>
    </w:p>
    <w:p>
      <w:pPr>
        <w:pStyle w:val="Heading1"/>
      </w:pPr>
      <w:r>
        <w:rPr>
          <w:color w:val="123C69"/>
        </w:rPr>
        <w:t>7. Automatización de pruebas</w:t>
      </w:r>
    </w:p>
    <w:p>
      <w:pPr>
        <w:spacing w:after="120" w:line="259" w:lineRule="auto"/>
        <w:jc w:val="both"/>
      </w:pPr>
      <w:r>
        <w:rPr>
          <w:color w:val="172033"/>
          <w:sz w:val="21"/>
        </w:rPr>
        <w:t>La automatización fue implementada con Playwright y TypeScript. Se utilizó el patrón Page Object Model para separar la lógica de navegación de los escenarios de prueba. Los scripts automatizados cubren cinco escenarios funcionales principales y pruebas no funcionales asociadas a tiempos de carga y errores graves de consola.</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00"/>
        <w:gridCol w:w="5100"/>
      </w:tblGrid>
      <w:tr>
        <w:trPr>
          <w:tblHeader w:val="true"/>
        </w:trPr>
        <w:tc>
          <w:tcPr>
            <w:tcW w:type="dxa" w:w="2160"/>
            <w:vAlign w:val="top"/>
            <w:shd w:fill="EAF3F8"/>
          </w:tcPr>
          <w:p>
            <w:pPr>
              <w:spacing w:after="0"/>
            </w:pPr>
            <w:r/>
            <w:r>
              <w:rPr>
                <w:b/>
                <w:color w:val="123C69"/>
                <w:sz w:val="16"/>
              </w:rPr>
              <w:t>Elemento</w:t>
            </w:r>
          </w:p>
        </w:tc>
        <w:tc>
          <w:tcPr>
            <w:tcW w:type="dxa" w:w="7056"/>
            <w:vAlign w:val="top"/>
            <w:shd w:fill="EAF3F8"/>
          </w:tcPr>
          <w:p>
            <w:pPr>
              <w:spacing w:after="0"/>
            </w:pPr>
            <w:r/>
            <w:r>
              <w:rPr>
                <w:b/>
                <w:color w:val="123C69"/>
                <w:sz w:val="16"/>
              </w:rPr>
              <w:t>Descripción</w:t>
            </w:r>
          </w:p>
        </w:tc>
      </w:tr>
      <w:tr>
        <w:tc>
          <w:tcPr>
            <w:tcW w:type="dxa" w:w="2160"/>
            <w:vAlign w:val="top"/>
          </w:tcPr>
          <w:p>
            <w:pPr>
              <w:spacing w:after="0"/>
            </w:pPr>
            <w:r/>
            <w:r>
              <w:rPr>
                <w:b w:val="0"/>
                <w:sz w:val="16"/>
              </w:rPr>
              <w:t>Herramienta</w:t>
            </w:r>
          </w:p>
        </w:tc>
        <w:tc>
          <w:tcPr>
            <w:tcW w:type="dxa" w:w="7056"/>
            <w:vAlign w:val="top"/>
          </w:tcPr>
          <w:p>
            <w:pPr>
              <w:spacing w:after="0"/>
            </w:pPr>
            <w:r/>
            <w:r>
              <w:rPr>
                <w:b w:val="0"/>
                <w:sz w:val="16"/>
              </w:rPr>
              <w:t>Playwright</w:t>
            </w:r>
          </w:p>
        </w:tc>
      </w:tr>
      <w:tr>
        <w:tc>
          <w:tcPr>
            <w:tcW w:type="dxa" w:w="2160"/>
            <w:vAlign w:val="top"/>
          </w:tcPr>
          <w:p>
            <w:pPr>
              <w:spacing w:after="0"/>
            </w:pPr>
            <w:r/>
            <w:r>
              <w:rPr>
                <w:b w:val="0"/>
                <w:sz w:val="16"/>
              </w:rPr>
              <w:t>Lenguaje</w:t>
            </w:r>
          </w:p>
        </w:tc>
        <w:tc>
          <w:tcPr>
            <w:tcW w:type="dxa" w:w="7056"/>
            <w:vAlign w:val="top"/>
          </w:tcPr>
          <w:p>
            <w:pPr>
              <w:spacing w:after="0"/>
            </w:pPr>
            <w:r/>
            <w:r>
              <w:rPr>
                <w:b w:val="0"/>
                <w:sz w:val="16"/>
              </w:rPr>
              <w:t>TypeScript</w:t>
            </w:r>
          </w:p>
        </w:tc>
      </w:tr>
      <w:tr>
        <w:tc>
          <w:tcPr>
            <w:tcW w:type="dxa" w:w="2160"/>
            <w:vAlign w:val="top"/>
          </w:tcPr>
          <w:p>
            <w:pPr>
              <w:spacing w:after="0"/>
            </w:pPr>
            <w:r/>
            <w:r>
              <w:rPr>
                <w:b w:val="0"/>
                <w:sz w:val="16"/>
              </w:rPr>
              <w:t>Patrón</w:t>
            </w:r>
          </w:p>
        </w:tc>
        <w:tc>
          <w:tcPr>
            <w:tcW w:type="dxa" w:w="7056"/>
            <w:vAlign w:val="top"/>
          </w:tcPr>
          <w:p>
            <w:pPr>
              <w:spacing w:after="0"/>
            </w:pPr>
            <w:r/>
            <w:r>
              <w:rPr>
                <w:b w:val="0"/>
                <w:sz w:val="16"/>
              </w:rPr>
              <w:t>Page Object Model</w:t>
            </w:r>
          </w:p>
        </w:tc>
      </w:tr>
      <w:tr>
        <w:tc>
          <w:tcPr>
            <w:tcW w:type="dxa" w:w="2160"/>
            <w:vAlign w:val="top"/>
          </w:tcPr>
          <w:p>
            <w:pPr>
              <w:spacing w:after="0"/>
            </w:pPr>
            <w:r/>
            <w:r>
              <w:rPr>
                <w:b w:val="0"/>
                <w:sz w:val="16"/>
              </w:rPr>
              <w:t>Navegadores</w:t>
            </w:r>
          </w:p>
        </w:tc>
        <w:tc>
          <w:tcPr>
            <w:tcW w:type="dxa" w:w="7056"/>
            <w:vAlign w:val="top"/>
          </w:tcPr>
          <w:p>
            <w:pPr>
              <w:spacing w:after="0"/>
            </w:pPr>
            <w:r/>
            <w:r>
              <w:rPr>
                <w:b w:val="0"/>
                <w:sz w:val="16"/>
              </w:rPr>
              <w:t>Chrome y Firefox</w:t>
            </w:r>
          </w:p>
        </w:tc>
      </w:tr>
      <w:tr>
        <w:tc>
          <w:tcPr>
            <w:tcW w:type="dxa" w:w="2160"/>
            <w:vAlign w:val="top"/>
          </w:tcPr>
          <w:p>
            <w:pPr>
              <w:spacing w:after="0"/>
            </w:pPr>
            <w:r/>
            <w:r>
              <w:rPr>
                <w:b w:val="0"/>
                <w:sz w:val="16"/>
              </w:rPr>
              <w:t>Comando</w:t>
            </w:r>
          </w:p>
        </w:tc>
        <w:tc>
          <w:tcPr>
            <w:tcW w:type="dxa" w:w="7056"/>
            <w:vAlign w:val="top"/>
          </w:tcPr>
          <w:p>
            <w:pPr>
              <w:spacing w:after="0"/>
            </w:pPr>
            <w:r/>
            <w:r>
              <w:rPr>
                <w:b w:val="0"/>
                <w:sz w:val="16"/>
              </w:rPr>
              <w:t>npm run test:compat</w:t>
            </w:r>
          </w:p>
        </w:tc>
      </w:tr>
      <w:tr>
        <w:tc>
          <w:tcPr>
            <w:tcW w:type="dxa" w:w="2160"/>
            <w:vAlign w:val="top"/>
          </w:tcPr>
          <w:p>
            <w:pPr>
              <w:spacing w:after="0"/>
            </w:pPr>
            <w:r/>
            <w:r>
              <w:rPr>
                <w:b w:val="0"/>
                <w:sz w:val="16"/>
              </w:rPr>
              <w:t>Reportes</w:t>
            </w:r>
          </w:p>
        </w:tc>
        <w:tc>
          <w:tcPr>
            <w:tcW w:type="dxa" w:w="7056"/>
            <w:vAlign w:val="top"/>
          </w:tcPr>
          <w:p>
            <w:pPr>
              <w:spacing w:after="0"/>
            </w:pPr>
            <w:r/>
            <w:r>
              <w:rPr>
                <w:b w:val="0"/>
                <w:sz w:val="16"/>
              </w:rPr>
              <w:t>evidencias/playwright-report/index.html y evidencias/playwright-results/results.json</w:t>
            </w:r>
          </w:p>
        </w:tc>
      </w:tr>
    </w:tbl>
    <w:p/>
    <w:p>
      <w:pPr>
        <w:pStyle w:val="Heading2"/>
      </w:pPr>
      <w:r>
        <w:rPr>
          <w:color w:val="0B4F6C"/>
        </w:rPr>
        <w:t>7.1 Integración CI/CD</w:t>
      </w:r>
    </w:p>
    <w:p>
      <w:pPr>
        <w:spacing w:after="120" w:line="259" w:lineRule="auto"/>
        <w:jc w:val="both"/>
      </w:pPr>
      <w:r>
        <w:rPr>
          <w:color w:val="172033"/>
          <w:sz w:val="21"/>
        </w:rPr>
        <w:t>El repositorio incluye o propone un flujo de GitHub Actions para ejecutar instalación, pruebas automatizadas, revisión pasiva de seguridad y publicación de artefactos. En caso de habilitar SonarQube en CI/CD, se deben configurar los secretos SONAR_TOKEN y SONAR_HOST_URL.</w:t>
      </w:r>
    </w:p>
    <w:p>
      <w:pPr>
        <w:spacing w:before="60" w:after="160"/>
        <w:ind w:left="288" w:right="288"/>
        <w:shd w:fill="F7F9FC"/>
      </w:pPr>
      <w:r>
        <w:rPr>
          <w:rFonts w:ascii="Consolas" w:hAnsi="Consolas" w:eastAsia="Consolas"/>
          <w:sz w:val="17"/>
        </w:rPr>
        <w:t>npm ci</w:t>
        <w:br/>
        <w:t>npx playwright install chrome firefox</w:t>
        <w:br/>
        <w:t>npm run test:compat</w:t>
        <w:br/>
        <w:t>npm run evidence:security</w:t>
        <w:br/>
        <w:t>npm run report:build</w:t>
      </w:r>
    </w:p>
    <w:p>
      <w:pPr>
        <w:pStyle w:val="Heading1"/>
      </w:pPr>
      <w:r>
        <w:rPr>
          <w:color w:val="123C69"/>
        </w:rPr>
        <w:t>8. Gestión de defectos</w:t>
      </w:r>
    </w:p>
    <w:p>
      <w:pPr>
        <w:spacing w:after="120" w:line="259" w:lineRule="auto"/>
        <w:jc w:val="both"/>
      </w:pPr>
      <w:r>
        <w:rPr>
          <w:color w:val="172033"/>
          <w:sz w:val="21"/>
        </w:rPr>
        <w:t>La gestión de defectos se documentó en formato Markdown dentro del repositorio, simulando un backlog verificable. Cada defecto incluye identificador, descripción, severidad, prioridad, estado, evidencia y recomendación.</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0"/>
        <w:gridCol w:w="1700"/>
        <w:gridCol w:w="1700"/>
        <w:gridCol w:w="1700"/>
        <w:gridCol w:w="1700"/>
        <w:gridCol w:w="1700"/>
      </w:tblGrid>
      <w:tr>
        <w:trPr>
          <w:tblHeader w:val="true"/>
        </w:trPr>
        <w:tc>
          <w:tcPr>
            <w:tcW w:type="dxa" w:w="1008"/>
            <w:vAlign w:val="top"/>
            <w:shd w:fill="EAF3F8"/>
          </w:tcPr>
          <w:p>
            <w:pPr>
              <w:spacing w:after="0"/>
            </w:pPr>
            <w:r/>
            <w:r>
              <w:rPr>
                <w:b/>
                <w:color w:val="123C69"/>
                <w:sz w:val="15"/>
              </w:rPr>
              <w:t>ID</w:t>
            </w:r>
          </w:p>
        </w:tc>
        <w:tc>
          <w:tcPr>
            <w:tcW w:type="dxa" w:w="3024"/>
            <w:vAlign w:val="top"/>
            <w:shd w:fill="EAF3F8"/>
          </w:tcPr>
          <w:p>
            <w:pPr>
              <w:spacing w:after="0"/>
            </w:pPr>
            <w:r/>
            <w:r>
              <w:rPr>
                <w:b/>
                <w:color w:val="123C69"/>
                <w:sz w:val="15"/>
              </w:rPr>
              <w:t>Descripción</w:t>
            </w:r>
          </w:p>
        </w:tc>
        <w:tc>
          <w:tcPr>
            <w:tcW w:type="dxa" w:w="864"/>
            <w:vAlign w:val="top"/>
            <w:shd w:fill="EAF3F8"/>
          </w:tcPr>
          <w:p>
            <w:pPr>
              <w:spacing w:after="0"/>
            </w:pPr>
            <w:r/>
            <w:r>
              <w:rPr>
                <w:b/>
                <w:color w:val="123C69"/>
                <w:sz w:val="15"/>
              </w:rPr>
              <w:t>Sev.</w:t>
            </w:r>
          </w:p>
        </w:tc>
        <w:tc>
          <w:tcPr>
            <w:tcW w:type="dxa" w:w="1008"/>
            <w:vAlign w:val="top"/>
            <w:shd w:fill="EAF3F8"/>
          </w:tcPr>
          <w:p>
            <w:pPr>
              <w:spacing w:after="0"/>
            </w:pPr>
            <w:r/>
            <w:r>
              <w:rPr>
                <w:b/>
                <w:color w:val="123C69"/>
                <w:sz w:val="15"/>
              </w:rPr>
              <w:t>Prior.</w:t>
            </w:r>
          </w:p>
        </w:tc>
        <w:tc>
          <w:tcPr>
            <w:tcW w:type="dxa" w:w="1152"/>
            <w:vAlign w:val="top"/>
            <w:shd w:fill="EAF3F8"/>
          </w:tcPr>
          <w:p>
            <w:pPr>
              <w:spacing w:after="0"/>
            </w:pPr>
            <w:r/>
            <w:r>
              <w:rPr>
                <w:b/>
                <w:color w:val="123C69"/>
                <w:sz w:val="15"/>
              </w:rPr>
              <w:t>Estado</w:t>
            </w:r>
          </w:p>
        </w:tc>
        <w:tc>
          <w:tcPr>
            <w:tcW w:type="dxa" w:w="2736"/>
            <w:vAlign w:val="top"/>
            <w:shd w:fill="EAF3F8"/>
          </w:tcPr>
          <w:p>
            <w:pPr>
              <w:spacing w:after="0"/>
            </w:pPr>
            <w:r/>
            <w:r>
              <w:rPr>
                <w:b/>
                <w:color w:val="123C69"/>
                <w:sz w:val="15"/>
              </w:rPr>
              <w:t>Recomendación</w:t>
            </w:r>
          </w:p>
        </w:tc>
      </w:tr>
      <w:tr>
        <w:tc>
          <w:tcPr>
            <w:tcW w:type="dxa" w:w="1008"/>
            <w:vAlign w:val="top"/>
          </w:tcPr>
          <w:p>
            <w:pPr>
              <w:spacing w:after="0"/>
            </w:pPr>
            <w:r/>
            <w:r>
              <w:rPr>
                <w:b w:val="0"/>
                <w:sz w:val="15"/>
              </w:rPr>
              <w:t>DEF-01</w:t>
            </w:r>
          </w:p>
        </w:tc>
        <w:tc>
          <w:tcPr>
            <w:tcW w:type="dxa" w:w="3024"/>
            <w:vAlign w:val="top"/>
          </w:tcPr>
          <w:p>
            <w:pPr>
              <w:spacing w:after="0"/>
            </w:pPr>
            <w:r/>
            <w:r>
              <w:rPr>
                <w:b w:val="0"/>
                <w:sz w:val="15"/>
              </w:rPr>
              <w:t>Correo mailto posiblemente inválido</w:t>
            </w:r>
          </w:p>
        </w:tc>
        <w:tc>
          <w:tcPr>
            <w:tcW w:type="dxa" w:w="864"/>
            <w:vAlign w:val="top"/>
          </w:tcPr>
          <w:p>
            <w:pPr>
              <w:spacing w:after="0"/>
            </w:pPr>
            <w:r/>
            <w:r>
              <w:rPr>
                <w:b w:val="0"/>
                <w:sz w:val="15"/>
              </w:rPr>
              <w:t>Baja</w:t>
            </w:r>
          </w:p>
        </w:tc>
        <w:tc>
          <w:tcPr>
            <w:tcW w:type="dxa" w:w="1008"/>
            <w:vAlign w:val="top"/>
          </w:tcPr>
          <w:p>
            <w:pPr>
              <w:spacing w:after="0"/>
            </w:pPr>
            <w:r/>
            <w:r>
              <w:rPr>
                <w:b w:val="0"/>
                <w:sz w:val="15"/>
              </w:rPr>
              <w:t>Media</w:t>
            </w:r>
          </w:p>
        </w:tc>
        <w:tc>
          <w:tcPr>
            <w:tcW w:type="dxa" w:w="1152"/>
            <w:vAlign w:val="top"/>
          </w:tcPr>
          <w:p>
            <w:pPr>
              <w:spacing w:after="0"/>
            </w:pPr>
            <w:r/>
            <w:r>
              <w:rPr>
                <w:b w:val="0"/>
                <w:sz w:val="15"/>
              </w:rPr>
              <w:t>Nuevo</w:t>
            </w:r>
          </w:p>
        </w:tc>
        <w:tc>
          <w:tcPr>
            <w:tcW w:type="dxa" w:w="2736"/>
            <w:vAlign w:val="top"/>
          </w:tcPr>
          <w:p>
            <w:pPr>
              <w:spacing w:after="0"/>
            </w:pPr>
            <w:r/>
            <w:r>
              <w:rPr>
                <w:b w:val="0"/>
                <w:sz w:val="15"/>
              </w:rPr>
              <w:t>Corregir dirección mailto y agregar prueba de enlace.</w:t>
            </w:r>
          </w:p>
        </w:tc>
      </w:tr>
      <w:tr>
        <w:tc>
          <w:tcPr>
            <w:tcW w:type="dxa" w:w="1008"/>
            <w:vAlign w:val="top"/>
          </w:tcPr>
          <w:p>
            <w:pPr>
              <w:spacing w:after="0"/>
            </w:pPr>
            <w:r/>
            <w:r>
              <w:rPr>
                <w:b w:val="0"/>
                <w:sz w:val="15"/>
              </w:rPr>
              <w:t>DEF-02</w:t>
            </w:r>
          </w:p>
        </w:tc>
        <w:tc>
          <w:tcPr>
            <w:tcW w:type="dxa" w:w="3024"/>
            <w:vAlign w:val="top"/>
          </w:tcPr>
          <w:p>
            <w:pPr>
              <w:spacing w:after="0"/>
            </w:pPr>
            <w:r/>
            <w:r>
              <w:rPr>
                <w:b w:val="0"/>
                <w:sz w:val="15"/>
              </w:rPr>
              <w:t>Iframe de pago sin confirmación visible</w:t>
            </w:r>
          </w:p>
        </w:tc>
        <w:tc>
          <w:tcPr>
            <w:tcW w:type="dxa" w:w="864"/>
            <w:vAlign w:val="top"/>
          </w:tcPr>
          <w:p>
            <w:pPr>
              <w:spacing w:after="0"/>
            </w:pPr>
            <w:r/>
            <w:r>
              <w:rPr>
                <w:b w:val="0"/>
                <w:sz w:val="15"/>
              </w:rPr>
              <w:t>Media</w:t>
            </w:r>
          </w:p>
        </w:tc>
        <w:tc>
          <w:tcPr>
            <w:tcW w:type="dxa" w:w="1008"/>
            <w:vAlign w:val="top"/>
          </w:tcPr>
          <w:p>
            <w:pPr>
              <w:spacing w:after="0"/>
            </w:pPr>
            <w:r/>
            <w:r>
              <w:rPr>
                <w:b w:val="0"/>
                <w:sz w:val="15"/>
              </w:rPr>
              <w:t>Media</w:t>
            </w:r>
          </w:p>
        </w:tc>
        <w:tc>
          <w:tcPr>
            <w:tcW w:type="dxa" w:w="1152"/>
            <w:vAlign w:val="top"/>
          </w:tcPr>
          <w:p>
            <w:pPr>
              <w:spacing w:after="0"/>
            </w:pPr>
            <w:r/>
            <w:r>
              <w:rPr>
                <w:b w:val="0"/>
                <w:sz w:val="15"/>
              </w:rPr>
              <w:t>Analizado</w:t>
            </w:r>
          </w:p>
        </w:tc>
        <w:tc>
          <w:tcPr>
            <w:tcW w:type="dxa" w:w="2736"/>
            <w:vAlign w:val="top"/>
          </w:tcPr>
          <w:p>
            <w:pPr>
              <w:spacing w:after="0"/>
            </w:pPr>
            <w:r/>
            <w:r>
              <w:rPr>
                <w:b w:val="0"/>
                <w:sz w:val="15"/>
              </w:rPr>
              <w:t>Agregar mensajes de éxito/error accesibles.</w:t>
            </w:r>
          </w:p>
        </w:tc>
      </w:tr>
      <w:tr>
        <w:tc>
          <w:tcPr>
            <w:tcW w:type="dxa" w:w="1008"/>
            <w:vAlign w:val="top"/>
          </w:tcPr>
          <w:p>
            <w:pPr>
              <w:spacing w:after="0"/>
            </w:pPr>
            <w:r/>
            <w:r>
              <w:rPr>
                <w:b w:val="0"/>
                <w:sz w:val="15"/>
              </w:rPr>
              <w:t>DEF-03</w:t>
            </w:r>
          </w:p>
        </w:tc>
        <w:tc>
          <w:tcPr>
            <w:tcW w:type="dxa" w:w="3024"/>
            <w:vAlign w:val="top"/>
          </w:tcPr>
          <w:p>
            <w:pPr>
              <w:spacing w:after="0"/>
            </w:pPr>
            <w:r/>
            <w:r>
              <w:rPr>
                <w:b w:val="0"/>
                <w:sz w:val="15"/>
              </w:rPr>
              <w:t>Múltiples etiquetas canonical</w:t>
            </w:r>
          </w:p>
        </w:tc>
        <w:tc>
          <w:tcPr>
            <w:tcW w:type="dxa" w:w="864"/>
            <w:vAlign w:val="top"/>
          </w:tcPr>
          <w:p>
            <w:pPr>
              <w:spacing w:after="0"/>
            </w:pPr>
            <w:r/>
            <w:r>
              <w:rPr>
                <w:b w:val="0"/>
                <w:sz w:val="15"/>
              </w:rPr>
              <w:t>Baja</w:t>
            </w:r>
          </w:p>
        </w:tc>
        <w:tc>
          <w:tcPr>
            <w:tcW w:type="dxa" w:w="1008"/>
            <w:vAlign w:val="top"/>
          </w:tcPr>
          <w:p>
            <w:pPr>
              <w:spacing w:after="0"/>
            </w:pPr>
            <w:r/>
            <w:r>
              <w:rPr>
                <w:b w:val="0"/>
                <w:sz w:val="15"/>
              </w:rPr>
              <w:t>Baja</w:t>
            </w:r>
          </w:p>
        </w:tc>
        <w:tc>
          <w:tcPr>
            <w:tcW w:type="dxa" w:w="1152"/>
            <w:vAlign w:val="top"/>
          </w:tcPr>
          <w:p>
            <w:pPr>
              <w:spacing w:after="0"/>
            </w:pPr>
            <w:r/>
            <w:r>
              <w:rPr>
                <w:b w:val="0"/>
                <w:sz w:val="15"/>
              </w:rPr>
              <w:t>Analizado</w:t>
            </w:r>
          </w:p>
        </w:tc>
        <w:tc>
          <w:tcPr>
            <w:tcW w:type="dxa" w:w="2736"/>
            <w:vAlign w:val="top"/>
          </w:tcPr>
          <w:p>
            <w:pPr>
              <w:spacing w:after="0"/>
            </w:pPr>
            <w:r/>
            <w:r>
              <w:rPr>
                <w:b w:val="0"/>
                <w:sz w:val="15"/>
              </w:rPr>
              <w:t>Renderizar una única canonical por ruta.</w:t>
            </w:r>
          </w:p>
        </w:tc>
      </w:tr>
      <w:tr>
        <w:tc>
          <w:tcPr>
            <w:tcW w:type="dxa" w:w="1008"/>
            <w:vAlign w:val="top"/>
          </w:tcPr>
          <w:p>
            <w:pPr>
              <w:spacing w:after="0"/>
            </w:pPr>
            <w:r/>
            <w:r>
              <w:rPr>
                <w:b w:val="0"/>
                <w:sz w:val="15"/>
              </w:rPr>
              <w:t>DEF-04</w:t>
            </w:r>
          </w:p>
        </w:tc>
        <w:tc>
          <w:tcPr>
            <w:tcW w:type="dxa" w:w="3024"/>
            <w:vAlign w:val="top"/>
          </w:tcPr>
          <w:p>
            <w:pPr>
              <w:spacing w:after="0"/>
            </w:pPr>
            <w:r/>
            <w:r>
              <w:rPr>
                <w:b w:val="0"/>
                <w:sz w:val="15"/>
              </w:rPr>
              <w:t>Cabeceras de seguridad incompletas</w:t>
            </w:r>
          </w:p>
        </w:tc>
        <w:tc>
          <w:tcPr>
            <w:tcW w:type="dxa" w:w="864"/>
            <w:vAlign w:val="top"/>
          </w:tcPr>
          <w:p>
            <w:pPr>
              <w:spacing w:after="0"/>
            </w:pPr>
            <w:r/>
            <w:r>
              <w:rPr>
                <w:b w:val="0"/>
                <w:sz w:val="15"/>
              </w:rPr>
              <w:t>Media</w:t>
            </w:r>
          </w:p>
        </w:tc>
        <w:tc>
          <w:tcPr>
            <w:tcW w:type="dxa" w:w="1008"/>
            <w:vAlign w:val="top"/>
          </w:tcPr>
          <w:p>
            <w:pPr>
              <w:spacing w:after="0"/>
            </w:pPr>
            <w:r/>
            <w:r>
              <w:rPr>
                <w:b w:val="0"/>
                <w:sz w:val="15"/>
              </w:rPr>
              <w:t>Alta</w:t>
            </w:r>
          </w:p>
        </w:tc>
        <w:tc>
          <w:tcPr>
            <w:tcW w:type="dxa" w:w="1152"/>
            <w:vAlign w:val="top"/>
          </w:tcPr>
          <w:p>
            <w:pPr>
              <w:spacing w:after="0"/>
            </w:pPr>
            <w:r/>
            <w:r>
              <w:rPr>
                <w:b w:val="0"/>
                <w:sz w:val="15"/>
              </w:rPr>
              <w:t>Nuevo</w:t>
            </w:r>
          </w:p>
        </w:tc>
        <w:tc>
          <w:tcPr>
            <w:tcW w:type="dxa" w:w="2736"/>
            <w:vAlign w:val="top"/>
          </w:tcPr>
          <w:p>
            <w:pPr>
              <w:spacing w:after="0"/>
            </w:pPr>
            <w:r/>
            <w:r>
              <w:rPr>
                <w:b w:val="0"/>
                <w:sz w:val="15"/>
              </w:rPr>
              <w:t>Configurar CSP, frame-ancestors, nosniff, CORS y SRI.</w:t>
            </w:r>
          </w:p>
        </w:tc>
      </w:tr>
    </w:tbl>
    <w:p/>
    <w:p>
      <w:pPr>
        <w:pStyle w:val="Heading2"/>
      </w:pPr>
      <w:r>
        <w:rPr>
          <w:color w:val="0B4F6C"/>
        </w:rPr>
        <w:t>8.1 Ciclo de vida representativo - DEF-04</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00"/>
        <w:gridCol w:w="5100"/>
      </w:tblGrid>
      <w:tr>
        <w:trPr>
          <w:tblHeader w:val="true"/>
        </w:trPr>
        <w:tc>
          <w:tcPr>
            <w:tcW w:type="dxa" w:w="2448"/>
            <w:vAlign w:val="top"/>
            <w:shd w:fill="EAF3F8"/>
          </w:tcPr>
          <w:p>
            <w:pPr>
              <w:spacing w:after="0"/>
            </w:pPr>
            <w:r/>
            <w:r>
              <w:rPr>
                <w:b/>
                <w:color w:val="123C69"/>
                <w:sz w:val="16"/>
              </w:rPr>
              <w:t>Estado</w:t>
            </w:r>
          </w:p>
        </w:tc>
        <w:tc>
          <w:tcPr>
            <w:tcW w:type="dxa" w:w="6768"/>
            <w:vAlign w:val="top"/>
            <w:shd w:fill="EAF3F8"/>
          </w:tcPr>
          <w:p>
            <w:pPr>
              <w:spacing w:after="0"/>
            </w:pPr>
            <w:r/>
            <w:r>
              <w:rPr>
                <w:b/>
                <w:color w:val="123C69"/>
                <w:sz w:val="16"/>
              </w:rPr>
              <w:t>Acción</w:t>
            </w:r>
          </w:p>
        </w:tc>
      </w:tr>
      <w:tr>
        <w:tc>
          <w:tcPr>
            <w:tcW w:type="dxa" w:w="2448"/>
            <w:vAlign w:val="top"/>
          </w:tcPr>
          <w:p>
            <w:pPr>
              <w:spacing w:after="0"/>
            </w:pPr>
            <w:r/>
            <w:r>
              <w:rPr>
                <w:b w:val="0"/>
                <w:sz w:val="16"/>
              </w:rPr>
              <w:t>Nuevo</w:t>
            </w:r>
          </w:p>
        </w:tc>
        <w:tc>
          <w:tcPr>
            <w:tcW w:type="dxa" w:w="6768"/>
            <w:vAlign w:val="top"/>
          </w:tcPr>
          <w:p>
            <w:pPr>
              <w:spacing w:after="0"/>
            </w:pPr>
            <w:r/>
            <w:r>
              <w:rPr>
                <w:b w:val="0"/>
                <w:sz w:val="16"/>
              </w:rPr>
              <w:t>Se detectan cabeceras faltantes durante revisión pasiva.</w:t>
            </w:r>
          </w:p>
        </w:tc>
      </w:tr>
      <w:tr>
        <w:tc>
          <w:tcPr>
            <w:tcW w:type="dxa" w:w="2448"/>
            <w:vAlign w:val="top"/>
          </w:tcPr>
          <w:p>
            <w:pPr>
              <w:spacing w:after="0"/>
            </w:pPr>
            <w:r/>
            <w:r>
              <w:rPr>
                <w:b w:val="0"/>
                <w:sz w:val="16"/>
              </w:rPr>
              <w:t>Analizado</w:t>
            </w:r>
          </w:p>
        </w:tc>
        <w:tc>
          <w:tcPr>
            <w:tcW w:type="dxa" w:w="6768"/>
            <w:vAlign w:val="top"/>
          </w:tcPr>
          <w:p>
            <w:pPr>
              <w:spacing w:after="0"/>
            </w:pPr>
            <w:r/>
            <w:r>
              <w:rPr>
                <w:b w:val="0"/>
                <w:sz w:val="16"/>
              </w:rPr>
              <w:t>Se clasifica como OWASP A05 Security Misconfiguration.</w:t>
            </w:r>
          </w:p>
        </w:tc>
      </w:tr>
      <w:tr>
        <w:tc>
          <w:tcPr>
            <w:tcW w:type="dxa" w:w="2448"/>
            <w:vAlign w:val="top"/>
          </w:tcPr>
          <w:p>
            <w:pPr>
              <w:spacing w:after="0"/>
            </w:pPr>
            <w:r/>
            <w:r>
              <w:rPr>
                <w:b w:val="0"/>
                <w:sz w:val="16"/>
              </w:rPr>
              <w:t>Reportado</w:t>
            </w:r>
          </w:p>
        </w:tc>
        <w:tc>
          <w:tcPr>
            <w:tcW w:type="dxa" w:w="6768"/>
            <w:vAlign w:val="top"/>
          </w:tcPr>
          <w:p>
            <w:pPr>
              <w:spacing w:after="0"/>
            </w:pPr>
            <w:r/>
            <w:r>
              <w:rPr>
                <w:b w:val="0"/>
                <w:sz w:val="16"/>
              </w:rPr>
              <w:t>Se recomienda CSP, frame-ancestors, nosniff y Referrer-Policy.</w:t>
            </w:r>
          </w:p>
        </w:tc>
      </w:tr>
      <w:tr>
        <w:tc>
          <w:tcPr>
            <w:tcW w:type="dxa" w:w="2448"/>
            <w:vAlign w:val="top"/>
          </w:tcPr>
          <w:p>
            <w:pPr>
              <w:spacing w:after="0"/>
            </w:pPr>
            <w:r/>
            <w:r>
              <w:rPr>
                <w:b w:val="0"/>
                <w:sz w:val="16"/>
              </w:rPr>
              <w:t>Resuelto pendiente</w:t>
            </w:r>
          </w:p>
        </w:tc>
        <w:tc>
          <w:tcPr>
            <w:tcW w:type="dxa" w:w="6768"/>
            <w:vAlign w:val="top"/>
          </w:tcPr>
          <w:p>
            <w:pPr>
              <w:spacing w:after="0"/>
            </w:pPr>
            <w:r/>
            <w:r>
              <w:rPr>
                <w:b w:val="0"/>
                <w:sz w:val="16"/>
              </w:rPr>
              <w:t>Desarrollo/infraestructura debe configurar cabeceras en servidor/CDN.</w:t>
            </w:r>
          </w:p>
        </w:tc>
      </w:tr>
      <w:tr>
        <w:tc>
          <w:tcPr>
            <w:tcW w:type="dxa" w:w="2448"/>
            <w:vAlign w:val="top"/>
          </w:tcPr>
          <w:p>
            <w:pPr>
              <w:spacing w:after="0"/>
            </w:pPr>
            <w:r/>
            <w:r>
              <w:rPr>
                <w:b w:val="0"/>
                <w:sz w:val="16"/>
              </w:rPr>
              <w:t>Cerrado pendiente</w:t>
            </w:r>
          </w:p>
        </w:tc>
        <w:tc>
          <w:tcPr>
            <w:tcW w:type="dxa" w:w="6768"/>
            <w:vAlign w:val="top"/>
          </w:tcPr>
          <w:p>
            <w:pPr>
              <w:spacing w:after="0"/>
            </w:pPr>
            <w:r/>
            <w:r>
              <w:rPr>
                <w:b w:val="0"/>
                <w:sz w:val="16"/>
              </w:rPr>
              <w:t>QA debe reejecutar ZAP y confirmar remediación.</w:t>
            </w:r>
          </w:p>
        </w:tc>
      </w:tr>
    </w:tbl>
    <w:p/>
    <w:p>
      <w:pPr>
        <w:pStyle w:val="Heading1"/>
      </w:pPr>
      <w:r>
        <w:rPr>
          <w:color w:val="123C69"/>
        </w:rPr>
        <w:t>9. Pruebas de seguridad</w:t>
      </w:r>
    </w:p>
    <w:p>
      <w:pPr>
        <w:spacing w:after="120" w:line="259" w:lineRule="auto"/>
        <w:jc w:val="both"/>
      </w:pPr>
      <w:r>
        <w:rPr>
          <w:color w:val="172033"/>
          <w:sz w:val="21"/>
        </w:rPr>
        <w:t>La evaluación de seguridad se realizó con base en OWASP Top 10. Por tratarse de un sitio público, se evitó ejecutar ataques activos agresivos y se priorizó un escaneo pasivo con OWASP ZAP Baseline. Además, se ejecutó SonarQube sobre el repositorio de automatización para medir calidad estática del código disponible.</w:t>
      </w:r>
    </w:p>
    <w:p>
      <w:pPr>
        <w:pStyle w:val="Heading2"/>
      </w:pPr>
      <w:r>
        <w:rPr>
          <w:color w:val="0B4F6C"/>
        </w:rPr>
        <w:t>9.1 OWASP ZAP Baseline</w:t>
      </w:r>
    </w:p>
    <w:p>
      <w:pPr>
        <w:spacing w:before="60" w:after="160"/>
        <w:ind w:left="288" w:right="288"/>
        <w:shd w:fill="F7F9FC"/>
      </w:pPr>
      <w:r>
        <w:rPr>
          <w:rFonts w:ascii="Consolas" w:hAnsi="Consolas" w:eastAsia="Consolas"/>
          <w:sz w:val="17"/>
        </w:rPr>
        <w:t>docker run --rm `</w:t>
        <w:br/>
        <w:t xml:space="preserve">  -v "${PWD}/evidencias/security:/zap/wrk/:rw" `</w:t>
        <w:br/>
        <w:t xml:space="preserve">  zaproxy/zap-stable zap-baseline.py `</w:t>
        <w:br/>
        <w:t xml:space="preserve">  -t https://www.cnarios.com `</w:t>
        <w:br/>
        <w:t xml:space="preserve">  -r zap-baseline-report.html `</w:t>
        <w:br/>
        <w:t xml:space="preserve">  -J zap-baseline-report.json `</w:t>
        <w:br/>
        <w:t xml:space="preserve">  -m 2 -a -I</w:t>
      </w:r>
    </w:p>
    <w:p>
      <w:pPr>
        <w:spacing w:after="120" w:line="259" w:lineRule="auto"/>
        <w:jc w:val="both"/>
      </w:pPr>
      <w:r>
        <w:rPr>
          <w:color w:val="172033"/>
          <w:sz w:val="21"/>
        </w:rPr>
        <w:t>Resultado documentado: ZAP Baseline revisó 55 URLs, reportó 0 fallos nuevos y 16 advertencias nuevas. Las alertas principales se relacionan con Content Security Policy no configurada, CORS permisivo, cabecera anti-clickjacking ausente, SRI ausente y Permissions-Policy faltante.</w:t>
      </w:r>
    </w:p>
    <w:p>
      <w:pPr>
        <w:jc w:val="center"/>
      </w:pPr>
      <w:r>
        <w:drawing>
          <wp:inline xmlns:a="http://schemas.openxmlformats.org/drawingml/2006/main" xmlns:pic="http://schemas.openxmlformats.org/drawingml/2006/picture">
            <wp:extent cx="5394960" cy="3055841"/>
            <wp:docPr id="21" name="Picture 21"/>
            <wp:cNvGraphicFramePr>
              <a:graphicFrameLocks noChangeAspect="1"/>
            </wp:cNvGraphicFramePr>
            <a:graphic>
              <a:graphicData uri="http://schemas.openxmlformats.org/drawingml/2006/picture">
                <pic:pic>
                  <pic:nvPicPr>
                    <pic:cNvPr id="0" name="image22.png"/>
                    <pic:cNvPicPr/>
                  </pic:nvPicPr>
                  <pic:blipFill>
                    <a:blip r:embed="rId31"/>
                    <a:stretch>
                      <a:fillRect/>
                    </a:stretch>
                  </pic:blipFill>
                  <pic:spPr>
                    <a:xfrm>
                      <a:off x="0" y="0"/>
                      <a:ext cx="5394960" cy="3055841"/>
                    </a:xfrm>
                    <a:prstGeom prst="rect"/>
                  </pic:spPr>
                </pic:pic>
              </a:graphicData>
            </a:graphic>
          </wp:inline>
        </w:drawing>
      </w:r>
    </w:p>
    <w:p>
      <w:pPr>
        <w:spacing w:after="160"/>
        <w:jc w:val="center"/>
      </w:pPr>
      <w:r>
        <w:rPr>
          <w:i/>
          <w:color w:val="64748B"/>
          <w:sz w:val="17"/>
        </w:rPr>
        <w:t>EV-SEC-01: ejecución de OWASP ZAP Baseline desde consola.</w:t>
      </w:r>
    </w:p>
    <w:p>
      <w:pPr>
        <w:jc w:val="center"/>
      </w:pPr>
      <w:r>
        <w:drawing>
          <wp:inline xmlns:a="http://schemas.openxmlformats.org/drawingml/2006/main" xmlns:pic="http://schemas.openxmlformats.org/drawingml/2006/picture">
            <wp:extent cx="5029200" cy="4211624"/>
            <wp:docPr id="22" name="Picture 22"/>
            <wp:cNvGraphicFramePr>
              <a:graphicFrameLocks noChangeAspect="1"/>
            </wp:cNvGraphicFramePr>
            <a:graphic>
              <a:graphicData uri="http://schemas.openxmlformats.org/drawingml/2006/picture">
                <pic:pic>
                  <pic:nvPicPr>
                    <pic:cNvPr id="0" name="image23.png"/>
                    <pic:cNvPicPr/>
                  </pic:nvPicPr>
                  <pic:blipFill>
                    <a:blip r:embed="rId32"/>
                    <a:stretch>
                      <a:fillRect/>
                    </a:stretch>
                  </pic:blipFill>
                  <pic:spPr>
                    <a:xfrm>
                      <a:off x="0" y="0"/>
                      <a:ext cx="5029200" cy="4211624"/>
                    </a:xfrm>
                    <a:prstGeom prst="rect"/>
                  </pic:spPr>
                </pic:pic>
              </a:graphicData>
            </a:graphic>
          </wp:inline>
        </w:drawing>
      </w:r>
    </w:p>
    <w:p>
      <w:pPr>
        <w:spacing w:after="160"/>
        <w:jc w:val="center"/>
      </w:pPr>
      <w:r>
        <w:rPr>
          <w:i/>
          <w:color w:val="64748B"/>
          <w:sz w:val="17"/>
        </w:rPr>
        <w:t>EV-SEC-02: evidencia de reporte o configuración de alertas OWASP ZAP.</w:t>
      </w:r>
    </w:p>
    <w:p>
      <w:pPr>
        <w:pStyle w:val="Heading2"/>
      </w:pPr>
      <w:r>
        <w:rPr>
          <w:color w:val="0B4F6C"/>
        </w:rPr>
        <w:t>9.2 Vulnerabilidades, riesgos y mitigación</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50"/>
        <w:gridCol w:w="2550"/>
        <w:gridCol w:w="2550"/>
        <w:gridCol w:w="2550"/>
      </w:tblGrid>
      <w:tr>
        <w:trPr>
          <w:tblHeader w:val="true"/>
        </w:trPr>
        <w:tc>
          <w:tcPr>
            <w:tcW w:type="dxa" w:w="864"/>
            <w:vAlign w:val="top"/>
            <w:shd w:fill="EAF3F8"/>
          </w:tcPr>
          <w:p>
            <w:pPr>
              <w:spacing w:after="0"/>
            </w:pPr>
            <w:r/>
            <w:r>
              <w:rPr>
                <w:b/>
                <w:color w:val="123C69"/>
                <w:sz w:val="14"/>
              </w:rPr>
              <w:t>ID</w:t>
            </w:r>
          </w:p>
        </w:tc>
        <w:tc>
          <w:tcPr>
            <w:tcW w:type="dxa" w:w="2160"/>
            <w:vAlign w:val="top"/>
            <w:shd w:fill="EAF3F8"/>
          </w:tcPr>
          <w:p>
            <w:pPr>
              <w:spacing w:after="0"/>
            </w:pPr>
            <w:r/>
            <w:r>
              <w:rPr>
                <w:b/>
                <w:color w:val="123C69"/>
                <w:sz w:val="14"/>
              </w:rPr>
              <w:t>Riesgo</w:t>
            </w:r>
          </w:p>
        </w:tc>
        <w:tc>
          <w:tcPr>
            <w:tcW w:type="dxa" w:w="3024"/>
            <w:vAlign w:val="top"/>
            <w:shd w:fill="EAF3F8"/>
          </w:tcPr>
          <w:p>
            <w:pPr>
              <w:spacing w:after="0"/>
            </w:pPr>
            <w:r/>
            <w:r>
              <w:rPr>
                <w:b/>
                <w:color w:val="123C69"/>
                <w:sz w:val="14"/>
              </w:rPr>
              <w:t>Impacto</w:t>
            </w:r>
          </w:p>
        </w:tc>
        <w:tc>
          <w:tcPr>
            <w:tcW w:type="dxa" w:w="3168"/>
            <w:vAlign w:val="top"/>
            <w:shd w:fill="EAF3F8"/>
          </w:tcPr>
          <w:p>
            <w:pPr>
              <w:spacing w:after="0"/>
            </w:pPr>
            <w:r/>
            <w:r>
              <w:rPr>
                <w:b/>
                <w:color w:val="123C69"/>
                <w:sz w:val="14"/>
              </w:rPr>
              <w:t>Mitigación</w:t>
            </w:r>
          </w:p>
        </w:tc>
      </w:tr>
      <w:tr>
        <w:tc>
          <w:tcPr>
            <w:tcW w:type="dxa" w:w="864"/>
            <w:vAlign w:val="top"/>
          </w:tcPr>
          <w:p>
            <w:pPr>
              <w:spacing w:after="0"/>
            </w:pPr>
            <w:r/>
            <w:r>
              <w:rPr>
                <w:b w:val="0"/>
                <w:sz w:val="14"/>
              </w:rPr>
              <w:t>SEC-01</w:t>
            </w:r>
          </w:p>
        </w:tc>
        <w:tc>
          <w:tcPr>
            <w:tcW w:type="dxa" w:w="2160"/>
            <w:vAlign w:val="top"/>
          </w:tcPr>
          <w:p>
            <w:pPr>
              <w:spacing w:after="0"/>
            </w:pPr>
            <w:r/>
            <w:r>
              <w:rPr>
                <w:b w:val="0"/>
                <w:sz w:val="14"/>
              </w:rPr>
              <w:t>CSP ausente</w:t>
            </w:r>
          </w:p>
        </w:tc>
        <w:tc>
          <w:tcPr>
            <w:tcW w:type="dxa" w:w="3024"/>
            <w:vAlign w:val="top"/>
          </w:tcPr>
          <w:p>
            <w:pPr>
              <w:spacing w:after="0"/>
            </w:pPr>
            <w:r/>
            <w:r>
              <w:rPr>
                <w:b w:val="0"/>
                <w:sz w:val="14"/>
              </w:rPr>
              <w:t>Mayor exposición ante XSS si aparece una inyección.</w:t>
            </w:r>
          </w:p>
        </w:tc>
        <w:tc>
          <w:tcPr>
            <w:tcW w:type="dxa" w:w="3168"/>
            <w:vAlign w:val="top"/>
          </w:tcPr>
          <w:p>
            <w:pPr>
              <w:spacing w:after="0"/>
            </w:pPr>
            <w:r/>
            <w:r>
              <w:rPr>
                <w:b w:val="0"/>
                <w:sz w:val="14"/>
              </w:rPr>
              <w:t>Definir política restrictiva de Content-Security-Policy.</w:t>
            </w:r>
          </w:p>
        </w:tc>
      </w:tr>
      <w:tr>
        <w:tc>
          <w:tcPr>
            <w:tcW w:type="dxa" w:w="864"/>
            <w:vAlign w:val="top"/>
          </w:tcPr>
          <w:p>
            <w:pPr>
              <w:spacing w:after="0"/>
            </w:pPr>
            <w:r/>
            <w:r>
              <w:rPr>
                <w:b w:val="0"/>
                <w:sz w:val="14"/>
              </w:rPr>
              <w:t>SEC-02</w:t>
            </w:r>
          </w:p>
        </w:tc>
        <w:tc>
          <w:tcPr>
            <w:tcW w:type="dxa" w:w="2160"/>
            <w:vAlign w:val="top"/>
          </w:tcPr>
          <w:p>
            <w:pPr>
              <w:spacing w:after="0"/>
            </w:pPr>
            <w:r/>
            <w:r>
              <w:rPr>
                <w:b w:val="0"/>
                <w:sz w:val="14"/>
              </w:rPr>
              <w:t>Anti-clickjacking ausente</w:t>
            </w:r>
          </w:p>
        </w:tc>
        <w:tc>
          <w:tcPr>
            <w:tcW w:type="dxa" w:w="3024"/>
            <w:vAlign w:val="top"/>
          </w:tcPr>
          <w:p>
            <w:pPr>
              <w:spacing w:after="0"/>
            </w:pPr>
            <w:r/>
            <w:r>
              <w:rPr>
                <w:b w:val="0"/>
                <w:sz w:val="14"/>
              </w:rPr>
              <w:t>El sitio podría ser embebido en frames no autorizados.</w:t>
            </w:r>
          </w:p>
        </w:tc>
        <w:tc>
          <w:tcPr>
            <w:tcW w:type="dxa" w:w="3168"/>
            <w:vAlign w:val="top"/>
          </w:tcPr>
          <w:p>
            <w:pPr>
              <w:spacing w:after="0"/>
            </w:pPr>
            <w:r/>
            <w:r>
              <w:rPr>
                <w:b w:val="0"/>
                <w:sz w:val="14"/>
              </w:rPr>
              <w:t>Usar frame-ancestors o X-Frame-Options.</w:t>
            </w:r>
          </w:p>
        </w:tc>
      </w:tr>
      <w:tr>
        <w:tc>
          <w:tcPr>
            <w:tcW w:type="dxa" w:w="864"/>
            <w:vAlign w:val="top"/>
          </w:tcPr>
          <w:p>
            <w:pPr>
              <w:spacing w:after="0"/>
            </w:pPr>
            <w:r/>
            <w:r>
              <w:rPr>
                <w:b w:val="0"/>
                <w:sz w:val="14"/>
              </w:rPr>
              <w:t>SEC-03</w:t>
            </w:r>
          </w:p>
        </w:tc>
        <w:tc>
          <w:tcPr>
            <w:tcW w:type="dxa" w:w="2160"/>
            <w:vAlign w:val="top"/>
          </w:tcPr>
          <w:p>
            <w:pPr>
              <w:spacing w:after="0"/>
            </w:pPr>
            <w:r/>
            <w:r>
              <w:rPr>
                <w:b w:val="0"/>
                <w:sz w:val="14"/>
              </w:rPr>
              <w:t>X-Content-Type-Options ausente</w:t>
            </w:r>
          </w:p>
        </w:tc>
        <w:tc>
          <w:tcPr>
            <w:tcW w:type="dxa" w:w="3024"/>
            <w:vAlign w:val="top"/>
          </w:tcPr>
          <w:p>
            <w:pPr>
              <w:spacing w:after="0"/>
            </w:pPr>
            <w:r/>
            <w:r>
              <w:rPr>
                <w:b w:val="0"/>
                <w:sz w:val="14"/>
              </w:rPr>
              <w:t>Riesgo de MIME sniffing.</w:t>
            </w:r>
          </w:p>
        </w:tc>
        <w:tc>
          <w:tcPr>
            <w:tcW w:type="dxa" w:w="3168"/>
            <w:vAlign w:val="top"/>
          </w:tcPr>
          <w:p>
            <w:pPr>
              <w:spacing w:after="0"/>
            </w:pPr>
            <w:r/>
            <w:r>
              <w:rPr>
                <w:b w:val="0"/>
                <w:sz w:val="14"/>
              </w:rPr>
              <w:t>Agregar X-Content-Type-Options: nosniff.</w:t>
            </w:r>
          </w:p>
        </w:tc>
      </w:tr>
      <w:tr>
        <w:tc>
          <w:tcPr>
            <w:tcW w:type="dxa" w:w="864"/>
            <w:vAlign w:val="top"/>
          </w:tcPr>
          <w:p>
            <w:pPr>
              <w:spacing w:after="0"/>
            </w:pPr>
            <w:r/>
            <w:r>
              <w:rPr>
                <w:b w:val="0"/>
                <w:sz w:val="14"/>
              </w:rPr>
              <w:t>SEC-04</w:t>
            </w:r>
          </w:p>
        </w:tc>
        <w:tc>
          <w:tcPr>
            <w:tcW w:type="dxa" w:w="2160"/>
            <w:vAlign w:val="top"/>
          </w:tcPr>
          <w:p>
            <w:pPr>
              <w:spacing w:after="0"/>
            </w:pPr>
            <w:r/>
            <w:r>
              <w:rPr>
                <w:b w:val="0"/>
                <w:sz w:val="14"/>
              </w:rPr>
              <w:t>Referrer-Policy ausente</w:t>
            </w:r>
          </w:p>
        </w:tc>
        <w:tc>
          <w:tcPr>
            <w:tcW w:type="dxa" w:w="3024"/>
            <w:vAlign w:val="top"/>
          </w:tcPr>
          <w:p>
            <w:pPr>
              <w:spacing w:after="0"/>
            </w:pPr>
            <w:r/>
            <w:r>
              <w:rPr>
                <w:b w:val="0"/>
                <w:sz w:val="14"/>
              </w:rPr>
              <w:t>Posible filtración de URL de referencia.</w:t>
            </w:r>
          </w:p>
        </w:tc>
        <w:tc>
          <w:tcPr>
            <w:tcW w:type="dxa" w:w="3168"/>
            <w:vAlign w:val="top"/>
          </w:tcPr>
          <w:p>
            <w:pPr>
              <w:spacing w:after="0"/>
            </w:pPr>
            <w:r/>
            <w:r>
              <w:rPr>
                <w:b w:val="0"/>
                <w:sz w:val="14"/>
              </w:rPr>
              <w:t>Usar strict-origin-when-cross-origin.</w:t>
            </w:r>
          </w:p>
        </w:tc>
      </w:tr>
      <w:tr>
        <w:tc>
          <w:tcPr>
            <w:tcW w:type="dxa" w:w="864"/>
            <w:vAlign w:val="top"/>
          </w:tcPr>
          <w:p>
            <w:pPr>
              <w:spacing w:after="0"/>
            </w:pPr>
            <w:r/>
            <w:r>
              <w:rPr>
                <w:b w:val="0"/>
                <w:sz w:val="14"/>
              </w:rPr>
              <w:t>SEC-05</w:t>
            </w:r>
          </w:p>
        </w:tc>
        <w:tc>
          <w:tcPr>
            <w:tcW w:type="dxa" w:w="2160"/>
            <w:vAlign w:val="top"/>
          </w:tcPr>
          <w:p>
            <w:pPr>
              <w:spacing w:after="0"/>
            </w:pPr>
            <w:r/>
            <w:r>
              <w:rPr>
                <w:b w:val="0"/>
                <w:sz w:val="14"/>
              </w:rPr>
              <w:t>Múltiples canonical</w:t>
            </w:r>
          </w:p>
        </w:tc>
        <w:tc>
          <w:tcPr>
            <w:tcW w:type="dxa" w:w="3024"/>
            <w:vAlign w:val="top"/>
          </w:tcPr>
          <w:p>
            <w:pPr>
              <w:spacing w:after="0"/>
            </w:pPr>
            <w:r/>
            <w:r>
              <w:rPr>
                <w:b w:val="0"/>
                <w:sz w:val="14"/>
              </w:rPr>
              <w:t>Ambigüedad SEO y mantenibilidad.</w:t>
            </w:r>
          </w:p>
        </w:tc>
        <w:tc>
          <w:tcPr>
            <w:tcW w:type="dxa" w:w="3168"/>
            <w:vAlign w:val="top"/>
          </w:tcPr>
          <w:p>
            <w:pPr>
              <w:spacing w:after="0"/>
            </w:pPr>
            <w:r/>
            <w:r>
              <w:rPr>
                <w:b w:val="0"/>
                <w:sz w:val="14"/>
              </w:rPr>
              <w:t>Emitir una canonical por ruta.</w:t>
            </w:r>
          </w:p>
        </w:tc>
      </w:tr>
      <w:tr>
        <w:tc>
          <w:tcPr>
            <w:tcW w:type="dxa" w:w="864"/>
            <w:vAlign w:val="top"/>
          </w:tcPr>
          <w:p>
            <w:pPr>
              <w:spacing w:after="0"/>
            </w:pPr>
            <w:r/>
            <w:r>
              <w:rPr>
                <w:b w:val="0"/>
                <w:sz w:val="14"/>
              </w:rPr>
              <w:t>SEC-06</w:t>
            </w:r>
          </w:p>
        </w:tc>
        <w:tc>
          <w:tcPr>
            <w:tcW w:type="dxa" w:w="2160"/>
            <w:vAlign w:val="top"/>
          </w:tcPr>
          <w:p>
            <w:pPr>
              <w:spacing w:after="0"/>
            </w:pPr>
            <w:r/>
            <w:r>
              <w:rPr>
                <w:b w:val="0"/>
                <w:sz w:val="14"/>
              </w:rPr>
              <w:t>CORS permisivo</w:t>
            </w:r>
          </w:p>
        </w:tc>
        <w:tc>
          <w:tcPr>
            <w:tcW w:type="dxa" w:w="3024"/>
            <w:vAlign w:val="top"/>
          </w:tcPr>
          <w:p>
            <w:pPr>
              <w:spacing w:after="0"/>
            </w:pPr>
            <w:r/>
            <w:r>
              <w:rPr>
                <w:b w:val="0"/>
                <w:sz w:val="14"/>
              </w:rPr>
              <w:t>Riesgo mayor si se exponen datos sensibles.</w:t>
            </w:r>
          </w:p>
        </w:tc>
        <w:tc>
          <w:tcPr>
            <w:tcW w:type="dxa" w:w="3168"/>
            <w:vAlign w:val="top"/>
          </w:tcPr>
          <w:p>
            <w:pPr>
              <w:spacing w:after="0"/>
            </w:pPr>
            <w:r/>
            <w:r>
              <w:rPr>
                <w:b w:val="0"/>
                <w:sz w:val="14"/>
              </w:rPr>
              <w:t>Restringir orígenes permitidos.</w:t>
            </w:r>
          </w:p>
        </w:tc>
      </w:tr>
      <w:tr>
        <w:tc>
          <w:tcPr>
            <w:tcW w:type="dxa" w:w="864"/>
            <w:vAlign w:val="top"/>
          </w:tcPr>
          <w:p>
            <w:pPr>
              <w:spacing w:after="0"/>
            </w:pPr>
            <w:r/>
            <w:r>
              <w:rPr>
                <w:b w:val="0"/>
                <w:sz w:val="14"/>
              </w:rPr>
              <w:t>SEC-07</w:t>
            </w:r>
          </w:p>
        </w:tc>
        <w:tc>
          <w:tcPr>
            <w:tcW w:type="dxa" w:w="2160"/>
            <w:vAlign w:val="top"/>
          </w:tcPr>
          <w:p>
            <w:pPr>
              <w:spacing w:after="0"/>
            </w:pPr>
            <w:r/>
            <w:r>
              <w:rPr>
                <w:b w:val="0"/>
                <w:sz w:val="14"/>
              </w:rPr>
              <w:t>SRI ausente</w:t>
            </w:r>
          </w:p>
        </w:tc>
        <w:tc>
          <w:tcPr>
            <w:tcW w:type="dxa" w:w="3024"/>
            <w:vAlign w:val="top"/>
          </w:tcPr>
          <w:p>
            <w:pPr>
              <w:spacing w:after="0"/>
            </w:pPr>
            <w:r/>
            <w:r>
              <w:rPr>
                <w:b w:val="0"/>
                <w:sz w:val="14"/>
              </w:rPr>
              <w:t>Riesgo si un proveedor externo es comprometido.</w:t>
            </w:r>
          </w:p>
        </w:tc>
        <w:tc>
          <w:tcPr>
            <w:tcW w:type="dxa" w:w="3168"/>
            <w:vAlign w:val="top"/>
          </w:tcPr>
          <w:p>
            <w:pPr>
              <w:spacing w:after="0"/>
            </w:pPr>
            <w:r/>
            <w:r>
              <w:rPr>
                <w:b w:val="0"/>
                <w:sz w:val="14"/>
              </w:rPr>
              <w:t>Usar Subresource Integrity e inventario de terceros.</w:t>
            </w:r>
          </w:p>
        </w:tc>
      </w:tr>
    </w:tbl>
    <w:p/>
    <w:p>
      <w:pPr>
        <w:pStyle w:val="Heading2"/>
      </w:pPr>
      <w:r>
        <w:rPr>
          <w:color w:val="0B4F6C"/>
        </w:rPr>
        <w:t>9.3 SonarQube</w:t>
      </w:r>
    </w:p>
    <w:p>
      <w:pPr>
        <w:spacing w:after="120" w:line="259" w:lineRule="auto"/>
        <w:jc w:val="both"/>
      </w:pPr>
      <w:r>
        <w:rPr>
          <w:color w:val="172033"/>
          <w:sz w:val="21"/>
        </w:rPr>
        <w:t>Cnarios no publica su código fuente, por lo tanto SonarQube se ejecutó sobre el repositorio de automatización construido para esta entrega. El análisis permite medir mantenibilidad, bugs, vulnerabilidades, duplicación, cobertura y ratings del código de pruebas.</w:t>
      </w:r>
    </w:p>
    <w:p>
      <w:pPr>
        <w:spacing w:before="60" w:after="160"/>
        <w:ind w:left="288" w:right="288"/>
        <w:shd w:fill="F7F9FC"/>
      </w:pPr>
      <w:r>
        <w:rPr>
          <w:rFonts w:ascii="Consolas" w:hAnsi="Consolas" w:eastAsia="Consolas"/>
          <w:sz w:val="17"/>
        </w:rPr>
        <w:t>docker run --rm `</w:t>
        <w:br/>
        <w:t xml:space="preserve">  -e SONAR_HOST_URL=http://host.docker.internal:9000 `</w:t>
        <w:br/>
        <w:t xml:space="preserve">  -e SONAR_TOKEN=&lt;TOKEN&gt; `</w:t>
        <w:br/>
        <w:t xml:space="preserve">  -v "${PWD}:/usr/src" `</w:t>
        <w:br/>
        <w:t xml:space="preserve">  sonarsource/sonar-scanner-cli</w:t>
      </w:r>
    </w:p>
    <w:p>
      <w:pPr>
        <w:jc w:val="center"/>
      </w:pPr>
      <w:r>
        <w:drawing>
          <wp:inline xmlns:a="http://schemas.openxmlformats.org/drawingml/2006/main" xmlns:pic="http://schemas.openxmlformats.org/drawingml/2006/picture">
            <wp:extent cx="5303520" cy="2610283"/>
            <wp:docPr id="23" name="Picture 23"/>
            <wp:cNvGraphicFramePr>
              <a:graphicFrameLocks noChangeAspect="1"/>
            </wp:cNvGraphicFramePr>
            <a:graphic>
              <a:graphicData uri="http://schemas.openxmlformats.org/drawingml/2006/picture">
                <pic:pic>
                  <pic:nvPicPr>
                    <pic:cNvPr id="0" name="image24.png"/>
                    <pic:cNvPicPr/>
                  </pic:nvPicPr>
                  <pic:blipFill>
                    <a:blip r:embed="rId33"/>
                    <a:stretch>
                      <a:fillRect/>
                    </a:stretch>
                  </pic:blipFill>
                  <pic:spPr>
                    <a:xfrm>
                      <a:off x="0" y="0"/>
                      <a:ext cx="5303520" cy="2610283"/>
                    </a:xfrm>
                    <a:prstGeom prst="rect"/>
                  </pic:spPr>
                </pic:pic>
              </a:graphicData>
            </a:graphic>
          </wp:inline>
        </w:drawing>
      </w:r>
    </w:p>
    <w:p>
      <w:pPr>
        <w:spacing w:after="160"/>
        <w:jc w:val="center"/>
      </w:pPr>
      <w:r>
        <w:rPr>
          <w:i/>
          <w:color w:val="64748B"/>
          <w:sz w:val="17"/>
        </w:rPr>
        <w:t>EV-SONAR-01: dashboard o proyecto analizado en SonarQube.</w:t>
      </w:r>
    </w:p>
    <w:p>
      <w:pPr>
        <w:jc w:val="center"/>
      </w:pPr>
      <w:r>
        <w:drawing>
          <wp:inline xmlns:a="http://schemas.openxmlformats.org/drawingml/2006/main" xmlns:pic="http://schemas.openxmlformats.org/drawingml/2006/picture">
            <wp:extent cx="5303520" cy="2603345"/>
            <wp:docPr id="24" name="Picture 24"/>
            <wp:cNvGraphicFramePr>
              <a:graphicFrameLocks noChangeAspect="1"/>
            </wp:cNvGraphicFramePr>
            <a:graphic>
              <a:graphicData uri="http://schemas.openxmlformats.org/drawingml/2006/picture">
                <pic:pic>
                  <pic:nvPicPr>
                    <pic:cNvPr id="0" name="image25.png"/>
                    <pic:cNvPicPr/>
                  </pic:nvPicPr>
                  <pic:blipFill>
                    <a:blip r:embed="rId34"/>
                    <a:stretch>
                      <a:fillRect/>
                    </a:stretch>
                  </pic:blipFill>
                  <pic:spPr>
                    <a:xfrm>
                      <a:off x="0" y="0"/>
                      <a:ext cx="5303520" cy="2603345"/>
                    </a:xfrm>
                    <a:prstGeom prst="rect"/>
                  </pic:spPr>
                </pic:pic>
              </a:graphicData>
            </a:graphic>
          </wp:inline>
        </w:drawing>
      </w:r>
    </w:p>
    <w:p>
      <w:pPr>
        <w:spacing w:after="160"/>
        <w:jc w:val="center"/>
      </w:pPr>
      <w:r>
        <w:rPr>
          <w:i/>
          <w:color w:val="64748B"/>
          <w:sz w:val="17"/>
        </w:rPr>
        <w:t>EV-SONAR-02: métricas principales de SonarQube.</w:t>
      </w:r>
    </w:p>
    <w:p>
      <w:pPr>
        <w:jc w:val="center"/>
      </w:pPr>
      <w:r>
        <w:drawing>
          <wp:inline xmlns:a="http://schemas.openxmlformats.org/drawingml/2006/main" xmlns:pic="http://schemas.openxmlformats.org/drawingml/2006/picture">
            <wp:extent cx="5303520" cy="3057924"/>
            <wp:docPr id="25" name="Picture 25"/>
            <wp:cNvGraphicFramePr>
              <a:graphicFrameLocks noChangeAspect="1"/>
            </wp:cNvGraphicFramePr>
            <a:graphic>
              <a:graphicData uri="http://schemas.openxmlformats.org/drawingml/2006/picture">
                <pic:pic>
                  <pic:nvPicPr>
                    <pic:cNvPr id="0" name="image26.png"/>
                    <pic:cNvPicPr/>
                  </pic:nvPicPr>
                  <pic:blipFill>
                    <a:blip r:embed="rId35"/>
                    <a:stretch>
                      <a:fillRect/>
                    </a:stretch>
                  </pic:blipFill>
                  <pic:spPr>
                    <a:xfrm>
                      <a:off x="0" y="0"/>
                      <a:ext cx="5303520" cy="3057924"/>
                    </a:xfrm>
                    <a:prstGeom prst="rect"/>
                  </pic:spPr>
                </pic:pic>
              </a:graphicData>
            </a:graphic>
          </wp:inline>
        </w:drawing>
      </w:r>
    </w:p>
    <w:p>
      <w:pPr>
        <w:spacing w:after="160"/>
        <w:jc w:val="center"/>
      </w:pPr>
      <w:r>
        <w:rPr>
          <w:i/>
          <w:color w:val="64748B"/>
          <w:sz w:val="17"/>
        </w:rPr>
        <w:t>EV-SONAR-03: ejecución del sonar-scanner desde consola.</w:t>
      </w:r>
    </w:p>
    <w:p>
      <w:pPr>
        <w:jc w:val="center"/>
      </w:pPr>
      <w:r>
        <w:drawing>
          <wp:inline xmlns:a="http://schemas.openxmlformats.org/drawingml/2006/main" xmlns:pic="http://schemas.openxmlformats.org/drawingml/2006/picture">
            <wp:extent cx="5303520" cy="2392974"/>
            <wp:docPr id="26" name="Picture 26"/>
            <wp:cNvGraphicFramePr>
              <a:graphicFrameLocks noChangeAspect="1"/>
            </wp:cNvGraphicFramePr>
            <a:graphic>
              <a:graphicData uri="http://schemas.openxmlformats.org/drawingml/2006/picture">
                <pic:pic>
                  <pic:nvPicPr>
                    <pic:cNvPr id="0" name="image27.png"/>
                    <pic:cNvPicPr/>
                  </pic:nvPicPr>
                  <pic:blipFill>
                    <a:blip r:embed="rId36"/>
                    <a:stretch>
                      <a:fillRect/>
                    </a:stretch>
                  </pic:blipFill>
                  <pic:spPr>
                    <a:xfrm>
                      <a:off x="0" y="0"/>
                      <a:ext cx="5303520" cy="2392974"/>
                    </a:xfrm>
                    <a:prstGeom prst="rect"/>
                  </pic:spPr>
                </pic:pic>
              </a:graphicData>
            </a:graphic>
          </wp:inline>
        </w:drawing>
      </w:r>
    </w:p>
    <w:p>
      <w:pPr>
        <w:spacing w:after="160"/>
        <w:jc w:val="center"/>
      </w:pPr>
      <w:r>
        <w:rPr>
          <w:i/>
          <w:color w:val="64748B"/>
          <w:sz w:val="17"/>
        </w:rPr>
        <w:t>EV-SONAR-04: detalle de medidas o calidad del proyecto en SonarQube.</w:t>
      </w:r>
    </w:p>
    <w:p>
      <w:pPr>
        <w:pStyle w:val="Heading1"/>
      </w:pPr>
      <w:r>
        <w:rPr>
          <w:color w:val="123C69"/>
        </w:rPr>
        <w:t>10. Métricas de calidad</w:t>
      </w:r>
    </w:p>
    <w:p>
      <w:pPr>
        <w:spacing w:after="120" w:line="259" w:lineRule="auto"/>
        <w:jc w:val="both"/>
      </w:pPr>
      <w:r>
        <w:rPr>
          <w:color w:val="172033"/>
          <w:sz w:val="21"/>
        </w:rPr>
        <w:t>Las métricas permiten interpretar el estado de calidad del sistema y del proceso de pruebas. Se midió cobertura de requisitos, cantidad de casos diseñados, casos automatizados, tasa de aprobación, defectos registrados, tiempo de ejecución, rendimiento p95 y resultados de SonarQube.</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00"/>
        <w:gridCol w:w="3400"/>
        <w:gridCol w:w="3400"/>
      </w:tblGrid>
      <w:tr>
        <w:trPr>
          <w:tblHeader w:val="true"/>
        </w:trPr>
        <w:tc>
          <w:tcPr>
            <w:tcW w:type="dxa" w:w="2880"/>
            <w:vAlign w:val="top"/>
            <w:shd w:fill="EAF3F8"/>
          </w:tcPr>
          <w:p>
            <w:pPr>
              <w:spacing w:after="0"/>
            </w:pPr>
            <w:r/>
            <w:r>
              <w:rPr>
                <w:b/>
                <w:color w:val="123C69"/>
                <w:sz w:val="16"/>
              </w:rPr>
              <w:t>Métrica</w:t>
            </w:r>
          </w:p>
        </w:tc>
        <w:tc>
          <w:tcPr>
            <w:tcW w:type="dxa" w:w="3744"/>
            <w:vAlign w:val="top"/>
            <w:shd w:fill="EAF3F8"/>
          </w:tcPr>
          <w:p>
            <w:pPr>
              <w:spacing w:after="0"/>
            </w:pPr>
            <w:r/>
            <w:r>
              <w:rPr>
                <w:b/>
                <w:color w:val="123C69"/>
                <w:sz w:val="16"/>
              </w:rPr>
              <w:t>Fórmula/Fuente</w:t>
            </w:r>
          </w:p>
        </w:tc>
        <w:tc>
          <w:tcPr>
            <w:tcW w:type="dxa" w:w="2448"/>
            <w:vAlign w:val="top"/>
            <w:shd w:fill="EAF3F8"/>
          </w:tcPr>
          <w:p>
            <w:pPr>
              <w:spacing w:after="0"/>
            </w:pPr>
            <w:r/>
            <w:r>
              <w:rPr>
                <w:b/>
                <w:color w:val="123C69"/>
                <w:sz w:val="16"/>
              </w:rPr>
              <w:t>Resultado</w:t>
            </w:r>
          </w:p>
        </w:tc>
      </w:tr>
      <w:tr>
        <w:tc>
          <w:tcPr>
            <w:tcW w:type="dxa" w:w="2880"/>
            <w:vAlign w:val="top"/>
          </w:tcPr>
          <w:p>
            <w:pPr>
              <w:spacing w:after="0"/>
            </w:pPr>
            <w:r/>
            <w:r>
              <w:rPr>
                <w:b w:val="0"/>
                <w:sz w:val="16"/>
              </w:rPr>
              <w:t>Cobertura de requisitos</w:t>
            </w:r>
          </w:p>
        </w:tc>
        <w:tc>
          <w:tcPr>
            <w:tcW w:type="dxa" w:w="3744"/>
            <w:vAlign w:val="top"/>
          </w:tcPr>
          <w:p>
            <w:pPr>
              <w:spacing w:after="0"/>
            </w:pPr>
            <w:r/>
            <w:r>
              <w:rPr>
                <w:b w:val="0"/>
                <w:sz w:val="16"/>
              </w:rPr>
              <w:t>Requisitos cubiertos / requisitos totales</w:t>
            </w:r>
          </w:p>
        </w:tc>
        <w:tc>
          <w:tcPr>
            <w:tcW w:type="dxa" w:w="2448"/>
            <w:vAlign w:val="top"/>
          </w:tcPr>
          <w:p>
            <w:pPr>
              <w:spacing w:after="0"/>
            </w:pPr>
            <w:r/>
            <w:r>
              <w:rPr>
                <w:b w:val="0"/>
                <w:sz w:val="16"/>
              </w:rPr>
              <w:t>10/10 = 100 %</w:t>
            </w:r>
          </w:p>
        </w:tc>
      </w:tr>
      <w:tr>
        <w:tc>
          <w:tcPr>
            <w:tcW w:type="dxa" w:w="2880"/>
            <w:vAlign w:val="top"/>
          </w:tcPr>
          <w:p>
            <w:pPr>
              <w:spacing w:after="0"/>
            </w:pPr>
            <w:r/>
            <w:r>
              <w:rPr>
                <w:b w:val="0"/>
                <w:sz w:val="16"/>
              </w:rPr>
              <w:t>Casos manuales diseñados</w:t>
            </w:r>
          </w:p>
        </w:tc>
        <w:tc>
          <w:tcPr>
            <w:tcW w:type="dxa" w:w="3744"/>
            <w:vAlign w:val="top"/>
          </w:tcPr>
          <w:p>
            <w:pPr>
              <w:spacing w:after="0"/>
            </w:pPr>
            <w:r/>
            <w:r>
              <w:rPr>
                <w:b w:val="0"/>
                <w:sz w:val="16"/>
              </w:rPr>
              <w:t>Total documentado</w:t>
            </w:r>
          </w:p>
        </w:tc>
        <w:tc>
          <w:tcPr>
            <w:tcW w:type="dxa" w:w="2448"/>
            <w:vAlign w:val="top"/>
          </w:tcPr>
          <w:p>
            <w:pPr>
              <w:spacing w:after="0"/>
            </w:pPr>
            <w:r/>
            <w:r>
              <w:rPr>
                <w:b w:val="0"/>
                <w:sz w:val="16"/>
              </w:rPr>
              <w:t>10</w:t>
            </w:r>
          </w:p>
        </w:tc>
      </w:tr>
      <w:tr>
        <w:tc>
          <w:tcPr>
            <w:tcW w:type="dxa" w:w="2880"/>
            <w:vAlign w:val="top"/>
          </w:tcPr>
          <w:p>
            <w:pPr>
              <w:spacing w:after="0"/>
            </w:pPr>
            <w:r/>
            <w:r>
              <w:rPr>
                <w:b w:val="0"/>
                <w:sz w:val="16"/>
              </w:rPr>
              <w:t>Casos automatizados</w:t>
            </w:r>
          </w:p>
        </w:tc>
        <w:tc>
          <w:tcPr>
            <w:tcW w:type="dxa" w:w="3744"/>
            <w:vAlign w:val="top"/>
          </w:tcPr>
          <w:p>
            <w:pPr>
              <w:spacing w:after="0"/>
            </w:pPr>
            <w:r/>
            <w:r>
              <w:rPr>
                <w:b w:val="0"/>
                <w:sz w:val="16"/>
              </w:rPr>
              <w:t>Total ejecutable</w:t>
            </w:r>
          </w:p>
        </w:tc>
        <w:tc>
          <w:tcPr>
            <w:tcW w:type="dxa" w:w="2448"/>
            <w:vAlign w:val="top"/>
          </w:tcPr>
          <w:p>
            <w:pPr>
              <w:spacing w:after="0"/>
            </w:pPr>
            <w:r/>
            <w:r>
              <w:rPr>
                <w:b w:val="0"/>
                <w:sz w:val="16"/>
              </w:rPr>
              <w:t>5 funcionales + 2 no funcionales</w:t>
            </w:r>
          </w:p>
        </w:tc>
      </w:tr>
      <w:tr>
        <w:tc>
          <w:tcPr>
            <w:tcW w:type="dxa" w:w="2880"/>
            <w:vAlign w:val="top"/>
          </w:tcPr>
          <w:p>
            <w:pPr>
              <w:spacing w:after="0"/>
            </w:pPr>
            <w:r/>
            <w:r>
              <w:rPr>
                <w:b w:val="0"/>
                <w:sz w:val="16"/>
              </w:rPr>
              <w:t>Tasa de aprobación</w:t>
            </w:r>
          </w:p>
        </w:tc>
        <w:tc>
          <w:tcPr>
            <w:tcW w:type="dxa" w:w="3744"/>
            <w:vAlign w:val="top"/>
          </w:tcPr>
          <w:p>
            <w:pPr>
              <w:spacing w:after="0"/>
            </w:pPr>
            <w:r/>
            <w:r>
              <w:rPr>
                <w:b w:val="0"/>
                <w:sz w:val="16"/>
              </w:rPr>
              <w:t>Casos aprobados / ejecutados</w:t>
            </w:r>
          </w:p>
        </w:tc>
        <w:tc>
          <w:tcPr>
            <w:tcW w:type="dxa" w:w="2448"/>
            <w:vAlign w:val="top"/>
          </w:tcPr>
          <w:p>
            <w:pPr>
              <w:spacing w:after="0"/>
            </w:pPr>
            <w:r/>
            <w:r>
              <w:rPr>
                <w:b w:val="0"/>
                <w:sz w:val="16"/>
              </w:rPr>
              <w:t>14/14 = 100 %</w:t>
            </w:r>
          </w:p>
        </w:tc>
      </w:tr>
      <w:tr>
        <w:tc>
          <w:tcPr>
            <w:tcW w:type="dxa" w:w="2880"/>
            <w:vAlign w:val="top"/>
          </w:tcPr>
          <w:p>
            <w:pPr>
              <w:spacing w:after="0"/>
            </w:pPr>
            <w:r/>
            <w:r>
              <w:rPr>
                <w:b w:val="0"/>
                <w:sz w:val="16"/>
              </w:rPr>
              <w:t>Defectos registrados</w:t>
            </w:r>
          </w:p>
        </w:tc>
        <w:tc>
          <w:tcPr>
            <w:tcW w:type="dxa" w:w="3744"/>
            <w:vAlign w:val="top"/>
          </w:tcPr>
          <w:p>
            <w:pPr>
              <w:spacing w:after="0"/>
            </w:pPr>
            <w:r/>
            <w:r>
              <w:rPr>
                <w:b w:val="0"/>
                <w:sz w:val="16"/>
              </w:rPr>
              <w:t>Backlog documentado</w:t>
            </w:r>
          </w:p>
        </w:tc>
        <w:tc>
          <w:tcPr>
            <w:tcW w:type="dxa" w:w="2448"/>
            <w:vAlign w:val="top"/>
          </w:tcPr>
          <w:p>
            <w:pPr>
              <w:spacing w:after="0"/>
            </w:pPr>
            <w:r/>
            <w:r>
              <w:rPr>
                <w:b w:val="0"/>
                <w:sz w:val="16"/>
              </w:rPr>
              <w:t>4</w:t>
            </w:r>
          </w:p>
        </w:tc>
      </w:tr>
      <w:tr>
        <w:tc>
          <w:tcPr>
            <w:tcW w:type="dxa" w:w="2880"/>
            <w:vAlign w:val="top"/>
          </w:tcPr>
          <w:p>
            <w:pPr>
              <w:spacing w:after="0"/>
            </w:pPr>
            <w:r/>
            <w:r>
              <w:rPr>
                <w:b w:val="0"/>
                <w:sz w:val="16"/>
              </w:rPr>
              <w:t>Densidad de defectos</w:t>
            </w:r>
          </w:p>
        </w:tc>
        <w:tc>
          <w:tcPr>
            <w:tcW w:type="dxa" w:w="3744"/>
            <w:vAlign w:val="top"/>
          </w:tcPr>
          <w:p>
            <w:pPr>
              <w:spacing w:after="0"/>
            </w:pPr>
            <w:r/>
            <w:r>
              <w:rPr>
                <w:b w:val="0"/>
                <w:sz w:val="16"/>
              </w:rPr>
              <w:t>Defectos funcionales / módulos</w:t>
            </w:r>
          </w:p>
        </w:tc>
        <w:tc>
          <w:tcPr>
            <w:tcW w:type="dxa" w:w="2448"/>
            <w:vAlign w:val="top"/>
          </w:tcPr>
          <w:p>
            <w:pPr>
              <w:spacing w:after="0"/>
            </w:pPr>
            <w:r/>
            <w:r>
              <w:rPr>
                <w:b w:val="0"/>
                <w:sz w:val="16"/>
              </w:rPr>
              <w:t>2 / 4 módulos</w:t>
            </w:r>
          </w:p>
        </w:tc>
      </w:tr>
      <w:tr>
        <w:tc>
          <w:tcPr>
            <w:tcW w:type="dxa" w:w="2880"/>
            <w:vAlign w:val="top"/>
          </w:tcPr>
          <w:p>
            <w:pPr>
              <w:spacing w:after="0"/>
            </w:pPr>
            <w:r/>
            <w:r>
              <w:rPr>
                <w:b w:val="0"/>
                <w:sz w:val="16"/>
              </w:rPr>
              <w:t>Tiempo de ejecución</w:t>
            </w:r>
          </w:p>
        </w:tc>
        <w:tc>
          <w:tcPr>
            <w:tcW w:type="dxa" w:w="3744"/>
            <w:vAlign w:val="top"/>
          </w:tcPr>
          <w:p>
            <w:pPr>
              <w:spacing w:after="0"/>
            </w:pPr>
            <w:r/>
            <w:r>
              <w:rPr>
                <w:b w:val="0"/>
                <w:sz w:val="16"/>
              </w:rPr>
              <w:t>Duración total suite</w:t>
            </w:r>
          </w:p>
        </w:tc>
        <w:tc>
          <w:tcPr>
            <w:tcW w:type="dxa" w:w="2448"/>
            <w:vAlign w:val="top"/>
          </w:tcPr>
          <w:p>
            <w:pPr>
              <w:spacing w:after="0"/>
            </w:pPr>
            <w:r/>
            <w:r>
              <w:rPr>
                <w:b w:val="0"/>
                <w:sz w:val="16"/>
              </w:rPr>
              <w:t>19.95 s</w:t>
            </w:r>
          </w:p>
        </w:tc>
      </w:tr>
      <w:tr>
        <w:tc>
          <w:tcPr>
            <w:tcW w:type="dxa" w:w="2880"/>
            <w:vAlign w:val="top"/>
          </w:tcPr>
          <w:p>
            <w:pPr>
              <w:spacing w:after="0"/>
            </w:pPr>
            <w:r/>
            <w:r>
              <w:rPr>
                <w:b w:val="0"/>
                <w:sz w:val="16"/>
              </w:rPr>
              <w:t>Rendimiento p95</w:t>
            </w:r>
          </w:p>
        </w:tc>
        <w:tc>
          <w:tcPr>
            <w:tcW w:type="dxa" w:w="3744"/>
            <w:vAlign w:val="top"/>
          </w:tcPr>
          <w:p>
            <w:pPr>
              <w:spacing w:after="0"/>
            </w:pPr>
            <w:r/>
            <w:r>
              <w:rPr>
                <w:b w:val="0"/>
                <w:sz w:val="16"/>
              </w:rPr>
              <w:t>Percentil 95 HTTP</w:t>
            </w:r>
          </w:p>
        </w:tc>
        <w:tc>
          <w:tcPr>
            <w:tcW w:type="dxa" w:w="2448"/>
            <w:vAlign w:val="top"/>
          </w:tcPr>
          <w:p>
            <w:pPr>
              <w:spacing w:after="0"/>
            </w:pPr>
            <w:r/>
            <w:r>
              <w:rPr>
                <w:b w:val="0"/>
                <w:sz w:val="16"/>
              </w:rPr>
              <w:t>95.62 ms</w:t>
            </w:r>
          </w:p>
        </w:tc>
      </w:tr>
      <w:tr>
        <w:tc>
          <w:tcPr>
            <w:tcW w:type="dxa" w:w="2880"/>
            <w:vAlign w:val="top"/>
          </w:tcPr>
          <w:p>
            <w:pPr>
              <w:spacing w:after="0"/>
            </w:pPr>
            <w:r/>
            <w:r>
              <w:rPr>
                <w:b w:val="0"/>
                <w:sz w:val="16"/>
              </w:rPr>
              <w:t>Fallos HTTP k6</w:t>
            </w:r>
          </w:p>
        </w:tc>
        <w:tc>
          <w:tcPr>
            <w:tcW w:type="dxa" w:w="3744"/>
            <w:vAlign w:val="top"/>
          </w:tcPr>
          <w:p>
            <w:pPr>
              <w:spacing w:after="0"/>
            </w:pPr>
            <w:r/>
            <w:r>
              <w:rPr>
                <w:b w:val="0"/>
                <w:sz w:val="16"/>
              </w:rPr>
              <w:t>Fallos / requests</w:t>
            </w:r>
          </w:p>
        </w:tc>
        <w:tc>
          <w:tcPr>
            <w:tcW w:type="dxa" w:w="2448"/>
            <w:vAlign w:val="top"/>
          </w:tcPr>
          <w:p>
            <w:pPr>
              <w:spacing w:after="0"/>
            </w:pPr>
            <w:r/>
            <w:r>
              <w:rPr>
                <w:b w:val="0"/>
                <w:sz w:val="16"/>
              </w:rPr>
              <w:t>0 %</w:t>
            </w:r>
          </w:p>
        </w:tc>
      </w:tr>
    </w:tbl>
    <w:p/>
    <w:p>
      <w:pPr>
        <w:pStyle w:val="Heading2"/>
      </w:pPr>
      <w:r>
        <w:rPr>
          <w:color w:val="0B4F6C"/>
        </w:rPr>
        <w:t>10.1 Métricas SonarQube</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00"/>
        <w:gridCol w:w="5100"/>
      </w:tblGrid>
      <w:tr>
        <w:trPr>
          <w:tblHeader w:val="true"/>
        </w:trPr>
        <w:tc>
          <w:tcPr>
            <w:tcW w:type="dxa" w:w="4320"/>
            <w:vAlign w:val="top"/>
            <w:shd w:fill="EAF3F8"/>
          </w:tcPr>
          <w:p>
            <w:pPr>
              <w:spacing w:after="0"/>
            </w:pPr>
            <w:r/>
            <w:r>
              <w:rPr>
                <w:b/>
                <w:color w:val="123C69"/>
                <w:sz w:val="16"/>
              </w:rPr>
              <w:t>Indicador</w:t>
            </w:r>
          </w:p>
        </w:tc>
        <w:tc>
          <w:tcPr>
            <w:tcW w:type="dxa" w:w="2880"/>
            <w:vAlign w:val="top"/>
            <w:shd w:fill="EAF3F8"/>
          </w:tcPr>
          <w:p>
            <w:pPr>
              <w:spacing w:after="0"/>
            </w:pPr>
            <w:r/>
            <w:r>
              <w:rPr>
                <w:b/>
                <w:color w:val="123C69"/>
                <w:sz w:val="16"/>
              </w:rPr>
              <w:t>Resultado</w:t>
            </w:r>
          </w:p>
        </w:tc>
      </w:tr>
      <w:tr>
        <w:tc>
          <w:tcPr>
            <w:tcW w:type="dxa" w:w="4320"/>
            <w:vAlign w:val="top"/>
          </w:tcPr>
          <w:p>
            <w:pPr>
              <w:spacing w:after="0"/>
            </w:pPr>
            <w:r/>
            <w:r>
              <w:rPr>
                <w:b w:val="0"/>
                <w:sz w:val="16"/>
              </w:rPr>
              <w:t>Bugs</w:t>
            </w:r>
          </w:p>
        </w:tc>
        <w:tc>
          <w:tcPr>
            <w:tcW w:type="dxa" w:w="2880"/>
            <w:vAlign w:val="top"/>
          </w:tcPr>
          <w:p>
            <w:pPr>
              <w:spacing w:after="0"/>
            </w:pPr>
            <w:r/>
            <w:r>
              <w:rPr>
                <w:b w:val="0"/>
                <w:sz w:val="16"/>
              </w:rPr>
              <w:t>0</w:t>
            </w:r>
          </w:p>
        </w:tc>
      </w:tr>
      <w:tr>
        <w:tc>
          <w:tcPr>
            <w:tcW w:type="dxa" w:w="4320"/>
            <w:vAlign w:val="top"/>
          </w:tcPr>
          <w:p>
            <w:pPr>
              <w:spacing w:after="0"/>
            </w:pPr>
            <w:r/>
            <w:r>
              <w:rPr>
                <w:b w:val="0"/>
                <w:sz w:val="16"/>
              </w:rPr>
              <w:t>Vulnerabilidades</w:t>
            </w:r>
          </w:p>
        </w:tc>
        <w:tc>
          <w:tcPr>
            <w:tcW w:type="dxa" w:w="2880"/>
            <w:vAlign w:val="top"/>
          </w:tcPr>
          <w:p>
            <w:pPr>
              <w:spacing w:after="0"/>
            </w:pPr>
            <w:r/>
            <w:r>
              <w:rPr>
                <w:b w:val="0"/>
                <w:sz w:val="16"/>
              </w:rPr>
              <w:t>0</w:t>
            </w:r>
          </w:p>
        </w:tc>
      </w:tr>
      <w:tr>
        <w:tc>
          <w:tcPr>
            <w:tcW w:type="dxa" w:w="4320"/>
            <w:vAlign w:val="top"/>
          </w:tcPr>
          <w:p>
            <w:pPr>
              <w:spacing w:after="0"/>
            </w:pPr>
            <w:r/>
            <w:r>
              <w:rPr>
                <w:b w:val="0"/>
                <w:sz w:val="16"/>
              </w:rPr>
              <w:t>Security Hotspots</w:t>
            </w:r>
          </w:p>
        </w:tc>
        <w:tc>
          <w:tcPr>
            <w:tcW w:type="dxa" w:w="2880"/>
            <w:vAlign w:val="top"/>
          </w:tcPr>
          <w:p>
            <w:pPr>
              <w:spacing w:after="0"/>
            </w:pPr>
            <w:r/>
            <w:r>
              <w:rPr>
                <w:b w:val="0"/>
                <w:sz w:val="16"/>
              </w:rPr>
              <w:t>0</w:t>
            </w:r>
          </w:p>
        </w:tc>
      </w:tr>
      <w:tr>
        <w:tc>
          <w:tcPr>
            <w:tcW w:type="dxa" w:w="4320"/>
            <w:vAlign w:val="top"/>
          </w:tcPr>
          <w:p>
            <w:pPr>
              <w:spacing w:after="0"/>
            </w:pPr>
            <w:r/>
            <w:r>
              <w:rPr>
                <w:b w:val="0"/>
                <w:sz w:val="16"/>
              </w:rPr>
              <w:t>Code Smells</w:t>
            </w:r>
          </w:p>
        </w:tc>
        <w:tc>
          <w:tcPr>
            <w:tcW w:type="dxa" w:w="2880"/>
            <w:vAlign w:val="top"/>
          </w:tcPr>
          <w:p>
            <w:pPr>
              <w:spacing w:after="0"/>
            </w:pPr>
            <w:r/>
            <w:r>
              <w:rPr>
                <w:b w:val="0"/>
                <w:sz w:val="16"/>
              </w:rPr>
              <w:t>7</w:t>
            </w:r>
          </w:p>
        </w:tc>
      </w:tr>
      <w:tr>
        <w:tc>
          <w:tcPr>
            <w:tcW w:type="dxa" w:w="4320"/>
            <w:vAlign w:val="top"/>
          </w:tcPr>
          <w:p>
            <w:pPr>
              <w:spacing w:after="0"/>
            </w:pPr>
            <w:r/>
            <w:r>
              <w:rPr>
                <w:b w:val="0"/>
                <w:sz w:val="16"/>
              </w:rPr>
              <w:t>Duplicación</w:t>
            </w:r>
          </w:p>
        </w:tc>
        <w:tc>
          <w:tcPr>
            <w:tcW w:type="dxa" w:w="2880"/>
            <w:vAlign w:val="top"/>
          </w:tcPr>
          <w:p>
            <w:pPr>
              <w:spacing w:after="0"/>
            </w:pPr>
            <w:r/>
            <w:r>
              <w:rPr>
                <w:b w:val="0"/>
                <w:sz w:val="16"/>
              </w:rPr>
              <w:t>0.0 %</w:t>
            </w:r>
          </w:p>
        </w:tc>
      </w:tr>
      <w:tr>
        <w:tc>
          <w:tcPr>
            <w:tcW w:type="dxa" w:w="4320"/>
            <w:vAlign w:val="top"/>
          </w:tcPr>
          <w:p>
            <w:pPr>
              <w:spacing w:after="0"/>
            </w:pPr>
            <w:r/>
            <w:r>
              <w:rPr>
                <w:b w:val="0"/>
                <w:sz w:val="16"/>
              </w:rPr>
              <w:t>Coverage</w:t>
            </w:r>
          </w:p>
        </w:tc>
        <w:tc>
          <w:tcPr>
            <w:tcW w:type="dxa" w:w="2880"/>
            <w:vAlign w:val="top"/>
          </w:tcPr>
          <w:p>
            <w:pPr>
              <w:spacing w:after="0"/>
            </w:pPr>
            <w:r/>
            <w:r>
              <w:rPr>
                <w:b w:val="0"/>
                <w:sz w:val="16"/>
              </w:rPr>
              <w:t>0.0 %</w:t>
            </w:r>
          </w:p>
        </w:tc>
      </w:tr>
      <w:tr>
        <w:tc>
          <w:tcPr>
            <w:tcW w:type="dxa" w:w="4320"/>
            <w:vAlign w:val="top"/>
          </w:tcPr>
          <w:p>
            <w:pPr>
              <w:spacing w:after="0"/>
            </w:pPr>
            <w:r/>
            <w:r>
              <w:rPr>
                <w:b w:val="0"/>
                <w:sz w:val="16"/>
              </w:rPr>
              <w:t>Reliability Rating</w:t>
            </w:r>
          </w:p>
        </w:tc>
        <w:tc>
          <w:tcPr>
            <w:tcW w:type="dxa" w:w="2880"/>
            <w:vAlign w:val="top"/>
          </w:tcPr>
          <w:p>
            <w:pPr>
              <w:spacing w:after="0"/>
            </w:pPr>
            <w:r/>
            <w:r>
              <w:rPr>
                <w:b w:val="0"/>
                <w:sz w:val="16"/>
              </w:rPr>
              <w:t>A</w:t>
            </w:r>
          </w:p>
        </w:tc>
      </w:tr>
      <w:tr>
        <w:tc>
          <w:tcPr>
            <w:tcW w:type="dxa" w:w="4320"/>
            <w:vAlign w:val="top"/>
          </w:tcPr>
          <w:p>
            <w:pPr>
              <w:spacing w:after="0"/>
            </w:pPr>
            <w:r/>
            <w:r>
              <w:rPr>
                <w:b w:val="0"/>
                <w:sz w:val="16"/>
              </w:rPr>
              <w:t>Maintainability Rating</w:t>
            </w:r>
          </w:p>
        </w:tc>
        <w:tc>
          <w:tcPr>
            <w:tcW w:type="dxa" w:w="2880"/>
            <w:vAlign w:val="top"/>
          </w:tcPr>
          <w:p>
            <w:pPr>
              <w:spacing w:after="0"/>
            </w:pPr>
            <w:r/>
            <w:r>
              <w:rPr>
                <w:b w:val="0"/>
                <w:sz w:val="16"/>
              </w:rPr>
              <w:t>A</w:t>
            </w:r>
          </w:p>
        </w:tc>
      </w:tr>
      <w:tr>
        <w:tc>
          <w:tcPr>
            <w:tcW w:type="dxa" w:w="4320"/>
            <w:vAlign w:val="top"/>
          </w:tcPr>
          <w:p>
            <w:pPr>
              <w:spacing w:after="0"/>
            </w:pPr>
            <w:r/>
            <w:r>
              <w:rPr>
                <w:b w:val="0"/>
                <w:sz w:val="16"/>
              </w:rPr>
              <w:t>Security Rating</w:t>
            </w:r>
          </w:p>
        </w:tc>
        <w:tc>
          <w:tcPr>
            <w:tcW w:type="dxa" w:w="2880"/>
            <w:vAlign w:val="top"/>
          </w:tcPr>
          <w:p>
            <w:pPr>
              <w:spacing w:after="0"/>
            </w:pPr>
            <w:r/>
            <w:r>
              <w:rPr>
                <w:b w:val="0"/>
                <w:sz w:val="16"/>
              </w:rPr>
              <w:t>A</w:t>
            </w:r>
          </w:p>
        </w:tc>
      </w:tr>
    </w:tbl>
    <w:p/>
    <w:p>
      <w:pPr>
        <w:spacing w:after="120" w:line="259" w:lineRule="auto"/>
        <w:jc w:val="both"/>
      </w:pPr>
      <w:r>
        <w:rPr>
          <w:color w:val="172033"/>
          <w:sz w:val="21"/>
        </w:rPr>
        <w:t>La cobertura aparece en 0.0 % porque el análisis estático se aplica sobre el repositorio de pruebas y no sobre el producto Cnarios, el cual se evalúa como caja negra. Como mejora futura se recomienda agregar pruebas unitarias sobre utilidades internas del framework de automatización para elevar esta métrica.</w:t>
      </w:r>
    </w:p>
    <w:p>
      <w:pPr>
        <w:pStyle w:val="Heading1"/>
      </w:pPr>
      <w:r>
        <w:rPr>
          <w:color w:val="123C69"/>
        </w:rPr>
        <w:t>11. Reflexión y lecciones aprendidas</w:t>
      </w:r>
    </w:p>
    <w:p>
      <w:pPr>
        <w:spacing w:after="120" w:line="259" w:lineRule="auto"/>
        <w:jc w:val="both"/>
      </w:pPr>
      <w:r>
        <w:rPr>
          <w:color w:val="172033"/>
          <w:sz w:val="21"/>
        </w:rPr>
        <w:t>El proyecto permitió comprender que el aseguramiento de calidad no se limita a verificar que una página cargue. Fue necesario planificar, diseñar casos, automatizar escenarios, ejecutar pruebas manuales, medir rendimiento, evaluar seguridad, registrar defectos y analizar métricas.</w:t>
      </w:r>
    </w:p>
    <w:p>
      <w:pPr>
        <w:spacing w:after="120" w:line="259" w:lineRule="auto"/>
        <w:jc w:val="both"/>
      </w:pPr>
      <w:r>
        <w:rPr>
          <w:color w:val="172033"/>
          <w:sz w:val="21"/>
        </w:rPr>
        <w:t>Uno de los principales retos fue automatizar un sitio externo sin tener control sobre su código fuente. Para reducir la fragilidad se utilizaron selectores basados en roles, textos visibles y una estructura Page Object Model. Otro reto fue la seguridad, debido a que el análisis debía ser responsable y no invasivo.</w:t>
      </w:r>
    </w:p>
    <w:p>
      <w:pPr>
        <w:spacing w:after="120" w:line="259" w:lineRule="auto"/>
        <w:jc w:val="both"/>
      </w:pPr>
      <w:r>
        <w:rPr>
          <w:color w:val="172033"/>
          <w:sz w:val="21"/>
        </w:rPr>
        <w:t>Como aprendizaje principal se destaca la importancia de respaldar cada afirmación con evidencia. Las capturas, logs, reportes HTML, JSON y dashboards permiten demostrar que las pruebas fueron ejecutadas realmente. Para futuros proyectos se recomienda ampliar cobertura, incluir pruebas móviles, mejorar métricas de cobertura y ejecutar escaneos de seguridad más profundos con autorización del propietario.</w:t>
      </w:r>
    </w:p>
    <w:p>
      <w:pPr>
        <w:pStyle w:val="Heading1"/>
      </w:pPr>
      <w:r>
        <w:rPr>
          <w:color w:val="123C69"/>
        </w:rPr>
        <w:t>12. Conclusiones</w:t>
      </w:r>
    </w:p>
    <w:p>
      <w:pPr>
        <w:spacing w:after="120" w:line="259" w:lineRule="auto"/>
        <w:jc w:val="both"/>
      </w:pPr>
      <w:r>
        <w:rPr>
          <w:color w:val="172033"/>
          <w:sz w:val="21"/>
        </w:rPr>
        <w:t>El proceso de aseguramiento de calidad aplicado sobre Cnarios permitió validar funcionalidades principales mediante pruebas manuales y automatizadas, evaluar atributos no funcionales como rendimiento, estabilidad y seguridad, y registrar defectos con evidencia verificable.</w:t>
      </w:r>
    </w:p>
    <w:p>
      <w:pPr>
        <w:spacing w:after="120" w:line="259" w:lineRule="auto"/>
        <w:jc w:val="both"/>
      </w:pPr>
      <w:r>
        <w:rPr>
          <w:color w:val="172033"/>
          <w:sz w:val="21"/>
        </w:rPr>
        <w:t>Los resultados obtenidos muestran una ejecución satisfactoria de los casos funcionales y automatizados, tiempos de respuesta dentro del umbral definido, y hallazgos de seguridad relacionados principalmente con configuración defensiva. La entrega demuestra que el aseguramiento de calidad requiere planificación, trazabilidad, automatización, análisis técnico y documentación clara, no solo ejecutar herramientas sin interpretar sus resultados.</w:t>
      </w:r>
    </w:p>
    <w:p>
      <w:pPr>
        <w:spacing w:after="120" w:line="259" w:lineRule="auto"/>
        <w:jc w:val="both"/>
      </w:pPr>
      <w:r>
        <w:rPr>
          <w:color w:val="172033"/>
          <w:sz w:val="21"/>
        </w:rPr>
        <w:t>Como recomendación general, se propone mejorar las cabeceras de seguridad, corregir enlaces de correo, agregar mensajes visibles en formularios interactivos, mantener una canonical única por ruta y extender la automatización a pruebas móviles y pruebas de accesibilidad.</w:t>
      </w:r>
    </w:p>
    <w:p>
      <w:pPr>
        <w:pStyle w:val="Heading1"/>
      </w:pPr>
      <w:r>
        <w:rPr>
          <w:color w:val="123C69"/>
        </w:rPr>
        <w:t>13. Anexos</w:t>
      </w:r>
    </w:p>
    <w:tbl>
      <w:tblPr>
        <w:tblStyle w:val="TableGrid"/>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00"/>
        <w:gridCol w:w="3400"/>
        <w:gridCol w:w="3400"/>
      </w:tblGrid>
      <w:tr>
        <w:trPr>
          <w:tblHeader w:val="true"/>
        </w:trPr>
        <w:tc>
          <w:tcPr>
            <w:tcW w:type="dxa" w:w="1008"/>
            <w:vAlign w:val="top"/>
            <w:shd w:fill="EAF3F8"/>
          </w:tcPr>
          <w:p>
            <w:pPr>
              <w:spacing w:after="0"/>
            </w:pPr>
            <w:r/>
            <w:r>
              <w:rPr>
                <w:b/>
                <w:color w:val="123C69"/>
                <w:sz w:val="16"/>
              </w:rPr>
              <w:t>Anexo</w:t>
            </w:r>
          </w:p>
        </w:tc>
        <w:tc>
          <w:tcPr>
            <w:tcW w:type="dxa" w:w="3168"/>
            <w:vAlign w:val="top"/>
            <w:shd w:fill="EAF3F8"/>
          </w:tcPr>
          <w:p>
            <w:pPr>
              <w:spacing w:after="0"/>
            </w:pPr>
            <w:r/>
            <w:r>
              <w:rPr>
                <w:b/>
                <w:color w:val="123C69"/>
                <w:sz w:val="16"/>
              </w:rPr>
              <w:t>Elemento</w:t>
            </w:r>
          </w:p>
        </w:tc>
        <w:tc>
          <w:tcPr>
            <w:tcW w:type="dxa" w:w="5040"/>
            <w:vAlign w:val="top"/>
            <w:shd w:fill="EAF3F8"/>
          </w:tcPr>
          <w:p>
            <w:pPr>
              <w:spacing w:after="0"/>
            </w:pPr>
            <w:r/>
            <w:r>
              <w:rPr>
                <w:b/>
                <w:color w:val="123C69"/>
                <w:sz w:val="16"/>
              </w:rPr>
              <w:t>Ruta o enlace</w:t>
            </w:r>
          </w:p>
        </w:tc>
      </w:tr>
      <w:tr>
        <w:tc>
          <w:tcPr>
            <w:tcW w:type="dxa" w:w="1008"/>
            <w:vAlign w:val="top"/>
          </w:tcPr>
          <w:p>
            <w:pPr>
              <w:spacing w:after="0"/>
            </w:pPr>
            <w:r/>
            <w:r>
              <w:rPr>
                <w:b w:val="0"/>
                <w:sz w:val="16"/>
              </w:rPr>
              <w:t>A</w:t>
            </w:r>
          </w:p>
        </w:tc>
        <w:tc>
          <w:tcPr>
            <w:tcW w:type="dxa" w:w="3168"/>
            <w:vAlign w:val="top"/>
          </w:tcPr>
          <w:p>
            <w:pPr>
              <w:spacing w:after="0"/>
            </w:pPr>
            <w:r/>
            <w:r>
              <w:rPr>
                <w:b w:val="0"/>
                <w:sz w:val="16"/>
              </w:rPr>
              <w:t>Repositorio GitHub</w:t>
            </w:r>
          </w:p>
        </w:tc>
        <w:tc>
          <w:tcPr>
            <w:tcW w:type="dxa" w:w="5040"/>
            <w:vAlign w:val="top"/>
          </w:tcPr>
          <w:p>
            <w:pPr>
              <w:spacing w:after="0"/>
            </w:pPr>
            <w:r/>
            <w:r>
              <w:rPr>
                <w:b w:val="0"/>
                <w:sz w:val="16"/>
              </w:rPr>
              <w:t>https://github.com/ziuvar/PROYECTO-FINAL-ASEGURAMIENTO.git</w:t>
            </w:r>
          </w:p>
        </w:tc>
      </w:tr>
      <w:tr>
        <w:tc>
          <w:tcPr>
            <w:tcW w:type="dxa" w:w="1008"/>
            <w:vAlign w:val="top"/>
          </w:tcPr>
          <w:p>
            <w:pPr>
              <w:spacing w:after="0"/>
            </w:pPr>
            <w:r/>
            <w:r>
              <w:rPr>
                <w:b w:val="0"/>
                <w:sz w:val="16"/>
              </w:rPr>
              <w:t>B</w:t>
            </w:r>
          </w:p>
        </w:tc>
        <w:tc>
          <w:tcPr>
            <w:tcW w:type="dxa" w:w="3168"/>
            <w:vAlign w:val="top"/>
          </w:tcPr>
          <w:p>
            <w:pPr>
              <w:spacing w:after="0"/>
            </w:pPr>
            <w:r/>
            <w:r>
              <w:rPr>
                <w:b w:val="0"/>
                <w:sz w:val="16"/>
              </w:rPr>
              <w:t>Casos de prueba</w:t>
            </w:r>
          </w:p>
        </w:tc>
        <w:tc>
          <w:tcPr>
            <w:tcW w:type="dxa" w:w="5040"/>
            <w:vAlign w:val="top"/>
          </w:tcPr>
          <w:p>
            <w:pPr>
              <w:spacing w:after="0"/>
            </w:pPr>
            <w:r/>
            <w:r>
              <w:rPr>
                <w:b w:val="0"/>
                <w:sz w:val="16"/>
              </w:rPr>
              <w:t>docs/casos_prueba.md</w:t>
            </w:r>
          </w:p>
        </w:tc>
      </w:tr>
      <w:tr>
        <w:tc>
          <w:tcPr>
            <w:tcW w:type="dxa" w:w="1008"/>
            <w:vAlign w:val="top"/>
          </w:tcPr>
          <w:p>
            <w:pPr>
              <w:spacing w:after="0"/>
            </w:pPr>
            <w:r/>
            <w:r>
              <w:rPr>
                <w:b w:val="0"/>
                <w:sz w:val="16"/>
              </w:rPr>
              <w:t>C</w:t>
            </w:r>
          </w:p>
        </w:tc>
        <w:tc>
          <w:tcPr>
            <w:tcW w:type="dxa" w:w="3168"/>
            <w:vAlign w:val="top"/>
          </w:tcPr>
          <w:p>
            <w:pPr>
              <w:spacing w:after="0"/>
            </w:pPr>
            <w:r/>
            <w:r>
              <w:rPr>
                <w:b w:val="0"/>
                <w:sz w:val="16"/>
              </w:rPr>
              <w:t>Defectos</w:t>
            </w:r>
          </w:p>
        </w:tc>
        <w:tc>
          <w:tcPr>
            <w:tcW w:type="dxa" w:w="5040"/>
            <w:vAlign w:val="top"/>
          </w:tcPr>
          <w:p>
            <w:pPr>
              <w:spacing w:after="0"/>
            </w:pPr>
            <w:r/>
            <w:r>
              <w:rPr>
                <w:b w:val="0"/>
                <w:sz w:val="16"/>
              </w:rPr>
              <w:t>docs/defectos.md</w:t>
            </w:r>
          </w:p>
        </w:tc>
      </w:tr>
      <w:tr>
        <w:tc>
          <w:tcPr>
            <w:tcW w:type="dxa" w:w="1008"/>
            <w:vAlign w:val="top"/>
          </w:tcPr>
          <w:p>
            <w:pPr>
              <w:spacing w:after="0"/>
            </w:pPr>
            <w:r/>
            <w:r>
              <w:rPr>
                <w:b w:val="0"/>
                <w:sz w:val="16"/>
              </w:rPr>
              <w:t>D</w:t>
            </w:r>
          </w:p>
        </w:tc>
        <w:tc>
          <w:tcPr>
            <w:tcW w:type="dxa" w:w="3168"/>
            <w:vAlign w:val="top"/>
          </w:tcPr>
          <w:p>
            <w:pPr>
              <w:spacing w:after="0"/>
            </w:pPr>
            <w:r/>
            <w:r>
              <w:rPr>
                <w:b w:val="0"/>
                <w:sz w:val="16"/>
              </w:rPr>
              <w:t>Métricas</w:t>
            </w:r>
          </w:p>
        </w:tc>
        <w:tc>
          <w:tcPr>
            <w:tcW w:type="dxa" w:w="5040"/>
            <w:vAlign w:val="top"/>
          </w:tcPr>
          <w:p>
            <w:pPr>
              <w:spacing w:after="0"/>
            </w:pPr>
            <w:r/>
            <w:r>
              <w:rPr>
                <w:b w:val="0"/>
                <w:sz w:val="16"/>
              </w:rPr>
              <w:t>docs/metricas.md</w:t>
            </w:r>
          </w:p>
        </w:tc>
      </w:tr>
      <w:tr>
        <w:tc>
          <w:tcPr>
            <w:tcW w:type="dxa" w:w="1008"/>
            <w:vAlign w:val="top"/>
          </w:tcPr>
          <w:p>
            <w:pPr>
              <w:spacing w:after="0"/>
            </w:pPr>
            <w:r/>
            <w:r>
              <w:rPr>
                <w:b w:val="0"/>
                <w:sz w:val="16"/>
              </w:rPr>
              <w:t>E</w:t>
            </w:r>
          </w:p>
        </w:tc>
        <w:tc>
          <w:tcPr>
            <w:tcW w:type="dxa" w:w="3168"/>
            <w:vAlign w:val="top"/>
          </w:tcPr>
          <w:p>
            <w:pPr>
              <w:spacing w:after="0"/>
            </w:pPr>
            <w:r/>
            <w:r>
              <w:rPr>
                <w:b w:val="0"/>
                <w:sz w:val="16"/>
              </w:rPr>
              <w:t>Resumen de ejecución</w:t>
            </w:r>
          </w:p>
        </w:tc>
        <w:tc>
          <w:tcPr>
            <w:tcW w:type="dxa" w:w="5040"/>
            <w:vAlign w:val="top"/>
          </w:tcPr>
          <w:p>
            <w:pPr>
              <w:spacing w:after="0"/>
            </w:pPr>
            <w:r/>
            <w:r>
              <w:rPr>
                <w:b w:val="0"/>
                <w:sz w:val="16"/>
              </w:rPr>
              <w:t>docs/resumen_ejecucion.md</w:t>
            </w:r>
          </w:p>
        </w:tc>
      </w:tr>
      <w:tr>
        <w:tc>
          <w:tcPr>
            <w:tcW w:type="dxa" w:w="1008"/>
            <w:vAlign w:val="top"/>
          </w:tcPr>
          <w:p>
            <w:pPr>
              <w:spacing w:after="0"/>
            </w:pPr>
            <w:r/>
            <w:r>
              <w:rPr>
                <w:b w:val="0"/>
                <w:sz w:val="16"/>
              </w:rPr>
              <w:t>F</w:t>
            </w:r>
          </w:p>
        </w:tc>
        <w:tc>
          <w:tcPr>
            <w:tcW w:type="dxa" w:w="3168"/>
            <w:vAlign w:val="top"/>
          </w:tcPr>
          <w:p>
            <w:pPr>
              <w:spacing w:after="0"/>
            </w:pPr>
            <w:r/>
            <w:r>
              <w:rPr>
                <w:b w:val="0"/>
                <w:sz w:val="16"/>
              </w:rPr>
              <w:t>Reporte Playwright</w:t>
            </w:r>
          </w:p>
        </w:tc>
        <w:tc>
          <w:tcPr>
            <w:tcW w:type="dxa" w:w="5040"/>
            <w:vAlign w:val="top"/>
          </w:tcPr>
          <w:p>
            <w:pPr>
              <w:spacing w:after="0"/>
            </w:pPr>
            <w:r/>
            <w:r>
              <w:rPr>
                <w:b w:val="0"/>
                <w:sz w:val="16"/>
              </w:rPr>
              <w:t>evidencias/playwright-report/index.html</w:t>
            </w:r>
          </w:p>
        </w:tc>
      </w:tr>
      <w:tr>
        <w:tc>
          <w:tcPr>
            <w:tcW w:type="dxa" w:w="1008"/>
            <w:vAlign w:val="top"/>
          </w:tcPr>
          <w:p>
            <w:pPr>
              <w:spacing w:after="0"/>
            </w:pPr>
            <w:r/>
            <w:r>
              <w:rPr>
                <w:b w:val="0"/>
                <w:sz w:val="16"/>
              </w:rPr>
              <w:t>G</w:t>
            </w:r>
          </w:p>
        </w:tc>
        <w:tc>
          <w:tcPr>
            <w:tcW w:type="dxa" w:w="3168"/>
            <w:vAlign w:val="top"/>
          </w:tcPr>
          <w:p>
            <w:pPr>
              <w:spacing w:after="0"/>
            </w:pPr>
            <w:r/>
            <w:r>
              <w:rPr>
                <w:b w:val="0"/>
                <w:sz w:val="16"/>
              </w:rPr>
              <w:t>Resultados Playwright</w:t>
            </w:r>
          </w:p>
        </w:tc>
        <w:tc>
          <w:tcPr>
            <w:tcW w:type="dxa" w:w="5040"/>
            <w:vAlign w:val="top"/>
          </w:tcPr>
          <w:p>
            <w:pPr>
              <w:spacing w:after="0"/>
            </w:pPr>
            <w:r/>
            <w:r>
              <w:rPr>
                <w:b w:val="0"/>
                <w:sz w:val="16"/>
              </w:rPr>
              <w:t>evidencias/playwright-results/results.json</w:t>
            </w:r>
          </w:p>
        </w:tc>
      </w:tr>
      <w:tr>
        <w:tc>
          <w:tcPr>
            <w:tcW w:type="dxa" w:w="1008"/>
            <w:vAlign w:val="top"/>
          </w:tcPr>
          <w:p>
            <w:pPr>
              <w:spacing w:after="0"/>
            </w:pPr>
            <w:r/>
            <w:r>
              <w:rPr>
                <w:b w:val="0"/>
                <w:sz w:val="16"/>
              </w:rPr>
              <w:t>H</w:t>
            </w:r>
          </w:p>
        </w:tc>
        <w:tc>
          <w:tcPr>
            <w:tcW w:type="dxa" w:w="3168"/>
            <w:vAlign w:val="top"/>
          </w:tcPr>
          <w:p>
            <w:pPr>
              <w:spacing w:after="0"/>
            </w:pPr>
            <w:r/>
            <w:r>
              <w:rPr>
                <w:b w:val="0"/>
                <w:sz w:val="16"/>
              </w:rPr>
              <w:t>Reporte k6</w:t>
            </w:r>
          </w:p>
        </w:tc>
        <w:tc>
          <w:tcPr>
            <w:tcW w:type="dxa" w:w="5040"/>
            <w:vAlign w:val="top"/>
          </w:tcPr>
          <w:p>
            <w:pPr>
              <w:spacing w:after="0"/>
            </w:pPr>
            <w:r/>
            <w:r>
              <w:rPr>
                <w:b w:val="0"/>
                <w:sz w:val="16"/>
              </w:rPr>
              <w:t>evidencias/performance/k6-summary.json</w:t>
            </w:r>
          </w:p>
        </w:tc>
      </w:tr>
      <w:tr>
        <w:tc>
          <w:tcPr>
            <w:tcW w:type="dxa" w:w="1008"/>
            <w:vAlign w:val="top"/>
          </w:tcPr>
          <w:p>
            <w:pPr>
              <w:spacing w:after="0"/>
            </w:pPr>
            <w:r/>
            <w:r>
              <w:rPr>
                <w:b w:val="0"/>
                <w:sz w:val="16"/>
              </w:rPr>
              <w:t>I</w:t>
            </w:r>
          </w:p>
        </w:tc>
        <w:tc>
          <w:tcPr>
            <w:tcW w:type="dxa" w:w="3168"/>
            <w:vAlign w:val="top"/>
          </w:tcPr>
          <w:p>
            <w:pPr>
              <w:spacing w:after="0"/>
            </w:pPr>
            <w:r/>
            <w:r>
              <w:rPr>
                <w:b w:val="0"/>
                <w:sz w:val="16"/>
              </w:rPr>
              <w:t>Reporte OWASP ZAP</w:t>
            </w:r>
          </w:p>
        </w:tc>
        <w:tc>
          <w:tcPr>
            <w:tcW w:type="dxa" w:w="5040"/>
            <w:vAlign w:val="top"/>
          </w:tcPr>
          <w:p>
            <w:pPr>
              <w:spacing w:after="0"/>
            </w:pPr>
            <w:r/>
            <w:r>
              <w:rPr>
                <w:b w:val="0"/>
                <w:sz w:val="16"/>
              </w:rPr>
              <w:t>evidencias/security/zap-baseline-report.html</w:t>
            </w:r>
          </w:p>
        </w:tc>
      </w:tr>
      <w:tr>
        <w:tc>
          <w:tcPr>
            <w:tcW w:type="dxa" w:w="1008"/>
            <w:vAlign w:val="top"/>
          </w:tcPr>
          <w:p>
            <w:pPr>
              <w:spacing w:after="0"/>
            </w:pPr>
            <w:r/>
            <w:r>
              <w:rPr>
                <w:b w:val="0"/>
                <w:sz w:val="16"/>
              </w:rPr>
              <w:t>J</w:t>
            </w:r>
          </w:p>
        </w:tc>
        <w:tc>
          <w:tcPr>
            <w:tcW w:type="dxa" w:w="3168"/>
            <w:vAlign w:val="top"/>
          </w:tcPr>
          <w:p>
            <w:pPr>
              <w:spacing w:after="0"/>
            </w:pPr>
            <w:r/>
            <w:r>
              <w:rPr>
                <w:b w:val="0"/>
                <w:sz w:val="16"/>
              </w:rPr>
              <w:t>Reporte ZAP JSON</w:t>
            </w:r>
          </w:p>
        </w:tc>
        <w:tc>
          <w:tcPr>
            <w:tcW w:type="dxa" w:w="5040"/>
            <w:vAlign w:val="top"/>
          </w:tcPr>
          <w:p>
            <w:pPr>
              <w:spacing w:after="0"/>
            </w:pPr>
            <w:r/>
            <w:r>
              <w:rPr>
                <w:b w:val="0"/>
                <w:sz w:val="16"/>
              </w:rPr>
              <w:t>evidencias/security/zap-baseline-report.json</w:t>
            </w:r>
          </w:p>
        </w:tc>
      </w:tr>
      <w:tr>
        <w:tc>
          <w:tcPr>
            <w:tcW w:type="dxa" w:w="1008"/>
            <w:vAlign w:val="top"/>
          </w:tcPr>
          <w:p>
            <w:pPr>
              <w:spacing w:after="0"/>
            </w:pPr>
            <w:r/>
            <w:r>
              <w:rPr>
                <w:b w:val="0"/>
                <w:sz w:val="16"/>
              </w:rPr>
              <w:t>K</w:t>
            </w:r>
          </w:p>
        </w:tc>
        <w:tc>
          <w:tcPr>
            <w:tcW w:type="dxa" w:w="3168"/>
            <w:vAlign w:val="top"/>
          </w:tcPr>
          <w:p>
            <w:pPr>
              <w:spacing w:after="0"/>
            </w:pPr>
            <w:r/>
            <w:r>
              <w:rPr>
                <w:b w:val="0"/>
                <w:sz w:val="16"/>
              </w:rPr>
              <w:t>Dashboard SonarQube</w:t>
            </w:r>
          </w:p>
        </w:tc>
        <w:tc>
          <w:tcPr>
            <w:tcW w:type="dxa" w:w="5040"/>
            <w:vAlign w:val="top"/>
          </w:tcPr>
          <w:p>
            <w:pPr>
              <w:spacing w:after="0"/>
            </w:pPr>
            <w:r/>
            <w:r>
              <w:rPr>
                <w:b w:val="0"/>
                <w:sz w:val="16"/>
              </w:rPr>
              <w:t>evidencias/sonarqube/sonarqube-dashboard.png</w:t>
            </w:r>
          </w:p>
        </w:tc>
      </w:tr>
      <w:tr>
        <w:tc>
          <w:tcPr>
            <w:tcW w:type="dxa" w:w="1008"/>
            <w:vAlign w:val="top"/>
          </w:tcPr>
          <w:p>
            <w:pPr>
              <w:spacing w:after="0"/>
            </w:pPr>
            <w:r/>
            <w:r>
              <w:rPr>
                <w:b w:val="0"/>
                <w:sz w:val="16"/>
              </w:rPr>
              <w:t>L</w:t>
            </w:r>
          </w:p>
        </w:tc>
        <w:tc>
          <w:tcPr>
            <w:tcW w:type="dxa" w:w="3168"/>
            <w:vAlign w:val="top"/>
          </w:tcPr>
          <w:p>
            <w:pPr>
              <w:spacing w:after="0"/>
            </w:pPr>
            <w:r/>
            <w:r>
              <w:rPr>
                <w:b w:val="0"/>
                <w:sz w:val="16"/>
              </w:rPr>
              <w:t>Configuración Playwright</w:t>
            </w:r>
          </w:p>
        </w:tc>
        <w:tc>
          <w:tcPr>
            <w:tcW w:type="dxa" w:w="5040"/>
            <w:vAlign w:val="top"/>
          </w:tcPr>
          <w:p>
            <w:pPr>
              <w:spacing w:after="0"/>
            </w:pPr>
            <w:r/>
            <w:r>
              <w:rPr>
                <w:b w:val="0"/>
                <w:sz w:val="16"/>
              </w:rPr>
              <w:t>playwright.config.ts</w:t>
            </w:r>
          </w:p>
        </w:tc>
      </w:tr>
      <w:tr>
        <w:tc>
          <w:tcPr>
            <w:tcW w:type="dxa" w:w="1008"/>
            <w:vAlign w:val="top"/>
          </w:tcPr>
          <w:p>
            <w:pPr>
              <w:spacing w:after="0"/>
            </w:pPr>
            <w:r/>
            <w:r>
              <w:rPr>
                <w:b w:val="0"/>
                <w:sz w:val="16"/>
              </w:rPr>
              <w:t>M</w:t>
            </w:r>
          </w:p>
        </w:tc>
        <w:tc>
          <w:tcPr>
            <w:tcW w:type="dxa" w:w="3168"/>
            <w:vAlign w:val="top"/>
          </w:tcPr>
          <w:p>
            <w:pPr>
              <w:spacing w:after="0"/>
            </w:pPr>
            <w:r/>
            <w:r>
              <w:rPr>
                <w:b w:val="0"/>
                <w:sz w:val="16"/>
              </w:rPr>
              <w:t>Configuración SonarQube</w:t>
            </w:r>
          </w:p>
        </w:tc>
        <w:tc>
          <w:tcPr>
            <w:tcW w:type="dxa" w:w="5040"/>
            <w:vAlign w:val="top"/>
          </w:tcPr>
          <w:p>
            <w:pPr>
              <w:spacing w:after="0"/>
            </w:pPr>
            <w:r/>
            <w:r>
              <w:rPr>
                <w:b w:val="0"/>
                <w:sz w:val="16"/>
              </w:rPr>
              <w:t>sonar-project.properties</w:t>
            </w:r>
          </w:p>
        </w:tc>
      </w:tr>
    </w:tbl>
    <w:p/>
    <w:p>
      <w:pPr>
        <w:spacing w:before="80" w:after="160"/>
        <w:ind w:left="360" w:right="360"/>
        <w:shd w:fill="EAF7F6"/>
      </w:pPr>
      <w:r>
        <w:rPr>
          <w:color w:val="324A5F"/>
          <w:sz w:val="19"/>
        </w:rPr>
        <w:t>Nota: Las evidencias visuales fueron insertadas dentro del informe y también se conservan como recursos de apoyo en la carpeta evidencias del repositorio.</w:t>
      </w:r>
    </w:p>
    <w:sectPr w:rsidR="00FC693F" w:rsidRPr="0006063C" w:rsidSect="00034616">
      <w:headerReference w:type="default" r:id="rId9"/>
      <w:footerReference w:type="default" r:id="rId10"/>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Proyecto Final - Cnarios - ITM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Ingeniería de Sistemas - Aseguramiento de la Calidad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23C6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B4F6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B4F6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Aseguramiento de la Calidad de Software - Pruebas Caso Final</dc:title>
  <dc:subject>Informe final de pruebas sobre Cnarios</dc:subject>
  <dc:creator>Felipe Londoño García, Juan Pablo Gómez Ramírez, Ziuvar Ruiz Álvarez</dc:creator>
  <cp:keywords/>
  <dc:description>Documento organizado y completado para entrega académica.</dc:description>
  <cp:lastModifiedBy/>
  <cp:revision>1</cp:revision>
  <dcterms:created xsi:type="dcterms:W3CDTF">2013-12-23T23:15:00Z</dcterms:created>
  <dcterms:modified xsi:type="dcterms:W3CDTF">2013-12-23T23:15:00Z</dcterms:modified>
  <cp:category/>
</cp:coreProperties>
</file>