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360" w:lineRule="auto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zh-CN" w:bidi="ar-SA"/>
        </w:rPr>
        <w:t>投资银行事业部</w:t>
      </w:r>
      <w:bookmarkStart w:id="0" w:name="_GoBack"/>
      <w:bookmarkEnd w:id="0"/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  <w:t>一、单项选择题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1、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根据《证券发行上市保荐业务管理办法》，证券公司取得保荐业务资格，保荐代表人最低数量要求为（B）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A.2名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B.4名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C.5名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D.10名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2、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《证券公司投资银行类业务内部控制指引》规定，投行从业人员业务奖金递延支付年限原则上不少于（C）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A.1年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B.2年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C.3年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D.5年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3、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根据首创证券上市公司并购重组独立财务顾问业务指引，存在下列哪种情形，公司不得担任本次交易独立财务顾问（C）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A.前3年度为上市公司提供普通咨询服务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B.公司持有上市公司3%流通股份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C.近12个月内为交易标的提供融资服务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D.项目协办人在校期间曾在上市公司实习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4、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依据首创证券退市公司进入退市板块挂牌转让业务指引，退市公司股份挂牌转让前，投资者必须完成的前置手续是（B）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A.开通创业板交易权限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B.办理股份确权登记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C.签署融资融券风险揭示书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D.重新完成投资者风险承受能力测评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5、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《证券公司投资银行类业务内部控制指引》规定的投行三道防线，不包含以下哪个部门（D）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A.投资银行业务部门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B.质量控制部（QC）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C.内核部门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D.综合行政部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6、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根据《证券发行上市保荐业务管理办法》，保荐机构与发行人签署保荐协议后，应当在（B）个工作日内向发行人所在地证监局备案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A.3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B.5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C.7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D.10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7、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根据退市板块交易规则及公司退市板块挂牌转让业务指引，退市板块股票日常涨跌幅限制为（B）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A.±3%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B.±5%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C.±10%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D.±20%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8、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投行项目经质控审核未通过的，正确处理流程为（B）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A.直接提交内核委员会审议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B.补充完善工作底稿后重新提交质控验收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C.跳过质控环节直接申报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D.仅项目负责人签字即可上报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9、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根据首创证券并购重组独立财务顾问业务指引，重大资产重组持续督导期内，上市公司披露年度报告后，财务顾问需在（B）日内出具持续督导意见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A.10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B.15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C.20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D.30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10、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根据《证券发行上市保荐业务管理办法》，保荐机构开展上市辅导工作，辅导对象不包括（D）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A.发行人董事、监事、高级管理人员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B.持有公司 5% 以上股份股东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C.实际控制人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D.二级市场普通自然人投资者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  <w:t>二、多项选择题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1、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根据《证券公司投资银行类业务内部控制指引》，适用该指引的投资银行类业务包含（ABCD）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A.证券承销与保荐业务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B.上市公司并购重组财务顾问业务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C.公司债券、资产证券化业务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D.全国股转系统挂牌推荐业务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2、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根据首创证券退市公司进入退市板块挂牌转让业务指引，投资者开通退市板块买入权限需满足的条件有（ABC）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A.具备 2 年以上证券交易经验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B.开通权限前 20 个交易日日均证券类资产不低于 50 万元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C.不存在证券市场重大失信记录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D.必须本人临柜现场办理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3、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《证券发行上市保荐业务管理办法》规定保荐机构法定核心职责包括（ABCD）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A.开展全面尽职调查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B.组织实施上市辅导工作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C.履行上市后持续督导义务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D.出具保荐文件、督促发行人规范信息披露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4、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根据首创证券上市公司并购重组独立财务顾问业务指引，独立财务顾问需出具专项核查意见的事项包含（ABCD）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A.交易对方主体资格合规性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B.标的资产交易定价公允性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C.业绩补偿承诺可行性与履约保障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D.管理层收购相关资金来源合规性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5、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投行内控三道防线全流程管控工作主要包括（ABCD）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A.项目立项审核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B.尽职调查底稿质控问核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C.内核委员会独立审议</w:t>
      </w:r>
    </w:p>
    <w:p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D.存续期项目常态化风险排查</w:t>
      </w:r>
      <w:r>
        <w:br w:type="textWrapping"/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/>
          <w:bCs/>
          <w:color w:val="auto"/>
          <w:sz w:val="30"/>
          <w:szCs w:val="30"/>
          <w:lang w:val="en-US" w:eastAsia="en-US" w:bidi="ar-SA"/>
        </w:rPr>
        <w:t>三、判断题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1、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《证券公司投资银行类业务内部控制指引》要求内核机构可直接隶属于投资银行业务条线，无需保持独立。（错）</w:t>
      </w: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numPr>
          <w:ilvl w:val="0"/>
          <w:numId w:val="7"/>
        </w:num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上市公司退市摘牌后，所持股份自动转入投资者 A 股证券账户，无需办理确权即可参与退市板块交易。（错）</w:t>
      </w:r>
    </w:p>
    <w:p>
      <w:pPr>
        <w:numPr>
          <w:ilvl w:val="0"/>
          <w:numId w:val="0"/>
        </w:numPr>
        <w:spacing w:after="200" w:line="276" w:lineRule="auto"/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保荐代表人发生变更的，保荐机构无需向监管机构履行报告程序。（错）</w:t>
      </w:r>
    </w:p>
    <w:p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根据首创证券并购重组独立财务顾问业务指引，本公司担任上市公司独立财务顾问期间，不得同时为本次交易对方提供财务顾问服务。（对）</w:t>
      </w:r>
    </w:p>
    <w:p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</w:p>
    <w:p>
      <w:pP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zh-CN" w:bidi="ar-SA"/>
        </w:rPr>
        <w:t>5、</w:t>
      </w:r>
      <w:r>
        <w:rPr>
          <w:rFonts w:hint="eastAsia" w:ascii="仿宋" w:hAnsi="仿宋" w:eastAsia="仿宋" w:cs="仿宋"/>
          <w:b w:val="0"/>
          <w:bCs w:val="0"/>
          <w:color w:val="auto"/>
          <w:sz w:val="30"/>
          <w:szCs w:val="30"/>
          <w:lang w:val="en-US" w:eastAsia="en-US" w:bidi="ar-SA"/>
        </w:rPr>
        <w:t>《证券公司投资银行类业务内部控制指引》允许投行项目奖金全部一次性发放，无需递延。（错）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60409020205020404"/>
    <w:charset w:val="00"/>
    <w:family w:val="auto"/>
    <w:pitch w:val="default"/>
    <w:sig w:usb0="00000000" w:usb1="00000000" w:usb2="00000000" w:usb3="00000000" w:csb0="00000093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691B2B"/>
    <w:multiLevelType w:val="singleLevel"/>
    <w:tmpl w:val="91691B2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8C6ACF"/>
    <w:rsid w:val="4AF26BBA"/>
    <w:rsid w:val="6A8D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1177</Words>
  <Characters>1312</Characters>
  <Lines>0</Lines>
  <Paragraphs>0</Paragraphs>
  <TotalTime>12</TotalTime>
  <ScaleCrop>false</ScaleCrop>
  <LinksUpToDate>false</LinksUpToDate>
  <CharactersWithSpaces>1313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wangsa</cp:lastModifiedBy>
  <dcterms:modified xsi:type="dcterms:W3CDTF">2026-09-08T09:24:30Z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eyJoZGlkIjoiNjIzNTYyNjM4MDgxZjU0ZmJiODM1YjY3MWFjNTRhMTQiLCJ1c2VySWQiOiIyMzM0MjY5ODcifQ==</vt:lpwstr>
  </property>
  <property fmtid="{D5CDD505-2E9C-101B-9397-08002B2CF9AE}" pid="3" name="KSOProductBuildVer">
    <vt:lpwstr>2052-11.8.2.11718</vt:lpwstr>
  </property>
  <property fmtid="{D5CDD505-2E9C-101B-9397-08002B2CF9AE}" pid="4" name="ICV">
    <vt:lpwstr>E4A4A3017E6F4B4EB60732935AB560BA_13</vt:lpwstr>
  </property>
</Properties>
</file>