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E805" w14:textId="2A384A9C" w:rsidR="00B036F7" w:rsidRPr="00B036F7" w:rsidRDefault="00B036F7" w:rsidP="00B036F7">
      <w:pPr>
        <w:rPr>
          <w:b/>
          <w:bCs/>
        </w:rPr>
      </w:pPr>
      <w:r w:rsidRPr="00B036F7">
        <w:rPr>
          <w:b/>
          <w:bCs/>
        </w:rPr>
        <w:t>F07</w:t>
      </w:r>
      <w:r>
        <w:rPr>
          <w:b/>
          <w:bCs/>
        </w:rPr>
        <w:t xml:space="preserve"> - </w:t>
      </w:r>
      <w:r w:rsidRPr="00B036F7">
        <w:rPr>
          <w:b/>
          <w:bCs/>
        </w:rPr>
        <w:t>Kubernetes Documentation – Deployments</w:t>
      </w:r>
    </w:p>
    <w:p w14:paraId="1CB0EC4C" w14:textId="77777777" w:rsidR="00B036F7" w:rsidRPr="00B036F7" w:rsidRDefault="00B036F7" w:rsidP="00B036F7">
      <w:pPr>
        <w:rPr>
          <w:b/>
          <w:bCs/>
        </w:rPr>
      </w:pPr>
      <w:r w:rsidRPr="00B036F7">
        <w:rPr>
          <w:b/>
          <w:bCs/>
        </w:rPr>
        <w:pict w14:anchorId="3F81772C">
          <v:rect id="_x0000_i1307" style="width:0;height:1.5pt" o:hralign="center" o:hrstd="t" o:hr="t" fillcolor="#a0a0a0" stroked="f"/>
        </w:pict>
      </w:r>
    </w:p>
    <w:p w14:paraId="4A65E957" w14:textId="77777777" w:rsidR="00B036F7" w:rsidRPr="00B036F7" w:rsidRDefault="00B036F7" w:rsidP="00B036F7">
      <w:pPr>
        <w:rPr>
          <w:b/>
          <w:bCs/>
        </w:rPr>
      </w:pPr>
      <w:r w:rsidRPr="00B036F7">
        <w:rPr>
          <w:b/>
          <w:bCs/>
        </w:rPr>
        <w:t>Summary</w:t>
      </w:r>
    </w:p>
    <w:p w14:paraId="42B57E41" w14:textId="77777777" w:rsidR="00B036F7" w:rsidRPr="00B036F7" w:rsidRDefault="00B036F7" w:rsidP="00B036F7">
      <w:pPr>
        <w:rPr>
          <w:b/>
          <w:bCs/>
        </w:rPr>
      </w:pPr>
      <w:r w:rsidRPr="00B036F7">
        <w:rPr>
          <w:b/>
          <w:bCs/>
        </w:rPr>
        <w:t>Kubernetes Deployments provide a declarative mechanism for managing the lifecycle of containerized applications. Rather than manually creating and maintaining Pods, engineers define the desired state of an application using Deployment objects. Kubernetes continuously monitors the cluster and automatically reconciles the actual state with the desired state by creating, updating, or replacing Pods as necessary.</w:t>
      </w:r>
    </w:p>
    <w:p w14:paraId="47B960AD" w14:textId="77777777" w:rsidR="00B036F7" w:rsidRPr="00B036F7" w:rsidRDefault="00B036F7" w:rsidP="00B036F7">
      <w:pPr>
        <w:rPr>
          <w:b/>
          <w:bCs/>
        </w:rPr>
      </w:pPr>
      <w:r w:rsidRPr="00B036F7">
        <w:rPr>
          <w:b/>
          <w:bCs/>
        </w:rPr>
        <w:t xml:space="preserve">The Deployment controller manages </w:t>
      </w:r>
      <w:proofErr w:type="spellStart"/>
      <w:r w:rsidRPr="00B036F7">
        <w:rPr>
          <w:b/>
          <w:bCs/>
        </w:rPr>
        <w:t>ReplicaSets</w:t>
      </w:r>
      <w:proofErr w:type="spellEnd"/>
      <w:r w:rsidRPr="00B036F7">
        <w:rPr>
          <w:b/>
          <w:bCs/>
        </w:rPr>
        <w:t>, ensuring that the required number of application replicas remains available. It supports rolling updates, allowing new application versions to be deployed gradually without causing service interruptions. If deployment failures occur, Kubernetes enables automated or manual rollback to previous stable versions, reducing downtime and operational risk.</w:t>
      </w:r>
    </w:p>
    <w:p w14:paraId="2DBE9741" w14:textId="77777777" w:rsidR="00B036F7" w:rsidRPr="00B036F7" w:rsidRDefault="00B036F7" w:rsidP="00B036F7">
      <w:pPr>
        <w:rPr>
          <w:b/>
          <w:bCs/>
        </w:rPr>
      </w:pPr>
      <w:r w:rsidRPr="00B036F7">
        <w:rPr>
          <w:b/>
          <w:bCs/>
        </w:rPr>
        <w:t>Deployments also simplify scaling operations by allowing administrators to increase or decrease application replicas dynamically. Combined with Kubernetes self-healing mechanisms, Deployments contribute significantly to application availability, fault tolerance, and operational consistency. These capabilities strongly align with Site Reliability Engineering principles by enabling automation, reducing operational toil, and supporting reliable software delivery.</w:t>
      </w:r>
    </w:p>
    <w:p w14:paraId="03BD5A41" w14:textId="77777777" w:rsidR="00B036F7" w:rsidRPr="00B036F7" w:rsidRDefault="00B036F7" w:rsidP="00B036F7">
      <w:pPr>
        <w:rPr>
          <w:b/>
          <w:bCs/>
        </w:rPr>
      </w:pPr>
      <w:r w:rsidRPr="00B036F7">
        <w:rPr>
          <w:b/>
          <w:bCs/>
        </w:rPr>
        <w:pict w14:anchorId="64C59FDC">
          <v:rect id="_x0000_i1308" style="width:0;height:1.5pt" o:hralign="center" o:hrstd="t" o:hr="t" fillcolor="#a0a0a0" stroked="f"/>
        </w:pict>
      </w:r>
    </w:p>
    <w:p w14:paraId="123C2796" w14:textId="77777777" w:rsidR="00B036F7" w:rsidRPr="00B036F7" w:rsidRDefault="00B036F7" w:rsidP="00B036F7">
      <w:pPr>
        <w:rPr>
          <w:b/>
          <w:bCs/>
        </w:rPr>
      </w:pPr>
      <w:r w:rsidRPr="00B036F7">
        <w:rPr>
          <w:b/>
          <w:bCs/>
        </w:rPr>
        <w:t>Key Findings</w:t>
      </w:r>
    </w:p>
    <w:p w14:paraId="28C77345" w14:textId="77777777" w:rsidR="00B036F7" w:rsidRPr="00B036F7" w:rsidRDefault="00B036F7" w:rsidP="00B036F7">
      <w:pPr>
        <w:numPr>
          <w:ilvl w:val="0"/>
          <w:numId w:val="12"/>
        </w:numPr>
        <w:rPr>
          <w:b/>
          <w:bCs/>
        </w:rPr>
      </w:pPr>
      <w:r w:rsidRPr="00B036F7">
        <w:rPr>
          <w:b/>
          <w:bCs/>
        </w:rPr>
        <w:t>Deployments automate application deployment and lifecycle management.</w:t>
      </w:r>
    </w:p>
    <w:p w14:paraId="069DE660" w14:textId="77777777" w:rsidR="00B036F7" w:rsidRPr="00B036F7" w:rsidRDefault="00B036F7" w:rsidP="00B036F7">
      <w:pPr>
        <w:numPr>
          <w:ilvl w:val="0"/>
          <w:numId w:val="12"/>
        </w:numPr>
        <w:rPr>
          <w:b/>
          <w:bCs/>
        </w:rPr>
      </w:pPr>
      <w:proofErr w:type="spellStart"/>
      <w:r w:rsidRPr="00B036F7">
        <w:rPr>
          <w:b/>
          <w:bCs/>
        </w:rPr>
        <w:t>ReplicaSets</w:t>
      </w:r>
      <w:proofErr w:type="spellEnd"/>
      <w:r w:rsidRPr="00B036F7">
        <w:rPr>
          <w:b/>
          <w:bCs/>
        </w:rPr>
        <w:t xml:space="preserve"> maintain the desired number of application replicas.</w:t>
      </w:r>
    </w:p>
    <w:p w14:paraId="729BAF36" w14:textId="77777777" w:rsidR="00B036F7" w:rsidRPr="00B036F7" w:rsidRDefault="00B036F7" w:rsidP="00B036F7">
      <w:pPr>
        <w:numPr>
          <w:ilvl w:val="0"/>
          <w:numId w:val="12"/>
        </w:numPr>
        <w:rPr>
          <w:b/>
          <w:bCs/>
        </w:rPr>
      </w:pPr>
      <w:r w:rsidRPr="00B036F7">
        <w:rPr>
          <w:b/>
          <w:bCs/>
        </w:rPr>
        <w:t>Rolling updates minimize service disruption during software releases.</w:t>
      </w:r>
    </w:p>
    <w:p w14:paraId="599DAF9D" w14:textId="77777777" w:rsidR="00B036F7" w:rsidRPr="00B036F7" w:rsidRDefault="00B036F7" w:rsidP="00B036F7">
      <w:pPr>
        <w:numPr>
          <w:ilvl w:val="0"/>
          <w:numId w:val="12"/>
        </w:numPr>
        <w:rPr>
          <w:b/>
          <w:bCs/>
        </w:rPr>
      </w:pPr>
      <w:r w:rsidRPr="00B036F7">
        <w:rPr>
          <w:b/>
          <w:bCs/>
        </w:rPr>
        <w:t>Rollback mechanisms improve recovery from deployment failures.</w:t>
      </w:r>
    </w:p>
    <w:p w14:paraId="116703C3" w14:textId="77777777" w:rsidR="00B036F7" w:rsidRPr="00B036F7" w:rsidRDefault="00B036F7" w:rsidP="00B036F7">
      <w:pPr>
        <w:numPr>
          <w:ilvl w:val="0"/>
          <w:numId w:val="12"/>
        </w:numPr>
        <w:rPr>
          <w:b/>
          <w:bCs/>
        </w:rPr>
      </w:pPr>
      <w:r w:rsidRPr="00B036F7">
        <w:rPr>
          <w:b/>
          <w:bCs/>
        </w:rPr>
        <w:t>Continuous reconciliation ensures workloads remain in the desired state.</w:t>
      </w:r>
    </w:p>
    <w:p w14:paraId="38080EA1" w14:textId="77777777" w:rsidR="00B036F7" w:rsidRPr="00B036F7" w:rsidRDefault="00B036F7" w:rsidP="00B036F7">
      <w:pPr>
        <w:numPr>
          <w:ilvl w:val="0"/>
          <w:numId w:val="12"/>
        </w:numPr>
        <w:rPr>
          <w:b/>
          <w:bCs/>
        </w:rPr>
      </w:pPr>
      <w:r w:rsidRPr="00B036F7">
        <w:rPr>
          <w:b/>
          <w:bCs/>
        </w:rPr>
        <w:t>Integration with autoscaling improves operational efficiency and resource utilization.</w:t>
      </w:r>
    </w:p>
    <w:p w14:paraId="28261892" w14:textId="77777777" w:rsidR="00B036F7" w:rsidRPr="00B036F7" w:rsidRDefault="00B036F7" w:rsidP="00B036F7">
      <w:pPr>
        <w:rPr>
          <w:b/>
          <w:bCs/>
        </w:rPr>
      </w:pPr>
      <w:r w:rsidRPr="00B036F7">
        <w:rPr>
          <w:b/>
          <w:bCs/>
        </w:rPr>
        <w:pict w14:anchorId="0C92A2B3">
          <v:rect id="_x0000_i1309" style="width:0;height:1.5pt" o:hralign="center" o:hrstd="t" o:hr="t" fillcolor="#a0a0a0" stroked="f"/>
        </w:pict>
      </w:r>
    </w:p>
    <w:p w14:paraId="588969F6" w14:textId="77777777" w:rsidR="00B036F7" w:rsidRPr="00B036F7" w:rsidRDefault="00B036F7" w:rsidP="00B036F7">
      <w:pPr>
        <w:rPr>
          <w:b/>
          <w:bCs/>
        </w:rPr>
      </w:pPr>
      <w:r w:rsidRPr="00B036F7">
        <w:rPr>
          <w:b/>
          <w:bCs/>
        </w:rPr>
        <w:t>Limitations</w:t>
      </w:r>
    </w:p>
    <w:p w14:paraId="2AB2E2CD" w14:textId="77777777" w:rsidR="00B036F7" w:rsidRPr="00B036F7" w:rsidRDefault="00B036F7" w:rsidP="00B036F7">
      <w:pPr>
        <w:numPr>
          <w:ilvl w:val="0"/>
          <w:numId w:val="13"/>
        </w:numPr>
        <w:rPr>
          <w:b/>
          <w:bCs/>
        </w:rPr>
      </w:pPr>
      <w:r w:rsidRPr="00B036F7">
        <w:rPr>
          <w:b/>
          <w:bCs/>
        </w:rPr>
        <w:t>Focuses on deployment mechanisms rather than overall cluster reliability.</w:t>
      </w:r>
    </w:p>
    <w:p w14:paraId="2BB3A38C" w14:textId="77777777" w:rsidR="00B036F7" w:rsidRPr="00B036F7" w:rsidRDefault="00B036F7" w:rsidP="00B036F7">
      <w:pPr>
        <w:numPr>
          <w:ilvl w:val="0"/>
          <w:numId w:val="13"/>
        </w:numPr>
        <w:rPr>
          <w:b/>
          <w:bCs/>
        </w:rPr>
      </w:pPr>
      <w:r w:rsidRPr="00B036F7">
        <w:rPr>
          <w:b/>
          <w:bCs/>
        </w:rPr>
        <w:t>Does not experimentally evaluate Service Level Objectives (SLOs) or Error Budgets.</w:t>
      </w:r>
    </w:p>
    <w:p w14:paraId="2595F9DE" w14:textId="77777777" w:rsidR="00B036F7" w:rsidRPr="00B036F7" w:rsidRDefault="00B036F7" w:rsidP="00B036F7">
      <w:pPr>
        <w:numPr>
          <w:ilvl w:val="0"/>
          <w:numId w:val="13"/>
        </w:numPr>
        <w:rPr>
          <w:b/>
          <w:bCs/>
        </w:rPr>
      </w:pPr>
      <w:r w:rsidRPr="00B036F7">
        <w:rPr>
          <w:b/>
          <w:bCs/>
        </w:rPr>
        <w:lastRenderedPageBreak/>
        <w:t>Cloud-provider-specific deployment optimizations are outside the scope of the documentation.</w:t>
      </w:r>
    </w:p>
    <w:p w14:paraId="059F827C" w14:textId="77777777" w:rsidR="00B036F7" w:rsidRPr="00B036F7" w:rsidRDefault="00B036F7" w:rsidP="00B036F7">
      <w:pPr>
        <w:rPr>
          <w:b/>
          <w:bCs/>
        </w:rPr>
      </w:pPr>
      <w:r w:rsidRPr="00B036F7">
        <w:rPr>
          <w:b/>
          <w:bCs/>
        </w:rPr>
        <w:pict w14:anchorId="70787674">
          <v:rect id="_x0000_i1310" style="width:0;height:1.5pt" o:hralign="center" o:hrstd="t" o:hr="t" fillcolor="#a0a0a0" stroked="f"/>
        </w:pict>
      </w:r>
    </w:p>
    <w:p w14:paraId="535D7170" w14:textId="77777777" w:rsidR="00B036F7" w:rsidRPr="00B036F7" w:rsidRDefault="00B036F7" w:rsidP="00B036F7">
      <w:pPr>
        <w:rPr>
          <w:b/>
          <w:bCs/>
        </w:rPr>
      </w:pPr>
      <w:r w:rsidRPr="00B036F7">
        <w:rPr>
          <w:b/>
          <w:bCs/>
        </w:rPr>
        <w:t>Research Gap</w:t>
      </w:r>
    </w:p>
    <w:p w14:paraId="42D5BDD7" w14:textId="77777777" w:rsidR="00B036F7" w:rsidRPr="00B036F7" w:rsidRDefault="00B036F7" w:rsidP="00B036F7">
      <w:pPr>
        <w:rPr>
          <w:b/>
          <w:bCs/>
        </w:rPr>
      </w:pPr>
      <w:r w:rsidRPr="00B036F7">
        <w:rPr>
          <w:b/>
          <w:bCs/>
        </w:rPr>
        <w:t>Although Kubernetes Deployments provide automated application management, there is limited research evaluating their effectiveness when combined with Site Reliability Engineering practices such as observability, monitoring, Service Level Indicators (SLIs), Service Level Objectives (SLOs), Error Budgets, and incident response in Azure Kubernetes Service environments.</w:t>
      </w:r>
    </w:p>
    <w:p w14:paraId="1CE0A704" w14:textId="77777777" w:rsidR="00B036F7" w:rsidRPr="00B036F7" w:rsidRDefault="00B036F7" w:rsidP="00B036F7">
      <w:pPr>
        <w:rPr>
          <w:b/>
          <w:bCs/>
        </w:rPr>
      </w:pPr>
      <w:r w:rsidRPr="00B036F7">
        <w:rPr>
          <w:b/>
          <w:bCs/>
        </w:rPr>
        <w:pict w14:anchorId="586540A4">
          <v:rect id="_x0000_i1311" style="width:0;height:1.5pt" o:hralign="center" o:hrstd="t" o:hr="t" fillcolor="#a0a0a0" stroked="f"/>
        </w:pict>
      </w:r>
    </w:p>
    <w:p w14:paraId="717409FC" w14:textId="77777777" w:rsidR="00B036F7" w:rsidRPr="00B036F7" w:rsidRDefault="00B036F7" w:rsidP="00B036F7">
      <w:pPr>
        <w:rPr>
          <w:b/>
          <w:bCs/>
        </w:rPr>
      </w:pPr>
      <w:r w:rsidRPr="00B036F7">
        <w:rPr>
          <w:b/>
          <w:bCs/>
        </w:rPr>
        <w:t>Relevance to Dissertation</w:t>
      </w:r>
    </w:p>
    <w:p w14:paraId="0BAFF7F8" w14:textId="77777777" w:rsidR="00B036F7" w:rsidRPr="00B036F7" w:rsidRDefault="00B036F7" w:rsidP="00B036F7">
      <w:pPr>
        <w:rPr>
          <w:b/>
          <w:bCs/>
        </w:rPr>
      </w:pPr>
      <w:r w:rsidRPr="00B036F7">
        <w:rPr>
          <w:b/>
          <w:bCs/>
        </w:rPr>
        <w:t>Deployments will be extensively used during the implementation phase of this dissertation to deploy the sample cloud-native application on Azure Kubernetes Service. Their automated lifecycle management capabilities will support experiments involving rolling updates, scaling, self-healing, reliability testing, and operational efficiency evaluation.</w:t>
      </w:r>
    </w:p>
    <w:p w14:paraId="58006E98" w14:textId="77777777" w:rsidR="001A1E2A" w:rsidRPr="00B036F7" w:rsidRDefault="001A1E2A" w:rsidP="00B036F7"/>
    <w:sectPr w:rsidR="001A1E2A" w:rsidRPr="00B03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EA"/>
    <w:multiLevelType w:val="multilevel"/>
    <w:tmpl w:val="2A4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0DB5"/>
    <w:multiLevelType w:val="multilevel"/>
    <w:tmpl w:val="210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27793"/>
    <w:multiLevelType w:val="multilevel"/>
    <w:tmpl w:val="147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859B2"/>
    <w:multiLevelType w:val="multilevel"/>
    <w:tmpl w:val="A57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4"/>
  </w:num>
  <w:num w:numId="2" w16cid:durableId="1737818863">
    <w:abstractNumId w:val="12"/>
  </w:num>
  <w:num w:numId="3" w16cid:durableId="593438595">
    <w:abstractNumId w:val="6"/>
  </w:num>
  <w:num w:numId="4" w16cid:durableId="279805608">
    <w:abstractNumId w:val="11"/>
  </w:num>
  <w:num w:numId="5" w16cid:durableId="240260553">
    <w:abstractNumId w:val="10"/>
  </w:num>
  <w:num w:numId="6" w16cid:durableId="91095524">
    <w:abstractNumId w:val="8"/>
  </w:num>
  <w:num w:numId="7" w16cid:durableId="1450512623">
    <w:abstractNumId w:val="7"/>
  </w:num>
  <w:num w:numId="8" w16cid:durableId="1487623652">
    <w:abstractNumId w:val="2"/>
  </w:num>
  <w:num w:numId="9" w16cid:durableId="644092458">
    <w:abstractNumId w:val="9"/>
  </w:num>
  <w:num w:numId="10" w16cid:durableId="1278415522">
    <w:abstractNumId w:val="3"/>
  </w:num>
  <w:num w:numId="11" w16cid:durableId="2084140869">
    <w:abstractNumId w:val="0"/>
  </w:num>
  <w:num w:numId="12" w16cid:durableId="549803845">
    <w:abstractNumId w:val="1"/>
  </w:num>
  <w:num w:numId="13" w16cid:durableId="2036229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42125"/>
    <w:rsid w:val="001A1E2A"/>
    <w:rsid w:val="00223372"/>
    <w:rsid w:val="002D4267"/>
    <w:rsid w:val="003C2CBB"/>
    <w:rsid w:val="003F6A7B"/>
    <w:rsid w:val="00AC35AB"/>
    <w:rsid w:val="00B036F7"/>
    <w:rsid w:val="00CC3C43"/>
    <w:rsid w:val="00EE688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2026-06-27T16:39:00Z</dcterms:created>
  <dcterms:modified xsi:type="dcterms:W3CDTF">2026-06-27T16:39:00Z</dcterms:modified>
</cp:coreProperties>
</file>