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E36B" w14:textId="371DD5B5" w:rsidR="00032C54" w:rsidRPr="00032C54" w:rsidRDefault="00032C54" w:rsidP="00032C54">
      <w:pPr>
        <w:rPr>
          <w:b/>
          <w:bCs/>
        </w:rPr>
      </w:pPr>
      <w:r w:rsidRPr="00032C54">
        <w:rPr>
          <w:b/>
          <w:bCs/>
        </w:rPr>
        <w:t>F08</w:t>
      </w:r>
      <w:r>
        <w:rPr>
          <w:b/>
          <w:bCs/>
        </w:rPr>
        <w:t xml:space="preserve"> - </w:t>
      </w:r>
      <w:r w:rsidRPr="00032C54">
        <w:rPr>
          <w:b/>
          <w:bCs/>
        </w:rPr>
        <w:t>Kubernetes Production Best Practices</w:t>
      </w:r>
    </w:p>
    <w:p w14:paraId="60B72D47" w14:textId="77777777" w:rsidR="00032C54" w:rsidRPr="00032C54" w:rsidRDefault="00032C54" w:rsidP="00032C54">
      <w:pPr>
        <w:rPr>
          <w:b/>
          <w:bCs/>
        </w:rPr>
      </w:pPr>
      <w:r w:rsidRPr="00032C54">
        <w:rPr>
          <w:b/>
          <w:bCs/>
        </w:rPr>
        <w:pict w14:anchorId="5B95AED2">
          <v:rect id="_x0000_i1367" style="width:0;height:1.5pt" o:hralign="center" o:hrstd="t" o:hr="t" fillcolor="#a0a0a0" stroked="f"/>
        </w:pict>
      </w:r>
    </w:p>
    <w:p w14:paraId="6E50D97A" w14:textId="77777777" w:rsidR="00032C54" w:rsidRPr="00032C54" w:rsidRDefault="00032C54" w:rsidP="00032C54">
      <w:pPr>
        <w:rPr>
          <w:b/>
          <w:bCs/>
        </w:rPr>
      </w:pPr>
      <w:r w:rsidRPr="00032C54">
        <w:rPr>
          <w:b/>
          <w:bCs/>
        </w:rPr>
        <w:t>Summary</w:t>
      </w:r>
    </w:p>
    <w:p w14:paraId="2EB4119C" w14:textId="77777777" w:rsidR="00032C54" w:rsidRPr="00032C54" w:rsidRDefault="00032C54" w:rsidP="00032C54">
      <w:pPr>
        <w:rPr>
          <w:b/>
          <w:bCs/>
        </w:rPr>
      </w:pPr>
      <w:r w:rsidRPr="00032C54">
        <w:rPr>
          <w:b/>
          <w:bCs/>
        </w:rPr>
        <w:t>The CNCF Kubernetes Production Best Practices documentation provides comprehensive guidance for deploying and operating Kubernetes clusters in production environments. The document emphasizes that successful Kubernetes adoption extends beyond cluster deployment and requires careful planning for reliability, scalability, observability, security, resource optimization, and operational governance.</w:t>
      </w:r>
    </w:p>
    <w:p w14:paraId="4D1463EA" w14:textId="77777777" w:rsidR="00032C54" w:rsidRPr="00032C54" w:rsidRDefault="00032C54" w:rsidP="00032C54">
      <w:pPr>
        <w:rPr>
          <w:b/>
          <w:bCs/>
        </w:rPr>
      </w:pPr>
      <w:r w:rsidRPr="00032C54">
        <w:rPr>
          <w:b/>
          <w:bCs/>
        </w:rPr>
        <w:t xml:space="preserve">The guidance recommends implementing standardized deployment strategies using Deployments and </w:t>
      </w:r>
      <w:proofErr w:type="spellStart"/>
      <w:r w:rsidRPr="00032C54">
        <w:rPr>
          <w:b/>
          <w:bCs/>
        </w:rPr>
        <w:t>ReplicaSets</w:t>
      </w:r>
      <w:proofErr w:type="spellEnd"/>
      <w:r w:rsidRPr="00032C54">
        <w:rPr>
          <w:b/>
          <w:bCs/>
        </w:rPr>
        <w:t>, enforcing resource requests and limits, enabling Horizontal Pod Autoscaling (HPA), configuring health probes, implementing network policies, and maintaining strong observability through centralized monitoring and logging platforms. It also highlights the importance of disaster recovery planning, backup strategies, cluster upgrades, and workload isolation using namespaces.</w:t>
      </w:r>
    </w:p>
    <w:p w14:paraId="2249E479" w14:textId="77777777" w:rsidR="00032C54" w:rsidRPr="00032C54" w:rsidRDefault="00032C54" w:rsidP="00032C54">
      <w:pPr>
        <w:rPr>
          <w:b/>
          <w:bCs/>
        </w:rPr>
      </w:pPr>
      <w:r w:rsidRPr="00032C54">
        <w:rPr>
          <w:b/>
          <w:bCs/>
        </w:rPr>
        <w:t>The document strongly advocates automation wherever possible to reduce manual operational effort and improve consistency across production environments. Continuous monitoring, proactive alerting, and performance optimization are presented as essential operational practices for maintaining service reliability. These recommendations closely align with Site Reliability Engineering principles, particularly automation, observability, fault tolerance, operational excellence, and continuous improvement.</w:t>
      </w:r>
    </w:p>
    <w:p w14:paraId="07CEAEFB" w14:textId="77777777" w:rsidR="00032C54" w:rsidRPr="00032C54" w:rsidRDefault="00032C54" w:rsidP="00032C54">
      <w:pPr>
        <w:rPr>
          <w:b/>
          <w:bCs/>
        </w:rPr>
      </w:pPr>
      <w:r w:rsidRPr="00032C54">
        <w:rPr>
          <w:b/>
          <w:bCs/>
        </w:rPr>
        <w:pict w14:anchorId="1860A727">
          <v:rect id="_x0000_i1368" style="width:0;height:1.5pt" o:hralign="center" o:hrstd="t" o:hr="t" fillcolor="#a0a0a0" stroked="f"/>
        </w:pict>
      </w:r>
    </w:p>
    <w:p w14:paraId="1F1B8F6E" w14:textId="77777777" w:rsidR="00032C54" w:rsidRPr="00032C54" w:rsidRDefault="00032C54" w:rsidP="00032C54">
      <w:pPr>
        <w:rPr>
          <w:b/>
          <w:bCs/>
        </w:rPr>
      </w:pPr>
      <w:r w:rsidRPr="00032C54">
        <w:rPr>
          <w:b/>
          <w:bCs/>
        </w:rPr>
        <w:t>Key Findings</w:t>
      </w:r>
    </w:p>
    <w:p w14:paraId="7F5A23EF" w14:textId="77777777" w:rsidR="00032C54" w:rsidRPr="00032C54" w:rsidRDefault="00032C54" w:rsidP="00032C54">
      <w:pPr>
        <w:numPr>
          <w:ilvl w:val="0"/>
          <w:numId w:val="14"/>
        </w:numPr>
        <w:rPr>
          <w:b/>
          <w:bCs/>
        </w:rPr>
      </w:pPr>
      <w:r w:rsidRPr="00032C54">
        <w:rPr>
          <w:b/>
          <w:bCs/>
        </w:rPr>
        <w:t>Production Kubernetes environments require standardized operational practices.</w:t>
      </w:r>
    </w:p>
    <w:p w14:paraId="402171C6" w14:textId="77777777" w:rsidR="00032C54" w:rsidRPr="00032C54" w:rsidRDefault="00032C54" w:rsidP="00032C54">
      <w:pPr>
        <w:numPr>
          <w:ilvl w:val="0"/>
          <w:numId w:val="14"/>
        </w:numPr>
        <w:rPr>
          <w:b/>
          <w:bCs/>
        </w:rPr>
      </w:pPr>
      <w:r w:rsidRPr="00032C54">
        <w:rPr>
          <w:b/>
          <w:bCs/>
        </w:rPr>
        <w:t>Resource requests and limits improve workload stability.</w:t>
      </w:r>
    </w:p>
    <w:p w14:paraId="5E168CC6" w14:textId="77777777" w:rsidR="00032C54" w:rsidRPr="00032C54" w:rsidRDefault="00032C54" w:rsidP="00032C54">
      <w:pPr>
        <w:numPr>
          <w:ilvl w:val="0"/>
          <w:numId w:val="14"/>
        </w:numPr>
        <w:rPr>
          <w:b/>
          <w:bCs/>
        </w:rPr>
      </w:pPr>
      <w:r w:rsidRPr="00032C54">
        <w:rPr>
          <w:b/>
          <w:bCs/>
        </w:rPr>
        <w:t>Health probes enhance application availability through automated failure detection.</w:t>
      </w:r>
    </w:p>
    <w:p w14:paraId="22236B96" w14:textId="77777777" w:rsidR="00032C54" w:rsidRPr="00032C54" w:rsidRDefault="00032C54" w:rsidP="00032C54">
      <w:pPr>
        <w:numPr>
          <w:ilvl w:val="0"/>
          <w:numId w:val="14"/>
        </w:numPr>
        <w:rPr>
          <w:b/>
          <w:bCs/>
        </w:rPr>
      </w:pPr>
      <w:r w:rsidRPr="00032C54">
        <w:rPr>
          <w:b/>
          <w:bCs/>
        </w:rPr>
        <w:t xml:space="preserve">Horizontal Pod </w:t>
      </w:r>
      <w:proofErr w:type="spellStart"/>
      <w:r w:rsidRPr="00032C54">
        <w:rPr>
          <w:b/>
          <w:bCs/>
        </w:rPr>
        <w:t>Autoscaler</w:t>
      </w:r>
      <w:proofErr w:type="spellEnd"/>
      <w:r w:rsidRPr="00032C54">
        <w:rPr>
          <w:b/>
          <w:bCs/>
        </w:rPr>
        <w:t xml:space="preserve"> improves scalability and resource utilization.</w:t>
      </w:r>
    </w:p>
    <w:p w14:paraId="43E3234C" w14:textId="77777777" w:rsidR="00032C54" w:rsidRPr="00032C54" w:rsidRDefault="00032C54" w:rsidP="00032C54">
      <w:pPr>
        <w:numPr>
          <w:ilvl w:val="0"/>
          <w:numId w:val="14"/>
        </w:numPr>
        <w:rPr>
          <w:b/>
          <w:bCs/>
        </w:rPr>
      </w:pPr>
      <w:r w:rsidRPr="00032C54">
        <w:rPr>
          <w:b/>
          <w:bCs/>
        </w:rPr>
        <w:t>Centralized monitoring and logging improve observability.</w:t>
      </w:r>
    </w:p>
    <w:p w14:paraId="7BCDF139" w14:textId="77777777" w:rsidR="00032C54" w:rsidRPr="00032C54" w:rsidRDefault="00032C54" w:rsidP="00032C54">
      <w:pPr>
        <w:numPr>
          <w:ilvl w:val="0"/>
          <w:numId w:val="14"/>
        </w:numPr>
        <w:rPr>
          <w:b/>
          <w:bCs/>
        </w:rPr>
      </w:pPr>
      <w:r w:rsidRPr="00032C54">
        <w:rPr>
          <w:b/>
          <w:bCs/>
        </w:rPr>
        <w:t>Automation reduces operational complexity and configuration errors.</w:t>
      </w:r>
    </w:p>
    <w:p w14:paraId="26AC1703" w14:textId="77777777" w:rsidR="00032C54" w:rsidRPr="00032C54" w:rsidRDefault="00032C54" w:rsidP="00032C54">
      <w:pPr>
        <w:numPr>
          <w:ilvl w:val="0"/>
          <w:numId w:val="14"/>
        </w:numPr>
        <w:rPr>
          <w:b/>
          <w:bCs/>
        </w:rPr>
      </w:pPr>
      <w:r w:rsidRPr="00032C54">
        <w:rPr>
          <w:b/>
          <w:bCs/>
        </w:rPr>
        <w:t>Backup, disaster recovery, and upgrade planning improve long-term reliability.</w:t>
      </w:r>
    </w:p>
    <w:p w14:paraId="32FB98F2" w14:textId="77777777" w:rsidR="00032C54" w:rsidRPr="00032C54" w:rsidRDefault="00032C54" w:rsidP="00032C54">
      <w:pPr>
        <w:rPr>
          <w:b/>
          <w:bCs/>
        </w:rPr>
      </w:pPr>
      <w:r w:rsidRPr="00032C54">
        <w:rPr>
          <w:b/>
          <w:bCs/>
        </w:rPr>
        <w:pict w14:anchorId="4EF9361E">
          <v:rect id="_x0000_i1369" style="width:0;height:1.5pt" o:hralign="center" o:hrstd="t" o:hr="t" fillcolor="#a0a0a0" stroked="f"/>
        </w:pict>
      </w:r>
    </w:p>
    <w:p w14:paraId="792740FF" w14:textId="77777777" w:rsidR="00032C54" w:rsidRPr="00032C54" w:rsidRDefault="00032C54" w:rsidP="00032C54">
      <w:pPr>
        <w:rPr>
          <w:b/>
          <w:bCs/>
        </w:rPr>
      </w:pPr>
      <w:r w:rsidRPr="00032C54">
        <w:rPr>
          <w:b/>
          <w:bCs/>
        </w:rPr>
        <w:t>Limitations</w:t>
      </w:r>
    </w:p>
    <w:p w14:paraId="71F5629B" w14:textId="77777777" w:rsidR="00032C54" w:rsidRPr="00032C54" w:rsidRDefault="00032C54" w:rsidP="00032C54">
      <w:pPr>
        <w:numPr>
          <w:ilvl w:val="0"/>
          <w:numId w:val="15"/>
        </w:numPr>
        <w:rPr>
          <w:b/>
          <w:bCs/>
        </w:rPr>
      </w:pPr>
      <w:r w:rsidRPr="00032C54">
        <w:rPr>
          <w:b/>
          <w:bCs/>
        </w:rPr>
        <w:t>Provides best practice recommendations rather than experimental validation.</w:t>
      </w:r>
    </w:p>
    <w:p w14:paraId="6DD4CAC5" w14:textId="77777777" w:rsidR="00032C54" w:rsidRPr="00032C54" w:rsidRDefault="00032C54" w:rsidP="00032C54">
      <w:pPr>
        <w:numPr>
          <w:ilvl w:val="0"/>
          <w:numId w:val="15"/>
        </w:numPr>
        <w:rPr>
          <w:b/>
          <w:bCs/>
        </w:rPr>
      </w:pPr>
      <w:r w:rsidRPr="00032C54">
        <w:rPr>
          <w:b/>
          <w:bCs/>
        </w:rPr>
        <w:lastRenderedPageBreak/>
        <w:t>Does not define quantitative Site Reliability Engineering metrics.</w:t>
      </w:r>
    </w:p>
    <w:p w14:paraId="1773C827" w14:textId="77777777" w:rsidR="00032C54" w:rsidRPr="00032C54" w:rsidRDefault="00032C54" w:rsidP="00032C54">
      <w:pPr>
        <w:numPr>
          <w:ilvl w:val="0"/>
          <w:numId w:val="15"/>
        </w:numPr>
        <w:rPr>
          <w:b/>
          <w:bCs/>
        </w:rPr>
      </w:pPr>
      <w:r w:rsidRPr="00032C54">
        <w:rPr>
          <w:b/>
          <w:bCs/>
        </w:rPr>
        <w:t>Limited discussion of Azure-specific managed Kubernetes implementations.</w:t>
      </w:r>
    </w:p>
    <w:p w14:paraId="4FD238E3" w14:textId="77777777" w:rsidR="00032C54" w:rsidRPr="00032C54" w:rsidRDefault="00032C54" w:rsidP="00032C54">
      <w:pPr>
        <w:rPr>
          <w:b/>
          <w:bCs/>
        </w:rPr>
      </w:pPr>
      <w:r w:rsidRPr="00032C54">
        <w:rPr>
          <w:b/>
          <w:bCs/>
        </w:rPr>
        <w:pict w14:anchorId="499E0A85">
          <v:rect id="_x0000_i1370" style="width:0;height:1.5pt" o:hralign="center" o:hrstd="t" o:hr="t" fillcolor="#a0a0a0" stroked="f"/>
        </w:pict>
      </w:r>
    </w:p>
    <w:p w14:paraId="4EDD498F" w14:textId="77777777" w:rsidR="00032C54" w:rsidRPr="00032C54" w:rsidRDefault="00032C54" w:rsidP="00032C54">
      <w:pPr>
        <w:rPr>
          <w:b/>
          <w:bCs/>
        </w:rPr>
      </w:pPr>
      <w:r w:rsidRPr="00032C54">
        <w:rPr>
          <w:b/>
          <w:bCs/>
        </w:rPr>
        <w:t>Research Gap</w:t>
      </w:r>
    </w:p>
    <w:p w14:paraId="1A5BDEC6" w14:textId="77777777" w:rsidR="00032C54" w:rsidRPr="00032C54" w:rsidRDefault="00032C54" w:rsidP="00032C54">
      <w:pPr>
        <w:rPr>
          <w:b/>
          <w:bCs/>
        </w:rPr>
      </w:pPr>
      <w:r w:rsidRPr="00032C54">
        <w:rPr>
          <w:b/>
          <w:bCs/>
        </w:rPr>
        <w:t>Although CNCF provides comprehensive production guidance, there is limited experimental research evaluating how these best practices, when combined with Site Reliability Engineering concepts such as Service Level Objectives (SLOs), Service Level Indicators (SLIs), Error Budgets, and observability, improve the operational reliability of Azure Kubernetes Service.</w:t>
      </w:r>
    </w:p>
    <w:p w14:paraId="517E1404" w14:textId="77777777" w:rsidR="00032C54" w:rsidRPr="00032C54" w:rsidRDefault="00032C54" w:rsidP="00032C54">
      <w:pPr>
        <w:rPr>
          <w:b/>
          <w:bCs/>
        </w:rPr>
      </w:pPr>
      <w:r w:rsidRPr="00032C54">
        <w:rPr>
          <w:b/>
          <w:bCs/>
        </w:rPr>
        <w:pict w14:anchorId="4F066030">
          <v:rect id="_x0000_i1371" style="width:0;height:1.5pt" o:hralign="center" o:hrstd="t" o:hr="t" fillcolor="#a0a0a0" stroked="f"/>
        </w:pict>
      </w:r>
    </w:p>
    <w:p w14:paraId="6CD2BF3B" w14:textId="77777777" w:rsidR="00032C54" w:rsidRPr="00032C54" w:rsidRDefault="00032C54" w:rsidP="00032C54">
      <w:pPr>
        <w:rPr>
          <w:b/>
          <w:bCs/>
        </w:rPr>
      </w:pPr>
      <w:r w:rsidRPr="00032C54">
        <w:rPr>
          <w:b/>
          <w:bCs/>
        </w:rPr>
        <w:t>Relevance to Dissertation</w:t>
      </w:r>
    </w:p>
    <w:p w14:paraId="6BFF3C35" w14:textId="77777777" w:rsidR="00032C54" w:rsidRPr="00032C54" w:rsidRDefault="00032C54" w:rsidP="00032C54">
      <w:pPr>
        <w:rPr>
          <w:b/>
          <w:bCs/>
        </w:rPr>
      </w:pPr>
      <w:r w:rsidRPr="00032C54">
        <w:rPr>
          <w:b/>
          <w:bCs/>
        </w:rPr>
        <w:t>The implementation phase of this dissertation will incorporate several CNCF production best practices, including health probes, autoscaling, resource limits, monitoring, and workload management. Their effectiveness will be evaluated using Site Reliability Engineering metrics to assess improvements in reliability and operational efficiency within Azure Kubernetes Service.</w:t>
      </w:r>
    </w:p>
    <w:p w14:paraId="58006E98" w14:textId="77777777" w:rsidR="001A1E2A" w:rsidRPr="00032C54" w:rsidRDefault="001A1E2A" w:rsidP="00032C54"/>
    <w:sectPr w:rsidR="001A1E2A" w:rsidRPr="00032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DEA"/>
    <w:multiLevelType w:val="multilevel"/>
    <w:tmpl w:val="2A4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321"/>
    <w:multiLevelType w:val="multilevel"/>
    <w:tmpl w:val="1F4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0DB5"/>
    <w:multiLevelType w:val="multilevel"/>
    <w:tmpl w:val="210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907A5"/>
    <w:multiLevelType w:val="multilevel"/>
    <w:tmpl w:val="D06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7793"/>
    <w:multiLevelType w:val="multilevel"/>
    <w:tmpl w:val="147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859B2"/>
    <w:multiLevelType w:val="multilevel"/>
    <w:tmpl w:val="A57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A3E22"/>
    <w:multiLevelType w:val="multilevel"/>
    <w:tmpl w:val="AD9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22E73"/>
    <w:multiLevelType w:val="multilevel"/>
    <w:tmpl w:val="40F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F5700"/>
    <w:multiLevelType w:val="multilevel"/>
    <w:tmpl w:val="D73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3641D"/>
    <w:multiLevelType w:val="multilevel"/>
    <w:tmpl w:val="01E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C0AA2"/>
    <w:multiLevelType w:val="multilevel"/>
    <w:tmpl w:val="19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C61E1"/>
    <w:multiLevelType w:val="multilevel"/>
    <w:tmpl w:val="A07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5"/>
  </w:num>
  <w:num w:numId="2" w16cid:durableId="1737818863">
    <w:abstractNumId w:val="13"/>
  </w:num>
  <w:num w:numId="3" w16cid:durableId="593438595">
    <w:abstractNumId w:val="7"/>
  </w:num>
  <w:num w:numId="4" w16cid:durableId="279805608">
    <w:abstractNumId w:val="12"/>
  </w:num>
  <w:num w:numId="5" w16cid:durableId="240260553">
    <w:abstractNumId w:val="11"/>
  </w:num>
  <w:num w:numId="6" w16cid:durableId="91095524">
    <w:abstractNumId w:val="9"/>
  </w:num>
  <w:num w:numId="7" w16cid:durableId="1450512623">
    <w:abstractNumId w:val="8"/>
  </w:num>
  <w:num w:numId="8" w16cid:durableId="1487623652">
    <w:abstractNumId w:val="3"/>
  </w:num>
  <w:num w:numId="9" w16cid:durableId="644092458">
    <w:abstractNumId w:val="10"/>
  </w:num>
  <w:num w:numId="10" w16cid:durableId="1278415522">
    <w:abstractNumId w:val="4"/>
  </w:num>
  <w:num w:numId="11" w16cid:durableId="2084140869">
    <w:abstractNumId w:val="0"/>
  </w:num>
  <w:num w:numId="12" w16cid:durableId="549803845">
    <w:abstractNumId w:val="2"/>
  </w:num>
  <w:num w:numId="13" w16cid:durableId="2036229468">
    <w:abstractNumId w:val="6"/>
  </w:num>
  <w:num w:numId="14" w16cid:durableId="1457987031">
    <w:abstractNumId w:val="1"/>
  </w:num>
  <w:num w:numId="15" w16cid:durableId="3593560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032C54"/>
    <w:rsid w:val="00042125"/>
    <w:rsid w:val="001A1E2A"/>
    <w:rsid w:val="00223372"/>
    <w:rsid w:val="002D4267"/>
    <w:rsid w:val="003C2CBB"/>
    <w:rsid w:val="003F6A7B"/>
    <w:rsid w:val="00AC35AB"/>
    <w:rsid w:val="00B036F7"/>
    <w:rsid w:val="00CC3C43"/>
    <w:rsid w:val="00EE688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2026-06-27T16:42:00Z</dcterms:created>
  <dcterms:modified xsi:type="dcterms:W3CDTF">2026-06-27T16:42:00Z</dcterms:modified>
</cp:coreProperties>
</file>