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B886B" w14:textId="5C171616" w:rsidR="005D18AE" w:rsidRPr="005D18AE" w:rsidRDefault="005D18AE" w:rsidP="005D18AE">
      <w:pPr>
        <w:rPr>
          <w:b/>
          <w:bCs/>
        </w:rPr>
      </w:pPr>
      <w:r w:rsidRPr="005D18AE">
        <w:rPr>
          <w:b/>
          <w:bCs/>
        </w:rPr>
        <w:t>F09</w:t>
      </w:r>
      <w:r>
        <w:rPr>
          <w:b/>
          <w:bCs/>
        </w:rPr>
        <w:t xml:space="preserve"> - </w:t>
      </w:r>
      <w:r w:rsidRPr="005D18AE">
        <w:rPr>
          <w:b/>
          <w:bCs/>
        </w:rPr>
        <w:t>CNCF Observability Whitepaper</w:t>
      </w:r>
    </w:p>
    <w:p w14:paraId="5E5D5AD1" w14:textId="77777777" w:rsidR="005D18AE" w:rsidRPr="005D18AE" w:rsidRDefault="005D18AE" w:rsidP="005D18AE">
      <w:pPr>
        <w:rPr>
          <w:b/>
          <w:bCs/>
        </w:rPr>
      </w:pPr>
      <w:r w:rsidRPr="005D18AE">
        <w:rPr>
          <w:b/>
          <w:bCs/>
        </w:rPr>
        <w:pict w14:anchorId="007BBCE0">
          <v:rect id="_x0000_i1427" style="width:0;height:1.5pt" o:hralign="center" o:hrstd="t" o:hr="t" fillcolor="#a0a0a0" stroked="f"/>
        </w:pict>
      </w:r>
    </w:p>
    <w:p w14:paraId="3E71FDFC" w14:textId="77777777" w:rsidR="005D18AE" w:rsidRPr="005D18AE" w:rsidRDefault="005D18AE" w:rsidP="005D18AE">
      <w:pPr>
        <w:rPr>
          <w:b/>
          <w:bCs/>
        </w:rPr>
      </w:pPr>
      <w:r w:rsidRPr="005D18AE">
        <w:rPr>
          <w:b/>
          <w:bCs/>
        </w:rPr>
        <w:t>Summary</w:t>
      </w:r>
    </w:p>
    <w:p w14:paraId="36298244" w14:textId="77777777" w:rsidR="005D18AE" w:rsidRPr="005D18AE" w:rsidRDefault="005D18AE" w:rsidP="005D18AE">
      <w:pPr>
        <w:rPr>
          <w:b/>
          <w:bCs/>
        </w:rPr>
      </w:pPr>
      <w:r w:rsidRPr="005D18AE">
        <w:rPr>
          <w:b/>
          <w:bCs/>
        </w:rPr>
        <w:t>The CNCF Observability Whitepaper provides a comprehensive overview of observability within modern cloud-native systems. It explains that traditional monitoring alone is insufficient for highly distributed Kubernetes environments and emphasizes the importance of combining metrics, logs, and traces to gain complete operational visibility.</w:t>
      </w:r>
    </w:p>
    <w:p w14:paraId="71773CBF" w14:textId="77777777" w:rsidR="005D18AE" w:rsidRPr="005D18AE" w:rsidRDefault="005D18AE" w:rsidP="005D18AE">
      <w:pPr>
        <w:rPr>
          <w:b/>
          <w:bCs/>
        </w:rPr>
      </w:pPr>
      <w:r w:rsidRPr="005D18AE">
        <w:rPr>
          <w:b/>
          <w:bCs/>
        </w:rPr>
        <w:t xml:space="preserve">The whitepaper introduces the three pillars of observability: metrics for measuring system performance, logs for recording application and infrastructure events, and traces for tracking requests across distributed services. Together, these telemetry sources enable engineers to identify failures, understand application </w:t>
      </w:r>
      <w:proofErr w:type="spellStart"/>
      <w:r w:rsidRPr="005D18AE">
        <w:rPr>
          <w:b/>
          <w:bCs/>
        </w:rPr>
        <w:t>behavior</w:t>
      </w:r>
      <w:proofErr w:type="spellEnd"/>
      <w:r w:rsidRPr="005D18AE">
        <w:rPr>
          <w:b/>
          <w:bCs/>
        </w:rPr>
        <w:t>, diagnose performance bottlenecks, and resolve incidents more efficiently.</w:t>
      </w:r>
    </w:p>
    <w:p w14:paraId="0662679F" w14:textId="77777777" w:rsidR="005D18AE" w:rsidRPr="005D18AE" w:rsidRDefault="005D18AE" w:rsidP="005D18AE">
      <w:pPr>
        <w:rPr>
          <w:b/>
          <w:bCs/>
        </w:rPr>
      </w:pPr>
      <w:r w:rsidRPr="005D18AE">
        <w:rPr>
          <w:b/>
          <w:bCs/>
        </w:rPr>
        <w:t>The document also discusses distributed tracing, centralized logging, dashboard visualization, alerting strategies, telemetry pipelines, and observability platforms commonly used in Kubernetes environments. It highlights that effective observability enables proactive incident detection, faster root cause analysis, improved operational awareness, and higher system reliability.</w:t>
      </w:r>
    </w:p>
    <w:p w14:paraId="082DF889" w14:textId="77777777" w:rsidR="005D18AE" w:rsidRPr="005D18AE" w:rsidRDefault="005D18AE" w:rsidP="005D18AE">
      <w:pPr>
        <w:rPr>
          <w:b/>
          <w:bCs/>
        </w:rPr>
      </w:pPr>
      <w:r w:rsidRPr="005D18AE">
        <w:rPr>
          <w:b/>
          <w:bCs/>
        </w:rPr>
        <w:t>These concepts strongly support Site Reliability Engineering practices by providing the operational data required to measure Service Level Indicators (SLIs), evaluate Service Level Objectives (SLOs), monitor Error Budgets, and continuously improve service reliability.</w:t>
      </w:r>
    </w:p>
    <w:p w14:paraId="66A454F7" w14:textId="77777777" w:rsidR="005D18AE" w:rsidRPr="005D18AE" w:rsidRDefault="005D18AE" w:rsidP="005D18AE">
      <w:pPr>
        <w:rPr>
          <w:b/>
          <w:bCs/>
        </w:rPr>
      </w:pPr>
      <w:r w:rsidRPr="005D18AE">
        <w:rPr>
          <w:b/>
          <w:bCs/>
        </w:rPr>
        <w:pict w14:anchorId="260990C7">
          <v:rect id="_x0000_i1428" style="width:0;height:1.5pt" o:hralign="center" o:hrstd="t" o:hr="t" fillcolor="#a0a0a0" stroked="f"/>
        </w:pict>
      </w:r>
    </w:p>
    <w:p w14:paraId="495C8695" w14:textId="77777777" w:rsidR="005D18AE" w:rsidRPr="005D18AE" w:rsidRDefault="005D18AE" w:rsidP="005D18AE">
      <w:pPr>
        <w:rPr>
          <w:b/>
          <w:bCs/>
        </w:rPr>
      </w:pPr>
      <w:r w:rsidRPr="005D18AE">
        <w:rPr>
          <w:b/>
          <w:bCs/>
        </w:rPr>
        <w:t>Key Findings</w:t>
      </w:r>
    </w:p>
    <w:p w14:paraId="7DA3EFD2" w14:textId="77777777" w:rsidR="005D18AE" w:rsidRPr="005D18AE" w:rsidRDefault="005D18AE" w:rsidP="005D18AE">
      <w:pPr>
        <w:numPr>
          <w:ilvl w:val="0"/>
          <w:numId w:val="16"/>
        </w:numPr>
        <w:rPr>
          <w:b/>
          <w:bCs/>
        </w:rPr>
      </w:pPr>
      <w:r w:rsidRPr="005D18AE">
        <w:rPr>
          <w:b/>
          <w:bCs/>
        </w:rPr>
        <w:t>Observability extends beyond traditional monitoring.</w:t>
      </w:r>
    </w:p>
    <w:p w14:paraId="1534487F" w14:textId="77777777" w:rsidR="005D18AE" w:rsidRPr="005D18AE" w:rsidRDefault="005D18AE" w:rsidP="005D18AE">
      <w:pPr>
        <w:numPr>
          <w:ilvl w:val="0"/>
          <w:numId w:val="16"/>
        </w:numPr>
        <w:rPr>
          <w:b/>
          <w:bCs/>
        </w:rPr>
      </w:pPr>
      <w:r w:rsidRPr="005D18AE">
        <w:rPr>
          <w:b/>
          <w:bCs/>
        </w:rPr>
        <w:t>Metrics, logs, and traces form the three pillars of observability.</w:t>
      </w:r>
    </w:p>
    <w:p w14:paraId="11CDF7B2" w14:textId="77777777" w:rsidR="005D18AE" w:rsidRPr="005D18AE" w:rsidRDefault="005D18AE" w:rsidP="005D18AE">
      <w:pPr>
        <w:numPr>
          <w:ilvl w:val="0"/>
          <w:numId w:val="16"/>
        </w:numPr>
        <w:rPr>
          <w:b/>
          <w:bCs/>
        </w:rPr>
      </w:pPr>
      <w:r w:rsidRPr="005D18AE">
        <w:rPr>
          <w:b/>
          <w:bCs/>
        </w:rPr>
        <w:t>Distributed tracing improves root cause analysis.</w:t>
      </w:r>
    </w:p>
    <w:p w14:paraId="25A42D0D" w14:textId="77777777" w:rsidR="005D18AE" w:rsidRPr="005D18AE" w:rsidRDefault="005D18AE" w:rsidP="005D18AE">
      <w:pPr>
        <w:numPr>
          <w:ilvl w:val="0"/>
          <w:numId w:val="16"/>
        </w:numPr>
        <w:rPr>
          <w:b/>
          <w:bCs/>
        </w:rPr>
      </w:pPr>
      <w:r w:rsidRPr="005D18AE">
        <w:rPr>
          <w:b/>
          <w:bCs/>
        </w:rPr>
        <w:t>Centralized logging enhances troubleshooting efficiency.</w:t>
      </w:r>
    </w:p>
    <w:p w14:paraId="266106D8" w14:textId="77777777" w:rsidR="005D18AE" w:rsidRPr="005D18AE" w:rsidRDefault="005D18AE" w:rsidP="005D18AE">
      <w:pPr>
        <w:numPr>
          <w:ilvl w:val="0"/>
          <w:numId w:val="16"/>
        </w:numPr>
        <w:rPr>
          <w:b/>
          <w:bCs/>
        </w:rPr>
      </w:pPr>
      <w:r w:rsidRPr="005D18AE">
        <w:rPr>
          <w:b/>
          <w:bCs/>
        </w:rPr>
        <w:t>Dashboards and alerting support proactive incident detection.</w:t>
      </w:r>
    </w:p>
    <w:p w14:paraId="73504C01" w14:textId="77777777" w:rsidR="005D18AE" w:rsidRPr="005D18AE" w:rsidRDefault="005D18AE" w:rsidP="005D18AE">
      <w:pPr>
        <w:numPr>
          <w:ilvl w:val="0"/>
          <w:numId w:val="16"/>
        </w:numPr>
        <w:rPr>
          <w:b/>
          <w:bCs/>
        </w:rPr>
      </w:pPr>
      <w:r w:rsidRPr="005D18AE">
        <w:rPr>
          <w:b/>
          <w:bCs/>
        </w:rPr>
        <w:t>Telemetry-driven operations improve reliability and operational efficiency.</w:t>
      </w:r>
    </w:p>
    <w:p w14:paraId="6A80C3C3" w14:textId="77777777" w:rsidR="005D18AE" w:rsidRPr="005D18AE" w:rsidRDefault="005D18AE" w:rsidP="005D18AE">
      <w:pPr>
        <w:numPr>
          <w:ilvl w:val="0"/>
          <w:numId w:val="16"/>
        </w:numPr>
        <w:rPr>
          <w:b/>
          <w:bCs/>
        </w:rPr>
      </w:pPr>
      <w:r w:rsidRPr="005D18AE">
        <w:rPr>
          <w:b/>
          <w:bCs/>
        </w:rPr>
        <w:t>Observability provides the data required for effective Site Reliability Engineering.</w:t>
      </w:r>
    </w:p>
    <w:p w14:paraId="68E3045A" w14:textId="77777777" w:rsidR="005D18AE" w:rsidRPr="005D18AE" w:rsidRDefault="005D18AE" w:rsidP="005D18AE">
      <w:pPr>
        <w:rPr>
          <w:b/>
          <w:bCs/>
        </w:rPr>
      </w:pPr>
      <w:r w:rsidRPr="005D18AE">
        <w:rPr>
          <w:b/>
          <w:bCs/>
        </w:rPr>
        <w:pict w14:anchorId="5803ECFF">
          <v:rect id="_x0000_i1429" style="width:0;height:1.5pt" o:hralign="center" o:hrstd="t" o:hr="t" fillcolor="#a0a0a0" stroked="f"/>
        </w:pict>
      </w:r>
    </w:p>
    <w:p w14:paraId="682ADBD7" w14:textId="77777777" w:rsidR="005D18AE" w:rsidRPr="005D18AE" w:rsidRDefault="005D18AE" w:rsidP="005D18AE">
      <w:pPr>
        <w:rPr>
          <w:b/>
          <w:bCs/>
        </w:rPr>
      </w:pPr>
      <w:r w:rsidRPr="005D18AE">
        <w:rPr>
          <w:b/>
          <w:bCs/>
        </w:rPr>
        <w:t>Limitations</w:t>
      </w:r>
    </w:p>
    <w:p w14:paraId="4F40BD91" w14:textId="77777777" w:rsidR="005D18AE" w:rsidRPr="005D18AE" w:rsidRDefault="005D18AE" w:rsidP="005D18AE">
      <w:pPr>
        <w:numPr>
          <w:ilvl w:val="0"/>
          <w:numId w:val="17"/>
        </w:numPr>
        <w:rPr>
          <w:b/>
          <w:bCs/>
        </w:rPr>
      </w:pPr>
      <w:r w:rsidRPr="005D18AE">
        <w:rPr>
          <w:b/>
          <w:bCs/>
        </w:rPr>
        <w:t>Provides architectural guidance rather than experimental validation.</w:t>
      </w:r>
    </w:p>
    <w:p w14:paraId="01B54430" w14:textId="77777777" w:rsidR="005D18AE" w:rsidRPr="005D18AE" w:rsidRDefault="005D18AE" w:rsidP="005D18AE">
      <w:pPr>
        <w:numPr>
          <w:ilvl w:val="0"/>
          <w:numId w:val="17"/>
        </w:numPr>
        <w:rPr>
          <w:b/>
          <w:bCs/>
        </w:rPr>
      </w:pPr>
      <w:r w:rsidRPr="005D18AE">
        <w:rPr>
          <w:b/>
          <w:bCs/>
        </w:rPr>
        <w:lastRenderedPageBreak/>
        <w:t>Does not define Azure-specific observability implementations.</w:t>
      </w:r>
    </w:p>
    <w:p w14:paraId="2205971E" w14:textId="77777777" w:rsidR="005D18AE" w:rsidRPr="005D18AE" w:rsidRDefault="005D18AE" w:rsidP="005D18AE">
      <w:pPr>
        <w:numPr>
          <w:ilvl w:val="0"/>
          <w:numId w:val="17"/>
        </w:numPr>
        <w:rPr>
          <w:b/>
          <w:bCs/>
        </w:rPr>
      </w:pPr>
      <w:r w:rsidRPr="005D18AE">
        <w:rPr>
          <w:b/>
          <w:bCs/>
        </w:rPr>
        <w:t>Limited discussion of quantitative reliability improvements using observability platforms.</w:t>
      </w:r>
    </w:p>
    <w:p w14:paraId="4B831DC9" w14:textId="77777777" w:rsidR="005D18AE" w:rsidRPr="005D18AE" w:rsidRDefault="005D18AE" w:rsidP="005D18AE">
      <w:pPr>
        <w:rPr>
          <w:b/>
          <w:bCs/>
        </w:rPr>
      </w:pPr>
      <w:r w:rsidRPr="005D18AE">
        <w:rPr>
          <w:b/>
          <w:bCs/>
        </w:rPr>
        <w:pict w14:anchorId="29A7DBA7">
          <v:rect id="_x0000_i1430" style="width:0;height:1.5pt" o:hralign="center" o:hrstd="t" o:hr="t" fillcolor="#a0a0a0" stroked="f"/>
        </w:pict>
      </w:r>
    </w:p>
    <w:p w14:paraId="001A883B" w14:textId="77777777" w:rsidR="005D18AE" w:rsidRPr="005D18AE" w:rsidRDefault="005D18AE" w:rsidP="005D18AE">
      <w:pPr>
        <w:rPr>
          <w:b/>
          <w:bCs/>
        </w:rPr>
      </w:pPr>
      <w:r w:rsidRPr="005D18AE">
        <w:rPr>
          <w:b/>
          <w:bCs/>
        </w:rPr>
        <w:t>Research Gap</w:t>
      </w:r>
    </w:p>
    <w:p w14:paraId="14E8FB9B" w14:textId="77777777" w:rsidR="005D18AE" w:rsidRPr="005D18AE" w:rsidRDefault="005D18AE" w:rsidP="005D18AE">
      <w:pPr>
        <w:rPr>
          <w:b/>
          <w:bCs/>
        </w:rPr>
      </w:pPr>
      <w:r w:rsidRPr="005D18AE">
        <w:rPr>
          <w:b/>
          <w:bCs/>
        </w:rPr>
        <w:t>Although CNCF provides comprehensive guidance on observability, limited research evaluates how integrating observability tools such as Azure Monitor, Prometheus, Grafana, and Log Analytics within Azure Kubernetes Service directly improves Site Reliability Engineering metrics including Mean Time to Detect (MTTD), Mean Time to Recover (MTTR), availability, and operational efficiency.</w:t>
      </w:r>
    </w:p>
    <w:p w14:paraId="49091751" w14:textId="77777777" w:rsidR="005D18AE" w:rsidRPr="005D18AE" w:rsidRDefault="005D18AE" w:rsidP="005D18AE">
      <w:pPr>
        <w:rPr>
          <w:b/>
          <w:bCs/>
        </w:rPr>
      </w:pPr>
      <w:r w:rsidRPr="005D18AE">
        <w:rPr>
          <w:b/>
          <w:bCs/>
        </w:rPr>
        <w:pict w14:anchorId="27A24BC5">
          <v:rect id="_x0000_i1431" style="width:0;height:1.5pt" o:hralign="center" o:hrstd="t" o:hr="t" fillcolor="#a0a0a0" stroked="f"/>
        </w:pict>
      </w:r>
    </w:p>
    <w:p w14:paraId="7CD0547F" w14:textId="77777777" w:rsidR="005D18AE" w:rsidRPr="005D18AE" w:rsidRDefault="005D18AE" w:rsidP="005D18AE">
      <w:pPr>
        <w:rPr>
          <w:b/>
          <w:bCs/>
        </w:rPr>
      </w:pPr>
      <w:r w:rsidRPr="005D18AE">
        <w:rPr>
          <w:b/>
          <w:bCs/>
        </w:rPr>
        <w:t>Relevance to Dissertation</w:t>
      </w:r>
    </w:p>
    <w:p w14:paraId="5F4688E4" w14:textId="77777777" w:rsidR="005D18AE" w:rsidRPr="005D18AE" w:rsidRDefault="005D18AE" w:rsidP="005D18AE">
      <w:pPr>
        <w:rPr>
          <w:b/>
          <w:bCs/>
        </w:rPr>
      </w:pPr>
      <w:r w:rsidRPr="005D18AE">
        <w:rPr>
          <w:b/>
          <w:bCs/>
        </w:rPr>
        <w:t>This whitepaper establishes the theoretical foundation for the observability architecture implemented in this dissertation. The experimental environment will combine Azure Monitor, Prometheus, Grafana, and Log Analytics to evaluate how improved observability contributes to reliability, incident response, and operational excellence within Azure Kubernetes Service.</w:t>
      </w:r>
    </w:p>
    <w:p w14:paraId="58006E98" w14:textId="77777777" w:rsidR="001A1E2A" w:rsidRPr="005D18AE" w:rsidRDefault="001A1E2A" w:rsidP="005D18AE"/>
    <w:sectPr w:rsidR="001A1E2A" w:rsidRPr="005D18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5DEA"/>
    <w:multiLevelType w:val="multilevel"/>
    <w:tmpl w:val="2A46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7321"/>
    <w:multiLevelType w:val="multilevel"/>
    <w:tmpl w:val="1F4E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F0DB5"/>
    <w:multiLevelType w:val="multilevel"/>
    <w:tmpl w:val="2100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907A5"/>
    <w:multiLevelType w:val="multilevel"/>
    <w:tmpl w:val="D06C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27793"/>
    <w:multiLevelType w:val="multilevel"/>
    <w:tmpl w:val="147E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164F5"/>
    <w:multiLevelType w:val="multilevel"/>
    <w:tmpl w:val="B2C8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859B2"/>
    <w:multiLevelType w:val="multilevel"/>
    <w:tmpl w:val="A578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96E9C"/>
    <w:multiLevelType w:val="multilevel"/>
    <w:tmpl w:val="6BC6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A3E22"/>
    <w:multiLevelType w:val="multilevel"/>
    <w:tmpl w:val="AD94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22E73"/>
    <w:multiLevelType w:val="multilevel"/>
    <w:tmpl w:val="40F6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F5700"/>
    <w:multiLevelType w:val="multilevel"/>
    <w:tmpl w:val="D73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3641D"/>
    <w:multiLevelType w:val="multilevel"/>
    <w:tmpl w:val="01E0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8C0AA2"/>
    <w:multiLevelType w:val="multilevel"/>
    <w:tmpl w:val="194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EC77C1"/>
    <w:multiLevelType w:val="multilevel"/>
    <w:tmpl w:val="DA7C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81462F"/>
    <w:multiLevelType w:val="multilevel"/>
    <w:tmpl w:val="95B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35F3D"/>
    <w:multiLevelType w:val="multilevel"/>
    <w:tmpl w:val="CAD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5C61E1"/>
    <w:multiLevelType w:val="multilevel"/>
    <w:tmpl w:val="A076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112138">
    <w:abstractNumId w:val="5"/>
  </w:num>
  <w:num w:numId="2" w16cid:durableId="1737818863">
    <w:abstractNumId w:val="14"/>
  </w:num>
  <w:num w:numId="3" w16cid:durableId="593438595">
    <w:abstractNumId w:val="7"/>
  </w:num>
  <w:num w:numId="4" w16cid:durableId="279805608">
    <w:abstractNumId w:val="12"/>
  </w:num>
  <w:num w:numId="5" w16cid:durableId="240260553">
    <w:abstractNumId w:val="11"/>
  </w:num>
  <w:num w:numId="6" w16cid:durableId="91095524">
    <w:abstractNumId w:val="9"/>
  </w:num>
  <w:num w:numId="7" w16cid:durableId="1450512623">
    <w:abstractNumId w:val="8"/>
  </w:num>
  <w:num w:numId="8" w16cid:durableId="1487623652">
    <w:abstractNumId w:val="3"/>
  </w:num>
  <w:num w:numId="9" w16cid:durableId="644092458">
    <w:abstractNumId w:val="10"/>
  </w:num>
  <w:num w:numId="10" w16cid:durableId="1278415522">
    <w:abstractNumId w:val="4"/>
  </w:num>
  <w:num w:numId="11" w16cid:durableId="2084140869">
    <w:abstractNumId w:val="0"/>
  </w:num>
  <w:num w:numId="12" w16cid:durableId="549803845">
    <w:abstractNumId w:val="2"/>
  </w:num>
  <w:num w:numId="13" w16cid:durableId="2036229468">
    <w:abstractNumId w:val="6"/>
  </w:num>
  <w:num w:numId="14" w16cid:durableId="1457987031">
    <w:abstractNumId w:val="1"/>
  </w:num>
  <w:num w:numId="15" w16cid:durableId="359356025">
    <w:abstractNumId w:val="16"/>
  </w:num>
  <w:num w:numId="16" w16cid:durableId="1611549963">
    <w:abstractNumId w:val="15"/>
  </w:num>
  <w:num w:numId="17" w16cid:durableId="17218986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43"/>
    <w:rsid w:val="00032C54"/>
    <w:rsid w:val="00042125"/>
    <w:rsid w:val="001A1E2A"/>
    <w:rsid w:val="00223372"/>
    <w:rsid w:val="002D4267"/>
    <w:rsid w:val="003C2CBB"/>
    <w:rsid w:val="003F6A7B"/>
    <w:rsid w:val="005D18AE"/>
    <w:rsid w:val="00AC35AB"/>
    <w:rsid w:val="00B036F7"/>
    <w:rsid w:val="00CC3C43"/>
    <w:rsid w:val="00EE6883"/>
    <w:rsid w:val="00FE7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38C2"/>
  <w15:chartTrackingRefBased/>
  <w15:docId w15:val="{39FEA542-E14B-41A5-A7CB-2B2BCD7C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43"/>
    <w:rPr>
      <w:rFonts w:eastAsiaTheme="majorEastAsia" w:cstheme="majorBidi"/>
      <w:color w:val="272727" w:themeColor="text1" w:themeTint="D8"/>
    </w:rPr>
  </w:style>
  <w:style w:type="paragraph" w:styleId="Title">
    <w:name w:val="Title"/>
    <w:basedOn w:val="Normal"/>
    <w:next w:val="Normal"/>
    <w:link w:val="TitleChar"/>
    <w:uiPriority w:val="10"/>
    <w:qFormat/>
    <w:rsid w:val="00CC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43"/>
    <w:pPr>
      <w:spacing w:before="160"/>
      <w:jc w:val="center"/>
    </w:pPr>
    <w:rPr>
      <w:i/>
      <w:iCs/>
      <w:color w:val="404040" w:themeColor="text1" w:themeTint="BF"/>
    </w:rPr>
  </w:style>
  <w:style w:type="character" w:customStyle="1" w:styleId="QuoteChar">
    <w:name w:val="Quote Char"/>
    <w:basedOn w:val="DefaultParagraphFont"/>
    <w:link w:val="Quote"/>
    <w:uiPriority w:val="29"/>
    <w:rsid w:val="00CC3C43"/>
    <w:rPr>
      <w:i/>
      <w:iCs/>
      <w:color w:val="404040" w:themeColor="text1" w:themeTint="BF"/>
    </w:rPr>
  </w:style>
  <w:style w:type="paragraph" w:styleId="ListParagraph">
    <w:name w:val="List Paragraph"/>
    <w:basedOn w:val="Normal"/>
    <w:uiPriority w:val="34"/>
    <w:qFormat/>
    <w:rsid w:val="00CC3C43"/>
    <w:pPr>
      <w:ind w:left="720"/>
      <w:contextualSpacing/>
    </w:pPr>
  </w:style>
  <w:style w:type="character" w:styleId="IntenseEmphasis">
    <w:name w:val="Intense Emphasis"/>
    <w:basedOn w:val="DefaultParagraphFont"/>
    <w:uiPriority w:val="21"/>
    <w:qFormat/>
    <w:rsid w:val="00CC3C43"/>
    <w:rPr>
      <w:i/>
      <w:iCs/>
      <w:color w:val="2F5496" w:themeColor="accent1" w:themeShade="BF"/>
    </w:rPr>
  </w:style>
  <w:style w:type="paragraph" w:styleId="IntenseQuote">
    <w:name w:val="Intense Quote"/>
    <w:basedOn w:val="Normal"/>
    <w:next w:val="Normal"/>
    <w:link w:val="IntenseQuoteChar"/>
    <w:uiPriority w:val="30"/>
    <w:qFormat/>
    <w:rsid w:val="00CC3C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43"/>
    <w:rPr>
      <w:i/>
      <w:iCs/>
      <w:color w:val="2F5496" w:themeColor="accent1" w:themeShade="BF"/>
    </w:rPr>
  </w:style>
  <w:style w:type="character" w:styleId="IntenseReference">
    <w:name w:val="Intense Reference"/>
    <w:basedOn w:val="DefaultParagraphFont"/>
    <w:uiPriority w:val="32"/>
    <w:qFormat/>
    <w:rsid w:val="00CC3C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437</Words>
  <Characters>2497</Characters>
  <Application>Microsoft Office Word</Application>
  <DocSecurity>0</DocSecurity>
  <Lines>20</Lines>
  <Paragraphs>5</Paragraphs>
  <ScaleCrop>false</ScaleCrop>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 k</dc:creator>
  <cp:keywords/>
  <dc:description/>
  <cp:lastModifiedBy>Zeba k</cp:lastModifiedBy>
  <cp:revision>2</cp:revision>
  <dcterms:created xsi:type="dcterms:W3CDTF">2026-06-27T16:46:00Z</dcterms:created>
  <dcterms:modified xsi:type="dcterms:W3CDTF">2026-06-27T16:46:00Z</dcterms:modified>
</cp:coreProperties>
</file>