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46F5882F"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r w:rsidR="00A81CC9">
        <w:rPr>
          <w:rFonts w:asciiTheme="minorHAnsi" w:hAnsiTheme="minorHAnsi" w:cstheme="minorHAnsi"/>
        </w:rPr>
        <w:t xml:space="preserve"> </w:t>
      </w:r>
      <w:r w:rsidR="0058441D">
        <w:rPr>
          <w:rFonts w:asciiTheme="minorHAnsi" w:hAnsiTheme="minorHAnsi" w:cstheme="minorHAnsi"/>
        </w:rPr>
        <w:t>(</w:t>
      </w:r>
      <w:r w:rsidR="007C16B5">
        <w:rPr>
          <w:rFonts w:asciiTheme="minorHAnsi" w:hAnsiTheme="minorHAnsi" w:cstheme="minorHAnsi"/>
        </w:rPr>
        <w:t>Up to 250 words</w:t>
      </w:r>
      <w:r w:rsidR="0058441D">
        <w:rPr>
          <w:rFonts w:asciiTheme="minorHAnsi" w:hAnsiTheme="minorHAnsi" w:cstheme="minorHAnsi"/>
        </w:rPr>
        <w:t>)</w:t>
      </w:r>
    </w:p>
    <w:p w14:paraId="29618146" w14:textId="7194B110"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introduction on the disease</w:t>
      </w:r>
      <w:r w:rsidRPr="009F4060">
        <w:rPr>
          <w:rFonts w:asciiTheme="minorHAnsi" w:hAnsiTheme="minorHAnsi" w:cstheme="minorHAnsi"/>
        </w:rPr>
        <w:t>:</w:t>
      </w:r>
      <w:r w:rsidR="00EB13C4">
        <w:rPr>
          <w:rFonts w:asciiTheme="minorHAnsi" w:hAnsiTheme="minorHAnsi" w:cstheme="minorHAnsi"/>
        </w:rPr>
        <w:t xml:space="preserve"> </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02F298CA"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7E546AE6" w14:textId="38D363E2" w:rsidR="009F4060" w:rsidRDefault="009F4060" w:rsidP="00156F97">
      <w:pPr>
        <w:pStyle w:val="NormalWeb"/>
        <w:spacing w:before="0" w:beforeAutospacing="0" w:after="0" w:afterAutospacing="0" w:line="360" w:lineRule="auto"/>
        <w:rPr>
          <w:rFonts w:asciiTheme="minorHAnsi" w:hAnsiTheme="minorHAnsi" w:cstheme="minorHAnsi"/>
        </w:rPr>
      </w:pPr>
      <w:commentRangeStart w:id="1"/>
      <w:r w:rsidRPr="007C16B5">
        <w:rPr>
          <w:rFonts w:asciiTheme="minorHAnsi" w:hAnsiTheme="minorHAnsi" w:cstheme="minorHAnsi"/>
          <w:u w:val="single"/>
        </w:rPr>
        <w:t>The knowledge gaps</w:t>
      </w:r>
      <w:r w:rsidRPr="009F4060">
        <w:rPr>
          <w:rFonts w:asciiTheme="minorHAnsi" w:hAnsiTheme="minorHAnsi" w:cstheme="minorHAnsi"/>
        </w:rPr>
        <w:t>:</w:t>
      </w:r>
      <w:r w:rsidR="00A56C03">
        <w:rPr>
          <w:rFonts w:asciiTheme="minorHAnsi" w:hAnsiTheme="minorHAnsi" w:cstheme="minorHAnsi"/>
        </w:rPr>
        <w:t xml:space="preserve"> </w:t>
      </w:r>
      <w:commentRangeEnd w:id="1"/>
      <w:r w:rsidR="00BF0604">
        <w:rPr>
          <w:rStyle w:val="CommentReference"/>
          <w:rFonts w:asciiTheme="minorHAnsi" w:eastAsiaTheme="minorHAnsi" w:hAnsiTheme="minorHAnsi" w:cstheme="minorBidi"/>
        </w:rPr>
        <w:commentReference w:id="1"/>
      </w:r>
    </w:p>
    <w:p w14:paraId="6480173F" w14:textId="5EA5E53D" w:rsidR="00283096" w:rsidRDefault="00283096" w:rsidP="00156F97">
      <w:pPr>
        <w:pStyle w:val="NormalWeb"/>
        <w:spacing w:before="0" w:beforeAutospacing="0" w:after="0" w:afterAutospacing="0" w:line="360" w:lineRule="auto"/>
        <w:rPr>
          <w:rFonts w:asciiTheme="minorHAnsi" w:hAnsiTheme="minorHAnsi" w:cstheme="minorHAnsi"/>
        </w:rPr>
      </w:pPr>
    </w:p>
    <w:p w14:paraId="1D583F09" w14:textId="77777777" w:rsidR="00973618" w:rsidRPr="009F4060" w:rsidRDefault="00973618" w:rsidP="00156F97">
      <w:pPr>
        <w:pStyle w:val="NormalWeb"/>
        <w:spacing w:before="0" w:beforeAutospacing="0" w:after="0" w:afterAutospacing="0" w:line="360" w:lineRule="auto"/>
        <w:rPr>
          <w:rFonts w:asciiTheme="minorHAnsi" w:hAnsiTheme="minorHAnsi" w:cstheme="minorHAnsi"/>
        </w:rPr>
      </w:pPr>
    </w:p>
    <w:p w14:paraId="0582238A" w14:textId="77777777" w:rsidR="00973618"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main goal of the analysis</w:t>
      </w:r>
      <w:r w:rsidRPr="009F4060">
        <w:rPr>
          <w:rFonts w:asciiTheme="minorHAnsi" w:hAnsiTheme="minorHAnsi" w:cstheme="minorHAnsi"/>
        </w:rPr>
        <w:t>:</w:t>
      </w:r>
    </w:p>
    <w:p w14:paraId="4DDE4C44" w14:textId="67939B0A" w:rsidR="009F4060" w:rsidRDefault="00973618" w:rsidP="002477D8">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p>
    <w:p w14:paraId="0A649542"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D53D1AC" w14:textId="2108C892"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overview of your analysis</w:t>
      </w:r>
      <w:r w:rsidRPr="009F4060">
        <w:rPr>
          <w:rFonts w:asciiTheme="minorHAnsi" w:hAnsiTheme="minorHAnsi" w:cstheme="minorHAnsi"/>
        </w:rPr>
        <w:t>:</w:t>
      </w:r>
    </w:p>
    <w:p w14:paraId="44DB368B" w14:textId="61FF1DDC" w:rsidR="007300D7" w:rsidRDefault="007300D7" w:rsidP="007300D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w:t>
      </w:r>
      <w:r w:rsidR="002477D8">
        <w:rPr>
          <w:rFonts w:asciiTheme="minorHAnsi" w:hAnsiTheme="minorHAnsi" w:cstheme="minorHAnsi"/>
        </w:rPr>
        <w:t xml:space="preserve">. 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p>
    <w:p w14:paraId="01D8A0DF"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3DB6193C" w14:textId="4EA55F3B"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Your key result(s)</w:t>
      </w:r>
      <w:r w:rsidRPr="009F4060">
        <w:rPr>
          <w:rFonts w:asciiTheme="minorHAnsi" w:hAnsiTheme="minorHAnsi" w:cstheme="minorHAnsi"/>
        </w:rPr>
        <w:t>:</w:t>
      </w:r>
    </w:p>
    <w:p w14:paraId="394344E8" w14:textId="05C7A140" w:rsidR="00283096" w:rsidRPr="00FE7D64"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have identified two candidate genes</w:t>
      </w:r>
      <w:r w:rsidR="002477D8">
        <w:rPr>
          <w:rFonts w:asciiTheme="minorHAnsi" w:hAnsiTheme="minorHAnsi" w:cstheme="minorHAnsi"/>
        </w:rPr>
        <w:t xml:space="preserve"> (LINC02340 and MT1X)</w:t>
      </w:r>
      <w:r>
        <w:rPr>
          <w:rFonts w:asciiTheme="minorHAnsi" w:hAnsiTheme="minorHAnsi" w:cstheme="minorHAnsi"/>
        </w:rPr>
        <w:t xml:space="preserve"> to be biomarkers of bipolar disorder and other psychiatric illnesses and </w:t>
      </w:r>
      <w:commentRangeStart w:id="2"/>
      <w:r>
        <w:rPr>
          <w:rFonts w:asciiTheme="minorHAnsi" w:hAnsiTheme="minorHAnsi" w:cstheme="minorHAnsi"/>
        </w:rPr>
        <w:t xml:space="preserve">we have also </w:t>
      </w:r>
      <w:r w:rsidR="002477D8">
        <w:rPr>
          <w:rFonts w:asciiTheme="minorHAnsi" w:hAnsiTheme="minorHAnsi" w:cstheme="minorHAnsi"/>
        </w:rPr>
        <w:t xml:space="preserve">found genes which could act as biomarkers in </w:t>
      </w:r>
      <w:r w:rsidR="00BF0604">
        <w:rPr>
          <w:rFonts w:asciiTheme="minorHAnsi" w:hAnsiTheme="minorHAnsi" w:cstheme="minorHAnsi"/>
        </w:rPr>
        <w:t>specific regions of the brain:</w:t>
      </w:r>
      <w:r w:rsidR="002477D8">
        <w:rPr>
          <w:rFonts w:asciiTheme="minorHAnsi" w:hAnsiTheme="minorHAnsi" w:cstheme="minorHAnsi"/>
        </w:rPr>
        <w:t>.</w:t>
      </w:r>
      <w:commentRangeEnd w:id="2"/>
      <w:r w:rsidR="00BF0604">
        <w:rPr>
          <w:rStyle w:val="CommentReference"/>
          <w:rFonts w:asciiTheme="minorHAnsi" w:eastAsiaTheme="minorHAnsi" w:hAnsiTheme="minorHAnsi" w:cstheme="minorBidi"/>
        </w:rPr>
        <w:commentReference w:id="2"/>
      </w:r>
      <w:r w:rsidR="00BF0604">
        <w:rPr>
          <w:rFonts w:asciiTheme="minorHAnsi" w:hAnsiTheme="minorHAnsi" w:cstheme="minorHAnsi"/>
        </w:rPr>
        <w:t xml:space="preserve"> I</w:t>
      </w:r>
      <w:r w:rsidR="002477D8">
        <w:rPr>
          <w:rFonts w:asciiTheme="minorHAnsi" w:hAnsiTheme="minorHAnsi" w:cstheme="minorHAnsi"/>
        </w:rPr>
        <w:t xml:space="preserve">n addition, we </w:t>
      </w:r>
      <w:r>
        <w:rPr>
          <w:rFonts w:asciiTheme="minorHAnsi" w:hAnsiTheme="minorHAnsi" w:cstheme="minorHAnsi"/>
        </w:rPr>
        <w:t xml:space="preserve">found two pathways which are associated with bipolar disorder – the coagulation system and the metabolism of xenobiotics. </w:t>
      </w:r>
      <w:commentRangeStart w:id="3"/>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3"/>
      <w:r w:rsidR="00BF0604">
        <w:rPr>
          <w:rStyle w:val="CommentReference"/>
          <w:rFonts w:asciiTheme="minorHAnsi" w:eastAsiaTheme="minorHAnsi" w:hAnsiTheme="minorHAnsi" w:cstheme="minorBidi"/>
        </w:rPr>
        <w:commentReference w:id="3"/>
      </w:r>
    </w:p>
    <w:p w14:paraId="48397DDF" w14:textId="77777777" w:rsidR="00FE7D64" w:rsidRPr="009F4060" w:rsidRDefault="00FE7D64" w:rsidP="00156F97">
      <w:pPr>
        <w:pStyle w:val="NormalWeb"/>
        <w:spacing w:before="0" w:beforeAutospacing="0" w:after="0" w:afterAutospacing="0" w:line="360" w:lineRule="auto"/>
        <w:rPr>
          <w:rFonts w:asciiTheme="minorHAnsi" w:hAnsiTheme="minorHAnsi" w:cstheme="minorHAnsi"/>
        </w:rPr>
      </w:pPr>
    </w:p>
    <w:p w14:paraId="391DD15D" w14:textId="09EB77A4" w:rsidR="00651A4B"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Main conclusion(s)</w:t>
      </w:r>
      <w:r>
        <w:rPr>
          <w:rFonts w:asciiTheme="minorHAnsi" w:hAnsiTheme="minorHAnsi" w:cstheme="minorHAnsi"/>
        </w:rPr>
        <w:t>:</w:t>
      </w:r>
    </w:p>
    <w:p w14:paraId="312386EA" w14:textId="5CB4A72B" w:rsidR="007C16B5"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4" w:name="_Hlk97035902"/>
      <w:r w:rsidRPr="0011559E">
        <w:rPr>
          <w:rFonts w:asciiTheme="majorBidi" w:hAnsiTheme="majorBidi" w:cstheme="majorBidi"/>
          <w:b/>
          <w:bCs/>
          <w:i/>
          <w:iCs/>
          <w:u w:val="single"/>
        </w:rPr>
        <w:lastRenderedPageBreak/>
        <w:t>Introduction</w:t>
      </w:r>
    </w:p>
    <w:p w14:paraId="1AB7AC95" w14:textId="74558D9D"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commentRangeStart w:id="5"/>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25829" w:rsidRPr="00825829">
            <w:rPr>
              <w:rFonts w:asciiTheme="minorHAnsi" w:hAnsiTheme="minorHAnsi" w:cstheme="minorHAnsi"/>
              <w:color w:val="000000"/>
            </w:rPr>
            <w:t>(Rowland and Marwaha, 2018)</w:t>
          </w:r>
        </w:sdtContent>
      </w:sdt>
      <w:commentRangeEnd w:id="5"/>
      <w:r w:rsidR="00AC0779">
        <w:rPr>
          <w:rStyle w:val="CommentReference"/>
          <w:rFonts w:asciiTheme="minorHAnsi" w:eastAsiaTheme="minorHAnsi" w:hAnsiTheme="minorHAnsi" w:cstheme="minorBidi"/>
        </w:rPr>
        <w:commentReference w:id="5"/>
      </w:r>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25829" w:rsidRPr="00825829">
            <w:rPr>
              <w:rFonts w:asciiTheme="minorHAnsi" w:hAnsiTheme="minorHAnsi" w:cstheme="minorHAnsi"/>
              <w:color w:val="000000"/>
            </w:rPr>
            <w:t>(Miklowitz, 2008; Müller-Oerlinghausen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7D9BDABA" w14:textId="73FE1B45"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25829" w:rsidRPr="00825829">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25829" w:rsidRPr="00825829">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25829" w:rsidRPr="00825829">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027D4416" w14:textId="0ABCB140"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25829" w:rsidRPr="00825829">
            <w:rPr>
              <w:rFonts w:asciiTheme="minorHAnsi" w:hAnsiTheme="minorHAnsi" w:cstheme="minorHAnsi"/>
              <w:color w:val="000000"/>
            </w:rPr>
            <w:t>(Müller-Oerlinghausen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D5D7909"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25829" w:rsidRPr="00825829">
            <w:rPr>
              <w:rFonts w:asciiTheme="minorHAnsi" w:hAnsiTheme="minorHAnsi" w:cstheme="minorHAnsi"/>
              <w:color w:val="000000"/>
            </w:rPr>
            <w:t>(Medeiros and Goes, 2022).</w:t>
          </w:r>
        </w:sdtContent>
      </w:sdt>
    </w:p>
    <w:p w14:paraId="5B4F3D90" w14:textId="5E2FDDB9"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There are a lot of things which are still unknown about the BD's diagnosis, nature and treatment: first of all,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25829" w:rsidRPr="00825829">
            <w:rPr>
              <w:rFonts w:asciiTheme="minorHAnsi" w:hAnsiTheme="minorHAnsi" w:cstheme="minorHAnsi"/>
              <w:color w:val="000000"/>
            </w:rPr>
            <w:t>(Frey et al., 2013; Salagre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25829" w:rsidRPr="00825829">
            <w:rPr>
              <w:rFonts w:asciiTheme="minorHAnsi" w:hAnsiTheme="minorHAnsi" w:cstheme="minorHAnsi"/>
              <w:color w:val="000000"/>
            </w:rPr>
            <w:t>(Salagre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r w:rsidR="001617A1">
        <w:rPr>
          <w:rFonts w:asciiTheme="minorHAnsi" w:hAnsiTheme="minorHAnsi" w:cstheme="minorHAnsi"/>
        </w:rPr>
        <w:t>in regard to</w:t>
      </w:r>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58D64184"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25829" w:rsidRPr="00825829">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25829" w:rsidRPr="00825829">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25829" w:rsidRPr="00825829">
            <w:rPr>
              <w:rFonts w:asciiTheme="minorHAnsi" w:hAnsiTheme="minorHAnsi" w:cstheme="minorHAnsi"/>
              <w:color w:val="000000"/>
            </w:rPr>
            <w:t>(Kim et al., 2021; Yang et al., 2021).</w:t>
          </w:r>
        </w:sdtContent>
      </w:sdt>
    </w:p>
    <w:p w14:paraId="7C4B83F9" w14:textId="53667371"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25829" w:rsidRPr="00825829">
            <w:rPr>
              <w:rFonts w:asciiTheme="minorHAnsi" w:hAnsiTheme="minorHAnsi" w:cstheme="minorHAnsi"/>
              <w:color w:val="000000"/>
            </w:rPr>
            <w:t>(Oraki Kohshour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28FE7C8B"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25829" w:rsidRPr="00825829">
            <w:rPr>
              <w:rFonts w:asciiTheme="minorHAnsi" w:hAnsiTheme="minorHAnsi" w:cstheme="minorHAnsi"/>
              <w:color w:val="000000"/>
            </w:rPr>
            <w:t>(Akula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If we identify some kind of biomarkers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4"/>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565932"/>
      <w:r w:rsidRPr="0011559E">
        <w:rPr>
          <w:rFonts w:asciiTheme="majorBidi" w:hAnsiTheme="majorBidi" w:cstheme="majorBidi"/>
          <w:b/>
          <w:bCs/>
          <w:i/>
          <w:iCs/>
          <w:u w:val="single"/>
        </w:rPr>
        <w:lastRenderedPageBreak/>
        <w:t>Results</w:t>
      </w:r>
    </w:p>
    <w:p w14:paraId="4FB3A3B5" w14:textId="6651F516"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etc</w:t>
      </w:r>
      <w:r w:rsidR="007470A7">
        <w:rPr>
          <w:rFonts w:asciiTheme="minorHAnsi" w:hAnsiTheme="minorHAnsi" w:cstheme="minorHAnsi"/>
        </w:rPr>
        <w:t>.</w:t>
      </w:r>
    </w:p>
    <w:p w14:paraId="3385B4B1" w14:textId="287B77F0"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25829" w:rsidRPr="00825829">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25829" w:rsidRPr="00825829">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individuals</w:t>
      </w:r>
      <w:r w:rsidR="0077582F">
        <w:rPr>
          <w:rFonts w:asciiTheme="minorHAnsi" w:hAnsiTheme="minorHAnsi" w:cstheme="minorHAnsi"/>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1D58C750"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w:t>
      </w:r>
      <w:r w:rsidR="00534BED">
        <w:rPr>
          <w:rFonts w:asciiTheme="minorHAnsi" w:hAnsiTheme="minorHAnsi" w:cstheme="minorHAnsi"/>
        </w:rPr>
        <w:t>ed</w:t>
      </w:r>
      <w:r>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566A83">
        <w:rPr>
          <w:rFonts w:asciiTheme="minorHAnsi" w:hAnsiTheme="minorHAnsi" w:cstheme="minorHAnsi"/>
        </w:rPr>
        <w:t>S</w:t>
      </w:r>
      <w:r w:rsidR="00AD01CC">
        <w:rPr>
          <w:rFonts w:asciiTheme="minorHAnsi" w:hAnsiTheme="minorHAnsi" w:cstheme="minorHAnsi"/>
        </w:rPr>
        <w:t xml:space="preserve">Z patients and healthy individuals.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25829" w:rsidRPr="00825829">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48B071AE"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have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and plotted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4D041451"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SZ patients and healthy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SZ</w:t>
      </w:r>
      <w:r w:rsidR="00DD0014">
        <w:rPr>
          <w:rFonts w:asciiTheme="minorHAnsi" w:hAnsiTheme="minorHAnsi" w:cstheme="minorHAnsi"/>
        </w:rPr>
        <w:t xml:space="preserve"> and </w:t>
      </w:r>
      <w:r w:rsidR="000C63FA">
        <w:rPr>
          <w:rFonts w:asciiTheme="minorHAnsi" w:hAnsiTheme="minorHAnsi" w:cstheme="minorHAnsi"/>
        </w:rPr>
        <w:t xml:space="preserve">between BD and healthy people,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6EE03ED9" w:rsidR="007D3240" w:rsidRDefault="007D3240"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addition, we have examined the highly expressed genes </w:t>
      </w:r>
      <w:r w:rsidR="00932532">
        <w:rPr>
          <w:rFonts w:asciiTheme="minorHAnsi" w:hAnsiTheme="minorHAnsi" w:cstheme="minorHAnsi"/>
        </w:rPr>
        <w:t>in</w:t>
      </w:r>
      <w:r>
        <w:rPr>
          <w:rFonts w:asciiTheme="minorHAnsi" w:hAnsiTheme="minorHAnsi" w:cstheme="minorHAnsi"/>
        </w:rPr>
        <w:t xml:space="preserve"> different areas of the brain </w:t>
      </w:r>
      <w:r w:rsidR="00932532">
        <w:rPr>
          <w:rFonts w:asciiTheme="minorHAnsi" w:hAnsiTheme="minorHAnsi" w:cstheme="minorHAnsi"/>
        </w:rPr>
        <w:t>in BD patients relative to</w:t>
      </w:r>
      <w:r w:rsidR="001C2703">
        <w:rPr>
          <w:rFonts w:asciiTheme="minorHAnsi" w:hAnsiTheme="minorHAnsi" w:cstheme="minorHAnsi"/>
        </w:rPr>
        <w:t xml:space="preserve"> the</w:t>
      </w:r>
      <w:r w:rsidR="00932532">
        <w:rPr>
          <w:rFonts w:asciiTheme="minorHAnsi" w:hAnsiTheme="minorHAnsi" w:cstheme="minorHAnsi"/>
        </w:rPr>
        <w:t xml:space="preserve"> </w:t>
      </w:r>
      <w:r w:rsidR="00A91062">
        <w:rPr>
          <w:rFonts w:asciiTheme="minorHAnsi" w:hAnsiTheme="minorHAnsi" w:cstheme="minorHAnsi"/>
        </w:rPr>
        <w:t>control groups (healthy and SZ)</w:t>
      </w:r>
      <w:r w:rsidR="00DD0014">
        <w:rPr>
          <w:rFonts w:asciiTheme="minorHAnsi" w:hAnsiTheme="minorHAnsi" w:cstheme="minorHAnsi"/>
        </w:rPr>
        <w:t xml:space="preserve"> using volcano plots</w:t>
      </w:r>
      <w:r w:rsidR="00C766F3">
        <w:rPr>
          <w:rFonts w:asciiTheme="minorHAnsi" w:hAnsiTheme="minorHAnsi" w:cstheme="minorHAnsi"/>
        </w:rPr>
        <w:t xml:space="preserve">. As the </w:t>
      </w:r>
      <w:r w:rsidR="00DD0014">
        <w:rPr>
          <w:rFonts w:asciiTheme="minorHAnsi" w:hAnsiTheme="minorHAnsi" w:cstheme="minorHAnsi"/>
        </w:rPr>
        <w:t>graphs</w:t>
      </w:r>
      <w:r w:rsidR="00C766F3">
        <w:rPr>
          <w:rFonts w:asciiTheme="minorHAnsi" w:hAnsiTheme="minorHAnsi" w:cstheme="minorHAnsi"/>
        </w:rPr>
        <w:t xml:space="preserve"> show, there </w:t>
      </w:r>
      <w:r w:rsidR="00A91062">
        <w:rPr>
          <w:rFonts w:asciiTheme="minorHAnsi" w:hAnsiTheme="minorHAnsi" w:cstheme="minorHAnsi"/>
        </w:rPr>
        <w:t>is a common gene which is highly expressed in BD patients exclusively in the 9</w:t>
      </w:r>
      <w:r w:rsidR="00A91062" w:rsidRPr="00A91062">
        <w:rPr>
          <w:rFonts w:asciiTheme="minorHAnsi" w:hAnsiTheme="minorHAnsi" w:cstheme="minorHAnsi"/>
          <w:vertAlign w:val="superscript"/>
        </w:rPr>
        <w:t>th</w:t>
      </w:r>
      <w:r w:rsidR="00A91062">
        <w:rPr>
          <w:rFonts w:asciiTheme="minorHAnsi" w:hAnsiTheme="minorHAnsi" w:cstheme="minorHAnsi"/>
        </w:rPr>
        <w:t xml:space="preserve"> area of the brain that could indicate the presence of BD.</w:t>
      </w:r>
      <w:r w:rsidR="005778A5">
        <w:rPr>
          <w:rFonts w:asciiTheme="minorHAnsi" w:hAnsiTheme="minorHAnsi" w:cstheme="minorHAnsi"/>
        </w:rPr>
        <w:t xml:space="preserve"> It is also </w:t>
      </w:r>
      <w:r w:rsidR="005778A5">
        <w:rPr>
          <w:rFonts w:asciiTheme="minorHAnsi" w:hAnsiTheme="minorHAnsi" w:cstheme="minorHAnsi"/>
        </w:rPr>
        <w:lastRenderedPageBreak/>
        <w:t>apparent that neither BD nor SZ affect the 11</w:t>
      </w:r>
      <w:r w:rsidR="005778A5" w:rsidRPr="005778A5">
        <w:rPr>
          <w:rFonts w:asciiTheme="minorHAnsi" w:hAnsiTheme="minorHAnsi" w:cstheme="minorHAnsi"/>
          <w:vertAlign w:val="superscript"/>
        </w:rPr>
        <w:t>th</w:t>
      </w:r>
      <w:r w:rsidR="005778A5">
        <w:rPr>
          <w:rFonts w:asciiTheme="minorHAnsi" w:hAnsiTheme="minorHAnsi" w:cstheme="minorHAnsi"/>
        </w:rPr>
        <w:t xml:space="preserve"> area's expression patterns in any significant way and that there are several genes in </w:t>
      </w:r>
      <w:r w:rsidR="00495344">
        <w:rPr>
          <w:rFonts w:asciiTheme="minorHAnsi" w:hAnsiTheme="minorHAnsi" w:cstheme="minorHAnsi"/>
        </w:rPr>
        <w:t>the</w:t>
      </w:r>
      <w:r w:rsidR="005778A5">
        <w:rPr>
          <w:rFonts w:asciiTheme="minorHAnsi" w:hAnsiTheme="minorHAnsi" w:cstheme="minorHAnsi"/>
        </w:rPr>
        <w:t xml:space="preserve"> 24</w:t>
      </w:r>
      <w:r w:rsidR="00495344" w:rsidRPr="00495344">
        <w:rPr>
          <w:rFonts w:asciiTheme="minorHAnsi" w:hAnsiTheme="minorHAnsi" w:cstheme="minorHAnsi"/>
          <w:vertAlign w:val="superscript"/>
        </w:rPr>
        <w:t>th</w:t>
      </w:r>
      <w:r w:rsidR="005778A5">
        <w:rPr>
          <w:rFonts w:asciiTheme="minorHAnsi" w:hAnsiTheme="minorHAnsi" w:cstheme="minorHAnsi"/>
        </w:rPr>
        <w:t xml:space="preserve"> and 46</w:t>
      </w:r>
      <w:r w:rsidR="00495344" w:rsidRPr="00495344">
        <w:rPr>
          <w:rFonts w:asciiTheme="minorHAnsi" w:hAnsiTheme="minorHAnsi" w:cstheme="minorHAnsi"/>
          <w:vertAlign w:val="superscript"/>
        </w:rPr>
        <w:t>th</w:t>
      </w:r>
      <w:r w:rsidR="00495344">
        <w:rPr>
          <w:rFonts w:asciiTheme="minorHAnsi" w:hAnsiTheme="minorHAnsi" w:cstheme="minorHAnsi"/>
        </w:rPr>
        <w:t xml:space="preserve"> areas</w:t>
      </w:r>
      <w:r w:rsidR="005778A5">
        <w:rPr>
          <w:rFonts w:asciiTheme="minorHAnsi" w:hAnsiTheme="minorHAnsi" w:cstheme="minorHAnsi"/>
        </w:rPr>
        <w:t xml:space="preserve"> that could distinguish BD sample f</w:t>
      </w:r>
      <w:r w:rsidR="001C2703">
        <w:rPr>
          <w:rFonts w:asciiTheme="minorHAnsi" w:hAnsiTheme="minorHAnsi" w:cstheme="minorHAnsi"/>
        </w:rPr>
        <w:t>ro</w:t>
      </w:r>
      <w:r w:rsidR="005778A5">
        <w:rPr>
          <w:rFonts w:asciiTheme="minorHAnsi" w:hAnsiTheme="minorHAnsi" w:cstheme="minorHAnsi"/>
        </w:rPr>
        <w:t>m a healthy</w:t>
      </w:r>
      <w:r w:rsidR="005D4099">
        <w:rPr>
          <w:rFonts w:asciiTheme="minorHAnsi" w:hAnsiTheme="minorHAnsi" w:cstheme="minorHAnsi"/>
        </w:rPr>
        <w:t xml:space="preserve"> </w:t>
      </w:r>
      <w:r w:rsidR="005778A5">
        <w:rPr>
          <w:rFonts w:asciiTheme="minorHAnsi" w:hAnsiTheme="minorHAnsi" w:cstheme="minorHAnsi"/>
        </w:rPr>
        <w:t xml:space="preserve">sample but there are no genes that could do so between BD samples and SZ samples </w:t>
      </w:r>
      <w:r>
        <w:rPr>
          <w:rFonts w:asciiTheme="minorHAnsi" w:hAnsiTheme="minorHAnsi" w:cstheme="minorHAnsi"/>
        </w:rPr>
        <w:t>(figure 2).</w:t>
      </w:r>
    </w:p>
    <w:p w14:paraId="1CD2F40D" w14:textId="02B754A8"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7"/>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7"/>
      <w:r w:rsidR="007D2E43">
        <w:rPr>
          <w:rStyle w:val="CommentReference"/>
          <w:rFonts w:asciiTheme="minorHAnsi" w:eastAsiaTheme="minorHAnsi" w:hAnsiTheme="minorHAnsi" w:cstheme="minorBidi"/>
        </w:rPr>
        <w:commentReference w:id="7"/>
      </w:r>
      <w:r w:rsidR="00495344">
        <w:rPr>
          <w:rFonts w:asciiTheme="minorHAnsi" w:hAnsiTheme="minorHAnsi" w:cstheme="minorHAnsi"/>
        </w:rPr>
        <w:t xml:space="preserve"> In the next step, we aimed to better understand the 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4651B2C" w:rsidR="00B72F4E" w:rsidRPr="00B72F4E" w:rsidRDefault="00B72F4E" w:rsidP="00156F97">
      <w:pPr>
        <w:pStyle w:val="NormalWeb"/>
        <w:spacing w:before="0" w:beforeAutospacing="0" w:after="0" w:afterAutospacing="0" w:line="360" w:lineRule="auto"/>
        <w:rPr>
          <w:rFonts w:asciiTheme="minorHAnsi" w:hAnsiTheme="minorHAnsi"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healthy individuals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rPr>
      </w:pPr>
    </w:p>
    <w:tbl>
      <w:tblPr>
        <w:tblStyle w:val="TableGrid"/>
        <w:tblW w:w="9924" w:type="dxa"/>
        <w:tblInd w:w="-431" w:type="dxa"/>
        <w:tblLook w:val="04A0" w:firstRow="1" w:lastRow="0" w:firstColumn="1" w:lastColumn="0" w:noHBand="0" w:noVBand="1"/>
      </w:tblPr>
      <w:tblGrid>
        <w:gridCol w:w="764"/>
        <w:gridCol w:w="4576"/>
        <w:gridCol w:w="4584"/>
      </w:tblGrid>
      <w:tr w:rsidR="002C3D90" w:rsidRPr="00932532" w14:paraId="0A2FD77E" w14:textId="77777777" w:rsidTr="00A91062">
        <w:tc>
          <w:tcPr>
            <w:tcW w:w="5092"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247" w:type="dxa"/>
          </w:tcPr>
          <w:p w14:paraId="768AEFD2" w14:textId="10FE506D"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Healthy</w:t>
            </w:r>
          </w:p>
        </w:tc>
        <w:tc>
          <w:tcPr>
            <w:tcW w:w="4585"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A91062">
        <w:tc>
          <w:tcPr>
            <w:tcW w:w="5092"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247" w:type="dxa"/>
          </w:tcPr>
          <w:p w14:paraId="1EC27CAC" w14:textId="2A28D186"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A6E5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134.4pt" o:ole="">
                  <v:imagedata r:id="rId14" o:title=""/>
                </v:shape>
                <o:OLEObject Type="Embed" ProgID="Paint.Picture" ShapeID="_x0000_i1025" DrawAspect="Content" ObjectID="_1708554846" r:id="rId15"/>
              </w:object>
            </w:r>
          </w:p>
        </w:tc>
        <w:tc>
          <w:tcPr>
            <w:tcW w:w="4585" w:type="dxa"/>
          </w:tcPr>
          <w:p w14:paraId="26358D4E" w14:textId="4D72F179"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24B922F">
                <v:shape id="_x0000_i1026" type="#_x0000_t75" style="width:216.6pt;height:133.2pt" o:ole="">
                  <v:imagedata r:id="rId16" o:title=""/>
                </v:shape>
                <o:OLEObject Type="Embed" ProgID="Paint.Picture" ShapeID="_x0000_i1026" DrawAspect="Content" ObjectID="_1708554847" r:id="rId17"/>
              </w:object>
            </w:r>
          </w:p>
        </w:tc>
      </w:tr>
      <w:tr w:rsidR="002C3D90" w:rsidRPr="00932532" w14:paraId="2E41F891" w14:textId="77777777" w:rsidTr="00A91062">
        <w:tc>
          <w:tcPr>
            <w:tcW w:w="5092" w:type="dxa"/>
          </w:tcPr>
          <w:p w14:paraId="360CF212" w14:textId="7ACF3B9B" w:rsidR="00F50FBD" w:rsidRDefault="002C3D90" w:rsidP="002C3D90">
            <w:pPr>
              <w:pStyle w:val="NormalWeb"/>
              <w:spacing w:before="0" w:beforeAutospacing="0" w:after="0" w:afterAutospacing="0" w:line="360" w:lineRule="auto"/>
              <w:jc w:val="center"/>
              <w:rPr>
                <w:rtl/>
              </w:rPr>
            </w:pPr>
            <w:r>
              <w:lastRenderedPageBreak/>
              <w:t>11</w:t>
            </w:r>
          </w:p>
        </w:tc>
        <w:tc>
          <w:tcPr>
            <w:tcW w:w="247" w:type="dxa"/>
          </w:tcPr>
          <w:p w14:paraId="513FE24E" w14:textId="2C356025"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77433692">
                <v:shape id="_x0000_i1027" type="#_x0000_t75" style="width:212.4pt;height:130.2pt" o:ole="">
                  <v:imagedata r:id="rId18" o:title=""/>
                </v:shape>
                <o:OLEObject Type="Embed" ProgID="Paint.Picture" ShapeID="_x0000_i1027" DrawAspect="Content" ObjectID="_1708554848" r:id="rId19"/>
              </w:object>
            </w:r>
          </w:p>
        </w:tc>
        <w:tc>
          <w:tcPr>
            <w:tcW w:w="4585" w:type="dxa"/>
          </w:tcPr>
          <w:p w14:paraId="1AD9BD5A" w14:textId="19813382"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6CD484B">
                <v:shape id="_x0000_i1028" type="#_x0000_t75" style="width:208.8pt;height:129pt" o:ole="">
                  <v:imagedata r:id="rId20" o:title=""/>
                </v:shape>
                <o:OLEObject Type="Embed" ProgID="Paint.Picture" ShapeID="_x0000_i1028" DrawAspect="Content" ObjectID="_1708554849" r:id="rId21"/>
              </w:object>
            </w:r>
          </w:p>
        </w:tc>
      </w:tr>
      <w:tr w:rsidR="002C3D90" w:rsidRPr="00932532" w14:paraId="244C1E6C" w14:textId="77777777" w:rsidTr="00A91062">
        <w:tc>
          <w:tcPr>
            <w:tcW w:w="5092"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247" w:type="dxa"/>
          </w:tcPr>
          <w:p w14:paraId="33E9A878" w14:textId="6A4E2950"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989ECD3">
                <v:shape id="_x0000_i1029" type="#_x0000_t75" style="width:216.6pt;height:133.8pt" o:ole="">
                  <v:imagedata r:id="rId22" o:title=""/>
                </v:shape>
                <o:OLEObject Type="Embed" ProgID="Paint.Picture" ShapeID="_x0000_i1029" DrawAspect="Content" ObjectID="_1708554850" r:id="rId23"/>
              </w:object>
            </w:r>
          </w:p>
        </w:tc>
        <w:tc>
          <w:tcPr>
            <w:tcW w:w="4585" w:type="dxa"/>
          </w:tcPr>
          <w:p w14:paraId="25F0DC9C" w14:textId="0229A1DC"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B2DA0A6">
                <v:shape id="_x0000_i1030" type="#_x0000_t75" style="width:218.4pt;height:134.4pt" o:ole="">
                  <v:imagedata r:id="rId24" o:title=""/>
                </v:shape>
                <o:OLEObject Type="Embed" ProgID="Paint.Picture" ShapeID="_x0000_i1030" DrawAspect="Content" ObjectID="_1708554851" r:id="rId25"/>
              </w:object>
            </w:r>
          </w:p>
        </w:tc>
      </w:tr>
      <w:tr w:rsidR="002C3D90" w:rsidRPr="00932532" w14:paraId="0060B9E4" w14:textId="77777777" w:rsidTr="00A91062">
        <w:tc>
          <w:tcPr>
            <w:tcW w:w="5092"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247" w:type="dxa"/>
          </w:tcPr>
          <w:p w14:paraId="6BC6A9BE" w14:textId="1D89BC19" w:rsidR="002C3D90" w:rsidRDefault="00A91062" w:rsidP="002C3D90">
            <w:pPr>
              <w:pStyle w:val="NormalWeb"/>
              <w:spacing w:before="0" w:beforeAutospacing="0" w:after="0" w:afterAutospacing="0" w:line="360" w:lineRule="auto"/>
              <w:jc w:val="center"/>
              <w:rPr>
                <w:rtl/>
              </w:rPr>
            </w:pPr>
            <w:r>
              <w:object w:dxaOrig="8400" w:dyaOrig="5184" w14:anchorId="1EB05C1C">
                <v:shape id="_x0000_i1031" type="#_x0000_t75" style="width:217.8pt;height:134.4pt" o:ole="">
                  <v:imagedata r:id="rId26" o:title=""/>
                </v:shape>
                <o:OLEObject Type="Embed" ProgID="Paint.Picture" ShapeID="_x0000_i1031" DrawAspect="Content" ObjectID="_1708554852" r:id="rId27"/>
              </w:object>
            </w:r>
          </w:p>
        </w:tc>
        <w:tc>
          <w:tcPr>
            <w:tcW w:w="4585" w:type="dxa"/>
          </w:tcPr>
          <w:p w14:paraId="3F6AD456" w14:textId="0CFAE038" w:rsidR="002C3D90" w:rsidRDefault="00A91062" w:rsidP="002C3D90">
            <w:pPr>
              <w:pStyle w:val="NormalWeb"/>
              <w:spacing w:before="0" w:beforeAutospacing="0" w:after="0" w:afterAutospacing="0" w:line="360" w:lineRule="auto"/>
              <w:jc w:val="center"/>
              <w:rPr>
                <w:rtl/>
              </w:rPr>
            </w:pPr>
            <w:r>
              <w:object w:dxaOrig="8400" w:dyaOrig="5184" w14:anchorId="3DEA879E">
                <v:shape id="_x0000_i1032" type="#_x0000_t75" style="width:218.4pt;height:135pt" o:ole="">
                  <v:imagedata r:id="rId28" o:title=""/>
                </v:shape>
                <o:OLEObject Type="Embed" ProgID="Paint.Picture" ShapeID="_x0000_i1032" DrawAspect="Content" ObjectID="_1708554853" r:id="rId29"/>
              </w:object>
            </w:r>
          </w:p>
        </w:tc>
      </w:tr>
    </w:tbl>
    <w:p w14:paraId="1737CF3B" w14:textId="6C68A956"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A91062">
        <w:rPr>
          <w:rFonts w:asciiTheme="minorHAnsi" w:hAnsiTheme="minorHAnsi" w:cstheme="minorHAnsi"/>
        </w:rPr>
        <w:t>Eight</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relative to healthy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Pr>
      </w:pPr>
    </w:p>
    <w:p w14:paraId="568ABEE2" w14:textId="1F81A45C"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we compared the expression levels of the genes in the three populations we are dealing with (BD patients, SZ patients and healthy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healthy </w:t>
      </w:r>
      <w:r w:rsidR="009661F5">
        <w:rPr>
          <w:rFonts w:asciiTheme="minorHAnsi" w:hAnsiTheme="minorHAnsi" w:cstheme="minorHAnsi"/>
        </w:rPr>
        <w:lastRenderedPageBreak/>
        <w:t>individuals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seemed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healthy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healthy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healthy gene counts.</w:t>
      </w:r>
    </w:p>
    <w:p w14:paraId="25832FFF" w14:textId="58C18E79" w:rsidR="009E1304" w:rsidRDefault="009E1304" w:rsidP="00421CD6">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In addition, we have</w:t>
      </w:r>
      <w:r w:rsidR="002271EB">
        <w:rPr>
          <w:rFonts w:asciiTheme="minorHAnsi" w:hAnsiTheme="minorHAnsi" w:cstheme="minorHAnsi"/>
        </w:rPr>
        <w:t xml:space="preserve"> also</w:t>
      </w:r>
      <w:r>
        <w:rPr>
          <w:rFonts w:asciiTheme="minorHAnsi" w:hAnsiTheme="minorHAnsi" w:cstheme="minorHAnsi"/>
        </w:rPr>
        <w:t xml:space="preserve"> used violin plots to further understand the genes CENPL (which is allegedly a specific biomarker for BD in the 9</w:t>
      </w:r>
      <w:r w:rsidRPr="009E1304">
        <w:rPr>
          <w:rFonts w:asciiTheme="minorHAnsi" w:hAnsiTheme="minorHAnsi" w:cstheme="minorHAnsi"/>
          <w:vertAlign w:val="superscript"/>
        </w:rPr>
        <w:t>th</w:t>
      </w:r>
      <w:r>
        <w:rPr>
          <w:rFonts w:asciiTheme="minorHAnsi" w:hAnsiTheme="minorHAnsi" w:cstheme="minorHAnsi"/>
        </w:rPr>
        <w:t xml:space="preserve"> area of the brain), C2orf83</w:t>
      </w:r>
      <w:r w:rsidR="00313116">
        <w:rPr>
          <w:rFonts w:asciiTheme="minorHAnsi" w:hAnsiTheme="minorHAnsi" w:cstheme="minorHAnsi"/>
        </w:rPr>
        <w:t xml:space="preserve"> (which is allegedly a biomarker to distinguish BD f</w:t>
      </w:r>
      <w:r w:rsidR="002271EB">
        <w:rPr>
          <w:rFonts w:asciiTheme="minorHAnsi" w:hAnsiTheme="minorHAnsi" w:cstheme="minorHAnsi"/>
        </w:rPr>
        <w:t>ro</w:t>
      </w:r>
      <w:r w:rsidR="00313116">
        <w:rPr>
          <w:rFonts w:asciiTheme="minorHAnsi" w:hAnsiTheme="minorHAnsi" w:cstheme="minorHAnsi"/>
        </w:rPr>
        <w:t>m healthy patients in the 24</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Pr>
          <w:rFonts w:asciiTheme="minorHAnsi" w:hAnsiTheme="minorHAnsi" w:cstheme="minorHAnsi"/>
        </w:rPr>
        <w:t xml:space="preserve">, </w:t>
      </w:r>
      <w:r w:rsidR="00313116">
        <w:rPr>
          <w:rFonts w:asciiTheme="minorHAnsi" w:hAnsiTheme="minorHAnsi" w:cstheme="minorHAnsi"/>
        </w:rPr>
        <w:t>LACRT and KRT18P11 (which are allegedly biomarkers to distinguish BD f</w:t>
      </w:r>
      <w:r w:rsidR="002271EB">
        <w:rPr>
          <w:rFonts w:asciiTheme="minorHAnsi" w:hAnsiTheme="minorHAnsi" w:cstheme="minorHAnsi"/>
        </w:rPr>
        <w:t>ro</w:t>
      </w:r>
      <w:r w:rsidR="00313116">
        <w:rPr>
          <w:rFonts w:asciiTheme="minorHAnsi" w:hAnsiTheme="minorHAnsi" w:cstheme="minorHAnsi"/>
        </w:rPr>
        <w:t>m healthy patients in the 46</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sidR="002271EB">
        <w:rPr>
          <w:rFonts w:asciiTheme="minorHAnsi" w:hAnsiTheme="minorHAnsi" w:cstheme="minorHAnsi"/>
        </w:rPr>
        <w:t xml:space="preserve"> which we have identified in figure 2</w:t>
      </w:r>
      <w:r w:rsidR="00313116">
        <w:rPr>
          <w:rFonts w:asciiTheme="minorHAnsi" w:hAnsiTheme="minorHAnsi" w:cstheme="minorHAnsi"/>
        </w:rPr>
        <w:t>.</w:t>
      </w:r>
      <w:r w:rsidR="008E09B1">
        <w:rPr>
          <w:rFonts w:asciiTheme="minorHAnsi" w:hAnsiTheme="minorHAnsi" w:cstheme="minorHAnsi"/>
        </w:rPr>
        <w:t xml:space="preserve"> </w:t>
      </w:r>
      <w:r w:rsidR="008E09B1">
        <w:rPr>
          <w:rFonts w:asciiTheme="minorHAnsi" w:hAnsiTheme="minorHAnsi" w:cstheme="minorHAnsi"/>
        </w:rPr>
        <w:t>A</w:t>
      </w:r>
      <w:r w:rsidR="008E09B1">
        <w:rPr>
          <w:rFonts w:asciiTheme="minorHAnsi" w:hAnsiTheme="minorHAnsi" w:cstheme="minorHAnsi"/>
        </w:rPr>
        <w:t xml:space="preserve">gain, </w:t>
      </w:r>
      <w:r w:rsidR="008E09B1">
        <w:rPr>
          <w:rFonts w:asciiTheme="minorHAnsi" w:hAnsiTheme="minorHAnsi" w:cstheme="minorHAnsi"/>
        </w:rPr>
        <w:t xml:space="preserve">the plots of BD and SZ </w:t>
      </w:r>
      <w:r w:rsidR="0095177A">
        <w:rPr>
          <w:rFonts w:asciiTheme="minorHAnsi" w:hAnsiTheme="minorHAnsi" w:cstheme="minorHAnsi"/>
        </w:rPr>
        <w:t>seemed</w:t>
      </w:r>
      <w:r w:rsidR="008E09B1">
        <w:rPr>
          <w:rFonts w:asciiTheme="minorHAnsi" w:hAnsiTheme="minorHAnsi" w:cstheme="minorHAnsi"/>
        </w:rPr>
        <w:t xml:space="preserve"> very similar to each other while </w:t>
      </w:r>
      <w:r w:rsidR="008E09B1">
        <w:rPr>
          <w:rFonts w:asciiTheme="minorHAnsi" w:hAnsiTheme="minorHAnsi" w:cstheme="minorHAnsi"/>
        </w:rPr>
        <w:t>mostly</w:t>
      </w:r>
      <w:r w:rsidR="008E09B1">
        <w:rPr>
          <w:rFonts w:asciiTheme="minorHAnsi" w:hAnsiTheme="minorHAnsi" w:cstheme="minorHAnsi"/>
        </w:rPr>
        <w:t xml:space="preserve"> distinct from those of the healthy individuals (figure </w:t>
      </w:r>
      <w:r w:rsidR="008E09B1">
        <w:rPr>
          <w:rFonts w:asciiTheme="minorHAnsi" w:hAnsiTheme="minorHAnsi" w:cstheme="minorHAnsi"/>
        </w:rPr>
        <w:t>4</w:t>
      </w:r>
      <w:r w:rsidR="008E09B1">
        <w:rPr>
          <w:rFonts w:asciiTheme="minorHAnsi" w:hAnsiTheme="minorHAnsi" w:cstheme="minorHAnsi"/>
        </w:rPr>
        <w:t>).</w:t>
      </w:r>
      <w:r w:rsidR="00421CD6">
        <w:rPr>
          <w:rFonts w:asciiTheme="minorHAnsi" w:hAnsiTheme="minorHAnsi" w:cstheme="minorHAnsi"/>
        </w:rPr>
        <w:t xml:space="preserve"> </w:t>
      </w:r>
      <w:r w:rsidR="00421CD6">
        <w:rPr>
          <w:rFonts w:asciiTheme="minorHAnsi" w:hAnsiTheme="minorHAnsi" w:cstheme="minorHAnsi"/>
        </w:rPr>
        <w:t>It seems that</w:t>
      </w:r>
      <w:r w:rsidR="00421CD6">
        <w:rPr>
          <w:rFonts w:asciiTheme="minorHAnsi" w:hAnsiTheme="minorHAnsi" w:cstheme="minorHAnsi"/>
        </w:rPr>
        <w:t xml:space="preserve"> like MTND6P4,</w:t>
      </w:r>
      <w:r w:rsidR="00421CD6">
        <w:rPr>
          <w:rFonts w:asciiTheme="minorHAnsi" w:hAnsiTheme="minorHAnsi" w:cstheme="minorHAnsi"/>
        </w:rPr>
        <w:t xml:space="preserve"> CENPL which </w:t>
      </w:r>
      <w:r w:rsidR="0095177A">
        <w:rPr>
          <w:rFonts w:asciiTheme="minorHAnsi" w:hAnsiTheme="minorHAnsi" w:cstheme="minorHAnsi"/>
        </w:rPr>
        <w:t xml:space="preserve">first </w:t>
      </w:r>
      <w:r w:rsidR="00421CD6">
        <w:rPr>
          <w:rFonts w:asciiTheme="minorHAnsi" w:hAnsiTheme="minorHAnsi" w:cstheme="minorHAnsi"/>
        </w:rPr>
        <w:t xml:space="preserve">seemed </w:t>
      </w:r>
      <w:r w:rsidR="0095177A">
        <w:rPr>
          <w:rFonts w:asciiTheme="minorHAnsi" w:hAnsiTheme="minorHAnsi" w:cstheme="minorHAnsi"/>
        </w:rPr>
        <w:t>like</w:t>
      </w:r>
      <w:r w:rsidR="00421CD6">
        <w:rPr>
          <w:rFonts w:asciiTheme="minorHAnsi" w:hAnsiTheme="minorHAnsi" w:cstheme="minorHAnsi"/>
        </w:rPr>
        <w:t xml:space="preserve"> a </w:t>
      </w:r>
      <w:r w:rsidR="00421CD6">
        <w:rPr>
          <w:rFonts w:asciiTheme="minorHAnsi" w:hAnsiTheme="minorHAnsi" w:cstheme="minorHAnsi"/>
        </w:rPr>
        <w:t xml:space="preserve">potential </w:t>
      </w:r>
      <w:r w:rsidR="00421CD6">
        <w:rPr>
          <w:rFonts w:asciiTheme="minorHAnsi" w:hAnsiTheme="minorHAnsi" w:cstheme="minorHAnsi"/>
        </w:rPr>
        <w:t>specific biomarker for BD</w:t>
      </w:r>
      <w:r w:rsidR="00421CD6">
        <w:rPr>
          <w:rFonts w:asciiTheme="minorHAnsi" w:hAnsiTheme="minorHAnsi" w:cstheme="minorHAnsi"/>
        </w:rPr>
        <w:t xml:space="preserve"> in area 9</w:t>
      </w:r>
      <w:r w:rsidR="00421CD6">
        <w:rPr>
          <w:rFonts w:asciiTheme="minorHAnsi" w:hAnsiTheme="minorHAnsi" w:cstheme="minorHAnsi"/>
        </w:rPr>
        <w:t xml:space="preserve">, </w:t>
      </w:r>
      <w:r w:rsidR="00421CD6">
        <w:rPr>
          <w:rFonts w:asciiTheme="minorHAnsi" w:hAnsiTheme="minorHAnsi" w:cstheme="minorHAnsi"/>
        </w:rPr>
        <w:t>was not really significantly differentially expressed between BS and SZ</w:t>
      </w:r>
      <w:r w:rsidR="00421CD6">
        <w:rPr>
          <w:rFonts w:asciiTheme="minorHAnsi" w:hAnsiTheme="minorHAnsi" w:cstheme="minorHAnsi"/>
        </w:rPr>
        <w:t xml:space="preserve">. If that's so, then unfortunately we have failed to find any gene that acts as a biomarker to distinguish between BD patients and SZ patients. </w:t>
      </w:r>
      <w:r w:rsidR="00421CD6">
        <w:rPr>
          <w:rFonts w:asciiTheme="minorHAnsi" w:hAnsiTheme="minorHAnsi" w:cstheme="minorHAnsi"/>
        </w:rPr>
        <w:t>However</w:t>
      </w:r>
      <w:r w:rsidR="00421CD6">
        <w:rPr>
          <w:rFonts w:asciiTheme="minorHAnsi" w:hAnsiTheme="minorHAnsi" w:cstheme="minorHAnsi"/>
        </w:rPr>
        <w:t xml:space="preserve">, </w:t>
      </w:r>
      <w:r w:rsidR="00421CD6">
        <w:rPr>
          <w:rFonts w:asciiTheme="minorHAnsi" w:hAnsiTheme="minorHAnsi" w:cstheme="minorHAnsi"/>
        </w:rPr>
        <w:t>CENPL</w:t>
      </w:r>
      <w:r w:rsidR="00421CD6">
        <w:rPr>
          <w:rFonts w:asciiTheme="minorHAnsi" w:hAnsiTheme="minorHAnsi" w:cstheme="minorHAnsi"/>
        </w:rPr>
        <w:t xml:space="preserve"> does </w:t>
      </w:r>
      <w:r w:rsidR="00421CD6">
        <w:rPr>
          <w:rFonts w:asciiTheme="minorHAnsi" w:hAnsiTheme="minorHAnsi" w:cstheme="minorHAnsi"/>
        </w:rPr>
        <w:t>work</w:t>
      </w:r>
      <w:r w:rsidR="00421CD6">
        <w:rPr>
          <w:rFonts w:asciiTheme="minorHAnsi" w:hAnsiTheme="minorHAnsi" w:cstheme="minorHAnsi"/>
        </w:rPr>
        <w:t xml:space="preserve"> as a great biomarker to distinguish between healthy samples and either BD or SZ samples </w:t>
      </w:r>
      <w:r w:rsidR="00421CD6">
        <w:rPr>
          <w:rFonts w:asciiTheme="minorHAnsi" w:hAnsiTheme="minorHAnsi" w:cstheme="minorHAnsi"/>
        </w:rPr>
        <w:t xml:space="preserve">in area 9 </w:t>
      </w:r>
      <w:r w:rsidR="00421CD6">
        <w:rPr>
          <w:rFonts w:asciiTheme="minorHAnsi" w:hAnsiTheme="minorHAnsi" w:cstheme="minorHAnsi"/>
        </w:rPr>
        <w:t xml:space="preserve">and so does the genes </w:t>
      </w:r>
      <w:r w:rsidR="00AF52AC">
        <w:rPr>
          <w:rFonts w:asciiTheme="minorHAnsi" w:hAnsiTheme="minorHAnsi" w:cstheme="minorHAnsi"/>
        </w:rPr>
        <w:t xml:space="preserve">LACRT and </w:t>
      </w:r>
      <w:r w:rsidR="00361137">
        <w:rPr>
          <w:rFonts w:asciiTheme="minorHAnsi" w:hAnsiTheme="minorHAnsi" w:cstheme="minorHAnsi"/>
        </w:rPr>
        <w:t xml:space="preserve">KRT18P11 </w:t>
      </w:r>
      <w:r w:rsidR="00AF52AC">
        <w:rPr>
          <w:rFonts w:asciiTheme="minorHAnsi" w:hAnsiTheme="minorHAnsi" w:cstheme="minorHAnsi"/>
        </w:rPr>
        <w:t>in area 46</w:t>
      </w:r>
      <w:r w:rsidR="00421CD6">
        <w:rPr>
          <w:rFonts w:asciiTheme="minorHAnsi" w:hAnsiTheme="minorHAnsi" w:cstheme="minorHAnsi"/>
        </w:rPr>
        <w:t xml:space="preserve">. It is important to mention that the </w:t>
      </w:r>
      <w:r w:rsidR="00AF52AC">
        <w:rPr>
          <w:rFonts w:asciiTheme="minorHAnsi" w:hAnsiTheme="minorHAnsi" w:cstheme="minorHAnsi"/>
        </w:rPr>
        <w:t>C2orf83</w:t>
      </w:r>
      <w:r w:rsidR="00AF52AC">
        <w:rPr>
          <w:rFonts w:asciiTheme="minorHAnsi" w:hAnsiTheme="minorHAnsi" w:cstheme="minorHAnsi"/>
        </w:rPr>
        <w:t xml:space="preserve">'s </w:t>
      </w:r>
      <w:r w:rsidR="00421CD6">
        <w:rPr>
          <w:rFonts w:asciiTheme="minorHAnsi" w:hAnsiTheme="minorHAnsi" w:cstheme="minorHAnsi"/>
        </w:rPr>
        <w:t>graph</w:t>
      </w:r>
      <w:r w:rsidR="00AF52AC">
        <w:rPr>
          <w:rFonts w:asciiTheme="minorHAnsi" w:hAnsiTheme="minorHAnsi" w:cstheme="minorHAnsi"/>
        </w:rPr>
        <w:t xml:space="preserve"> in area 24</w:t>
      </w:r>
      <w:r w:rsidR="00421CD6">
        <w:rPr>
          <w:rFonts w:asciiTheme="minorHAnsi" w:hAnsiTheme="minorHAnsi" w:cstheme="minorHAnsi"/>
        </w:rPr>
        <w:t xml:space="preserve"> looks insignificant and it is plausible </w:t>
      </w:r>
      <w:r w:rsidR="00AF52AC">
        <w:rPr>
          <w:rFonts w:asciiTheme="minorHAnsi" w:hAnsiTheme="minorHAnsi" w:cstheme="minorHAnsi"/>
        </w:rPr>
        <w:t xml:space="preserve">that it was suggested as a significant biomarker due to the same mistake we have witnessed before </w:t>
      </w:r>
      <w:r w:rsidR="0095177A">
        <w:rPr>
          <w:rFonts w:asciiTheme="minorHAnsi" w:hAnsiTheme="minorHAnsi" w:cstheme="minorHAnsi"/>
        </w:rPr>
        <w:t>regarding</w:t>
      </w:r>
      <w:r w:rsidR="00AF52AC">
        <w:rPr>
          <w:rFonts w:asciiTheme="minorHAnsi" w:hAnsiTheme="minorHAnsi" w:cstheme="minorHAnsi"/>
        </w:rPr>
        <w:t xml:space="preserve"> IL1RL1</w:t>
      </w:r>
      <w:r w:rsidR="00421CD6">
        <w:rPr>
          <w:rFonts w:asciiTheme="minorHAnsi" w:hAnsiTheme="minorHAnsi" w:cstheme="minorHAnsi"/>
        </w:rPr>
        <w:t>.</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57" type="#_x0000_t75" style="width:208.2pt;height:128.4pt" o:ole="">
                  <v:imagedata r:id="rId30" o:title=""/>
                </v:shape>
                <o:OLEObject Type="Embed" ProgID="Paint.Picture" ShapeID="_x0000_i1057" DrawAspect="Content" ObjectID="_1708554854" r:id="rId31"/>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68" type="#_x0000_t75" style="width:211.2pt;height:130.8pt" o:ole="">
                  <v:imagedata r:id="rId32" o:title=""/>
                </v:shape>
                <o:OLEObject Type="Embed" ProgID="Paint.Picture" ShapeID="_x0000_i1068" DrawAspect="Content" ObjectID="_1708554855" r:id="rId33"/>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89" type="#_x0000_t75" style="width:209.4pt;height:129pt" o:ole="">
                  <v:imagedata r:id="rId34" o:title=""/>
                </v:shape>
                <o:OLEObject Type="Embed" ProgID="Paint.Picture" ShapeID="_x0000_i1089" DrawAspect="Content" ObjectID="_1708554856" r:id="rId35"/>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131" type="#_x0000_t75" style="width:212.4pt;height:131.4pt" o:ole="">
                  <v:imagedata r:id="rId36" o:title=""/>
                </v:shape>
                <o:OLEObject Type="Embed" ProgID="Paint.Picture" ShapeID="_x0000_i1131" DrawAspect="Content" ObjectID="_1708554857" r:id="rId37"/>
              </w:object>
            </w:r>
          </w:p>
        </w:tc>
      </w:tr>
    </w:tbl>
    <w:p w14:paraId="42A33B9B" w14:textId="1E743D64" w:rsidR="009661F5"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BD (red), SZ (blue) and healthy people (green)</w:t>
      </w:r>
      <w:r>
        <w:rPr>
          <w:rFonts w:asciiTheme="minorHAnsi" w:hAnsiTheme="minorHAnsi" w:cstheme="minorHAnsi"/>
        </w:rPr>
        <w:t>.</w:t>
      </w:r>
    </w:p>
    <w:p w14:paraId="31620BDB" w14:textId="77777777" w:rsidR="00993B17" w:rsidRDefault="00993B17" w:rsidP="00993B17">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7"/>
        <w:gridCol w:w="4509"/>
      </w:tblGrid>
      <w:tr w:rsidR="00993B17" w14:paraId="1AEC52D8" w14:textId="77777777" w:rsidTr="006C380C">
        <w:tc>
          <w:tcPr>
            <w:tcW w:w="4508" w:type="dxa"/>
          </w:tcPr>
          <w:p w14:paraId="196D98DF" w14:textId="2CF1C0A1" w:rsidR="00993B17" w:rsidRDefault="008E09B1" w:rsidP="006C380C">
            <w:pPr>
              <w:bidi w:val="0"/>
              <w:rPr>
                <w:rFonts w:eastAsia="Times New Roman" w:cstheme="minorHAnsi"/>
                <w:sz w:val="24"/>
                <w:szCs w:val="24"/>
              </w:rPr>
            </w:pPr>
            <w:r>
              <w:object w:dxaOrig="8400" w:dyaOrig="5184" w14:anchorId="14CB256D">
                <v:shape id="_x0000_i1156" type="#_x0000_t75" style="width:210.6pt;height:130.2pt" o:ole="">
                  <v:imagedata r:id="rId38" o:title=""/>
                </v:shape>
                <o:OLEObject Type="Embed" ProgID="Paint.Picture" ShapeID="_x0000_i1156" DrawAspect="Content" ObjectID="_1708554858" r:id="rId39"/>
              </w:object>
            </w:r>
          </w:p>
        </w:tc>
        <w:tc>
          <w:tcPr>
            <w:tcW w:w="4508" w:type="dxa"/>
          </w:tcPr>
          <w:p w14:paraId="1C8E51FF" w14:textId="59AA35E8" w:rsidR="00993B17" w:rsidRDefault="008E09B1" w:rsidP="006C380C">
            <w:pPr>
              <w:bidi w:val="0"/>
              <w:rPr>
                <w:rFonts w:eastAsia="Times New Roman" w:cstheme="minorHAnsi"/>
                <w:sz w:val="24"/>
                <w:szCs w:val="24"/>
              </w:rPr>
            </w:pPr>
            <w:r>
              <w:object w:dxaOrig="8400" w:dyaOrig="5184" w14:anchorId="356D77F3">
                <v:shape id="_x0000_i1184" type="#_x0000_t75" style="width:213.6pt;height:132pt" o:ole="">
                  <v:imagedata r:id="rId40" o:title=""/>
                </v:shape>
                <o:OLEObject Type="Embed" ProgID="Paint.Picture" ShapeID="_x0000_i1184" DrawAspect="Content" ObjectID="_1708554859" r:id="rId41"/>
              </w:object>
            </w:r>
          </w:p>
        </w:tc>
      </w:tr>
      <w:tr w:rsidR="00993B17" w14:paraId="6DC2BB9B" w14:textId="77777777" w:rsidTr="006C380C">
        <w:tc>
          <w:tcPr>
            <w:tcW w:w="4508" w:type="dxa"/>
          </w:tcPr>
          <w:p w14:paraId="7732EC93" w14:textId="65CA17AB" w:rsidR="00993B17" w:rsidRDefault="008E09B1" w:rsidP="006C380C">
            <w:pPr>
              <w:bidi w:val="0"/>
              <w:rPr>
                <w:rFonts w:eastAsia="Times New Roman" w:cstheme="minorHAnsi"/>
                <w:sz w:val="24"/>
                <w:szCs w:val="24"/>
              </w:rPr>
            </w:pPr>
            <w:r>
              <w:object w:dxaOrig="8400" w:dyaOrig="5184" w14:anchorId="525503AA">
                <v:shape id="_x0000_i1198" type="#_x0000_t75" style="width:211.2pt;height:130.2pt" o:ole="">
                  <v:imagedata r:id="rId42" o:title=""/>
                </v:shape>
                <o:OLEObject Type="Embed" ProgID="Paint.Picture" ShapeID="_x0000_i1198" DrawAspect="Content" ObjectID="_1708554860" r:id="rId43"/>
              </w:object>
            </w:r>
          </w:p>
        </w:tc>
        <w:tc>
          <w:tcPr>
            <w:tcW w:w="4508" w:type="dxa"/>
          </w:tcPr>
          <w:p w14:paraId="77AAC7DF" w14:textId="5CB03CCC" w:rsidR="00993B17" w:rsidRDefault="008E09B1" w:rsidP="006C380C">
            <w:pPr>
              <w:bidi w:val="0"/>
              <w:rPr>
                <w:rFonts w:eastAsia="Times New Roman" w:cstheme="minorHAnsi"/>
                <w:sz w:val="24"/>
                <w:szCs w:val="24"/>
              </w:rPr>
            </w:pPr>
            <w:r>
              <w:object w:dxaOrig="8400" w:dyaOrig="5184" w14:anchorId="0BA9A6C5">
                <v:shape id="_x0000_i1219" type="#_x0000_t75" style="width:214.8pt;height:132.6pt" o:ole="">
                  <v:imagedata r:id="rId44" o:title=""/>
                </v:shape>
                <o:OLEObject Type="Embed" ProgID="Paint.Picture" ShapeID="_x0000_i1219" DrawAspect="Content" ObjectID="_1708554861" r:id="rId45"/>
              </w:object>
            </w:r>
          </w:p>
        </w:tc>
      </w:tr>
    </w:tbl>
    <w:p w14:paraId="4E15E121" w14:textId="5185A5B6" w:rsidR="00993B17" w:rsidRPr="00AF52AC" w:rsidRDefault="00993B17" w:rsidP="00AF52AC">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w:t>
      </w:r>
      <w:r>
        <w:rPr>
          <w:rFonts w:asciiTheme="minorHAnsi" w:hAnsiTheme="minorHAnsi" w:cstheme="minorHAnsi"/>
        </w:rPr>
        <w:t>4</w:t>
      </w:r>
      <w:r>
        <w:rPr>
          <w:rFonts w:asciiTheme="minorHAnsi" w:hAnsiTheme="minorHAnsi" w:cstheme="minorHAnsi"/>
        </w:rPr>
        <w:t xml:space="preserve">: Four violin plots that correspond to the gene expression of the four </w:t>
      </w:r>
      <w:r w:rsidR="008E09B1">
        <w:rPr>
          <w:rFonts w:asciiTheme="minorHAnsi" w:hAnsiTheme="minorHAnsi" w:cstheme="minorHAnsi"/>
        </w:rPr>
        <w:t xml:space="preserve">area-specific </w:t>
      </w:r>
      <w:r>
        <w:rPr>
          <w:rFonts w:asciiTheme="minorHAnsi" w:hAnsiTheme="minorHAnsi" w:cstheme="minorHAnsi"/>
        </w:rPr>
        <w:t xml:space="preserve">significant genes (top-right: </w:t>
      </w:r>
      <w:r w:rsidR="008E09B1">
        <w:rPr>
          <w:rFonts w:asciiTheme="minorHAnsi" w:hAnsiTheme="minorHAnsi" w:cstheme="minorHAnsi"/>
        </w:rPr>
        <w:t>C2orf83 in area 24</w:t>
      </w:r>
      <w:r>
        <w:rPr>
          <w:rFonts w:asciiTheme="minorHAnsi" w:hAnsiTheme="minorHAnsi" w:cstheme="minorHAnsi"/>
        </w:rPr>
        <w:t xml:space="preserve">, top-left: </w:t>
      </w:r>
      <w:r w:rsidR="008E09B1">
        <w:rPr>
          <w:rFonts w:asciiTheme="minorHAnsi" w:hAnsiTheme="minorHAnsi" w:cstheme="minorHAnsi"/>
        </w:rPr>
        <w:t>CENPL in area 9</w:t>
      </w:r>
      <w:r>
        <w:rPr>
          <w:rFonts w:asciiTheme="minorHAnsi" w:hAnsiTheme="minorHAnsi" w:cstheme="minorHAnsi"/>
        </w:rPr>
        <w:t xml:space="preserve">, bottom-left: </w:t>
      </w:r>
      <w:r w:rsidR="008E09B1">
        <w:rPr>
          <w:rFonts w:asciiTheme="minorHAnsi" w:hAnsiTheme="minorHAnsi" w:cstheme="minorHAnsi"/>
        </w:rPr>
        <w:t xml:space="preserve">LACRT </w:t>
      </w:r>
      <w:r w:rsidR="008E09B1">
        <w:rPr>
          <w:rFonts w:asciiTheme="minorHAnsi" w:hAnsiTheme="minorHAnsi" w:cstheme="minorHAnsi"/>
        </w:rPr>
        <w:lastRenderedPageBreak/>
        <w:t>in area 46</w:t>
      </w:r>
      <w:r>
        <w:rPr>
          <w:rFonts w:asciiTheme="minorHAnsi" w:hAnsiTheme="minorHAnsi" w:cstheme="minorHAnsi"/>
        </w:rPr>
        <w:t xml:space="preserve">, bottom-right: </w:t>
      </w:r>
      <w:r w:rsidR="008E09B1">
        <w:rPr>
          <w:rFonts w:asciiTheme="minorHAnsi" w:hAnsiTheme="minorHAnsi" w:cstheme="minorHAnsi"/>
        </w:rPr>
        <w:t>KRT18P11 in area 46</w:t>
      </w:r>
      <w:r>
        <w:rPr>
          <w:rFonts w:asciiTheme="minorHAnsi" w:hAnsiTheme="minorHAnsi" w:cstheme="minorHAnsi"/>
        </w:rPr>
        <w:t>) in BD (red), SZ (blue) and healthy people (green).</w:t>
      </w:r>
    </w:p>
    <w:p w14:paraId="7A286C38" w14:textId="77777777" w:rsidR="00993B17" w:rsidRDefault="00993B17" w:rsidP="00993B17">
      <w:pPr>
        <w:bidi w:val="0"/>
        <w:rPr>
          <w:rFonts w:eastAsia="Times New Roman" w:cstheme="minorHAnsi"/>
          <w:sz w:val="24"/>
          <w:szCs w:val="24"/>
          <w:rtl/>
        </w:rPr>
      </w:pPr>
    </w:p>
    <w:p w14:paraId="5025CCAA" w14:textId="59057ED6"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 xml:space="preserve">Identifying </w:t>
      </w:r>
      <w:r>
        <w:rPr>
          <w:rFonts w:asciiTheme="majorBidi" w:hAnsiTheme="majorBidi" w:cstheme="majorBidi"/>
          <w:i/>
          <w:iCs/>
          <w:u w:val="single"/>
        </w:rPr>
        <w:t>enriched pathways</w:t>
      </w:r>
    </w:p>
    <w:p w14:paraId="758D22BC" w14:textId="1532F879" w:rsidR="008047D4" w:rsidRDefault="005E347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healthy control group and SZ patients. </w:t>
      </w:r>
      <w:commentRangeStart w:id="8"/>
      <w:r w:rsidR="004B14A6">
        <w:rPr>
          <w:rFonts w:asciiTheme="minorHAnsi" w:hAnsiTheme="minorHAnsi" w:cstheme="minorHAnsi"/>
        </w:rPr>
        <w:t xml:space="preserve">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25829" w:rsidRPr="00825829">
            <w:rPr>
              <w:rFonts w:asciiTheme="minorHAnsi" w:hAnsiTheme="minorHAnsi" w:cstheme="minorHAnsi"/>
              <w:color w:val="000000"/>
            </w:rPr>
            <w:t>(Aravind et al., 2005; Mootha et al., 2003)</w:t>
          </w:r>
        </w:sdtContent>
      </w:sdt>
      <w:commentRangeEnd w:id="8"/>
      <w:r w:rsidR="00C118FD">
        <w:rPr>
          <w:rStyle w:val="CommentReference"/>
          <w:rFonts w:asciiTheme="minorHAnsi" w:eastAsiaTheme="minorHAnsi" w:hAnsiTheme="minorHAnsi" w:cstheme="minorBidi"/>
        </w:rPr>
        <w:commentReference w:id="8"/>
      </w:r>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 xml:space="preserve">sadly, there are no enriched pathways between BD and SZ. Fortunately, we were able to find some enriched pathways between BD and the control group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The most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08F795E" w14:textId="1B46526A" w:rsidR="008047D4" w:rsidRDefault="008047D4" w:rsidP="00156F97">
      <w:pPr>
        <w:pStyle w:val="NormalWeb"/>
        <w:spacing w:before="0" w:beforeAutospacing="0" w:after="0" w:afterAutospacing="0" w:line="360" w:lineRule="auto"/>
        <w:rPr>
          <w:rFonts w:asciiTheme="minorHAnsi" w:hAnsiTheme="minorHAnsi" w:cstheme="minorHAnsi"/>
        </w:rPr>
      </w:pPr>
      <w:r w:rsidRPr="008047D4">
        <w:rPr>
          <w:rFonts w:asciiTheme="minorHAnsi" w:hAnsiTheme="minorHAnsi" w:cstheme="minorHAnsi"/>
          <w:noProof/>
        </w:rPr>
        <w:drawing>
          <wp:inline distT="0" distB="0" distL="0" distR="0" wp14:anchorId="73D46693" wp14:editId="64ABEBAF">
            <wp:extent cx="5731510" cy="2715260"/>
            <wp:effectExtent l="0" t="0" r="2540" b="889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6"/>
                    <a:stretch>
                      <a:fillRect/>
                    </a:stretch>
                  </pic:blipFill>
                  <pic:spPr>
                    <a:xfrm>
                      <a:off x="0" y="0"/>
                      <a:ext cx="5731510" cy="2715260"/>
                    </a:xfrm>
                    <a:prstGeom prst="rect">
                      <a:avLst/>
                    </a:prstGeom>
                  </pic:spPr>
                </pic:pic>
              </a:graphicData>
            </a:graphic>
          </wp:inline>
        </w:drawing>
      </w:r>
    </w:p>
    <w:p w14:paraId="6717D44F" w14:textId="335D2FCB"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Pr>
          <w:rFonts w:asciiTheme="minorHAnsi" w:hAnsiTheme="minorHAnsi" w:cstheme="minorHAnsi"/>
        </w:rPr>
        <w:t>healthy</w:t>
      </w:r>
      <w:r w:rsidR="005E3476">
        <w:rPr>
          <w:rFonts w:asciiTheme="minorHAnsi" w:hAnsiTheme="minorHAnsi" w:cstheme="minorHAnsi"/>
        </w:rPr>
        <w:t xml:space="preserve"> control group.</w:t>
      </w:r>
      <w:bookmarkEnd w:id="6"/>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62488A30" w:rsidR="00295A0A" w:rsidRDefault="00295A0A"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D</w:t>
      </w:r>
    </w:p>
    <w:p w14:paraId="5633F6B2" w14:textId="1D9AD9A4" w:rsidR="00D30724" w:rsidRDefault="00D30724" w:rsidP="00A56C03">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D30724" w14:paraId="1F1ACCA6" w14:textId="77777777" w:rsidTr="00D30724">
        <w:tc>
          <w:tcPr>
            <w:tcW w:w="9016" w:type="dxa"/>
          </w:tcPr>
          <w:p w14:paraId="091FAC1F" w14:textId="231022C2" w:rsidR="00D30724" w:rsidRDefault="00D30724" w:rsidP="00D30724">
            <w:pPr>
              <w:pStyle w:val="NormalWeb"/>
              <w:spacing w:before="0" w:beforeAutospacing="0" w:after="0" w:afterAutospacing="0" w:line="360" w:lineRule="auto"/>
              <w:jc w:val="center"/>
              <w:rPr>
                <w:rFonts w:asciiTheme="minorHAnsi" w:hAnsiTheme="minorHAnsi" w:cstheme="minorHAnsi"/>
              </w:rPr>
            </w:pPr>
            <w:r>
              <w:object w:dxaOrig="8400" w:dyaOrig="5184" w14:anchorId="1FEA1B8D">
                <v:shape id="_x0000_i1274" type="#_x0000_t75" style="width:334.2pt;height:206.4pt" o:ole="">
                  <v:imagedata r:id="rId47" o:title=""/>
                </v:shape>
                <o:OLEObject Type="Embed" ProgID="Paint.Picture" ShapeID="_x0000_i1274" DrawAspect="Content" ObjectID="_1708554862" r:id="rId48"/>
              </w:object>
            </w:r>
          </w:p>
        </w:tc>
      </w:tr>
      <w:tr w:rsidR="00D30724" w14:paraId="75437213" w14:textId="77777777" w:rsidTr="00D30724">
        <w:tc>
          <w:tcPr>
            <w:tcW w:w="9016" w:type="dxa"/>
          </w:tcPr>
          <w:p w14:paraId="6229B64C" w14:textId="77777777" w:rsidR="00D30724" w:rsidRDefault="00D30724" w:rsidP="00A56C03">
            <w:pPr>
              <w:pStyle w:val="NormalWeb"/>
              <w:spacing w:before="0" w:beforeAutospacing="0" w:after="0" w:afterAutospacing="0" w:line="360" w:lineRule="auto"/>
              <w:rPr>
                <w:rFonts w:asciiTheme="minorHAnsi" w:hAnsiTheme="minorHAnsi" w:cstheme="minorHAnsi"/>
              </w:rPr>
            </w:pPr>
          </w:p>
        </w:tc>
      </w:tr>
    </w:tbl>
    <w:p w14:paraId="0237FA04" w14:textId="1F47B942" w:rsidR="007C16B5" w:rsidRDefault="00D3072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 Unsupervised classification of the BD patients (top) and the enriched pathways that distinguish them from one another (bottom).</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BB65E9C"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Pr>
          <w:rFonts w:asciiTheme="minorHAnsi" w:hAnsiTheme="minorHAnsi" w:cstheme="minorHAnsi"/>
        </w:rPr>
        <w:t xml:space="preserve">Furthermore, we have discovered that the gene </w:t>
      </w:r>
      <w:r w:rsidR="00361137">
        <w:rPr>
          <w:rFonts w:asciiTheme="minorHAnsi" w:hAnsiTheme="minorHAnsi" w:cstheme="minorHAnsi"/>
        </w:rPr>
        <w:t>CENPL could act as a biomarker for bipolar disorder in the 9</w:t>
      </w:r>
      <w:r w:rsidR="00361137" w:rsidRPr="00361137">
        <w:rPr>
          <w:rFonts w:asciiTheme="minorHAnsi" w:hAnsiTheme="minorHAnsi" w:cstheme="minorHAnsi"/>
          <w:vertAlign w:val="superscript"/>
        </w:rPr>
        <w:t>th</w:t>
      </w:r>
      <w:r w:rsidR="00361137">
        <w:rPr>
          <w:rFonts w:asciiTheme="minorHAnsi" w:hAnsiTheme="minorHAnsi" w:cstheme="minorHAnsi"/>
        </w:rPr>
        <w:t xml:space="preserve"> area of the brain and that the genes </w:t>
      </w:r>
      <w:r w:rsidR="00361137">
        <w:rPr>
          <w:rFonts w:asciiTheme="minorHAnsi" w:hAnsiTheme="minorHAnsi" w:cstheme="minorHAnsi"/>
        </w:rPr>
        <w:t xml:space="preserve">LACRT and KRT18P11 </w:t>
      </w:r>
      <w:r w:rsidR="00361137">
        <w:rPr>
          <w:rFonts w:asciiTheme="minorHAnsi" w:hAnsiTheme="minorHAnsi" w:cstheme="minorHAnsi"/>
        </w:rPr>
        <w:t>could do so in the</w:t>
      </w:r>
      <w:r w:rsidR="00361137">
        <w:rPr>
          <w:rFonts w:asciiTheme="minorHAnsi" w:hAnsiTheme="minorHAnsi" w:cstheme="minorHAnsi"/>
        </w:rPr>
        <w:t xml:space="preserve"> 46</w:t>
      </w:r>
      <w:r w:rsidR="00361137" w:rsidRPr="00361137">
        <w:rPr>
          <w:rFonts w:asciiTheme="minorHAnsi" w:hAnsiTheme="minorHAnsi" w:cstheme="minorHAnsi"/>
          <w:vertAlign w:val="superscript"/>
        </w:rPr>
        <w:t>th</w:t>
      </w:r>
      <w:r w:rsidR="00361137">
        <w:rPr>
          <w:rFonts w:asciiTheme="minorHAnsi" w:hAnsiTheme="minorHAnsi" w:cstheme="minorHAnsi"/>
        </w:rPr>
        <w:t xml:space="preserve"> area of the brain. </w:t>
      </w:r>
      <w:r w:rsidR="00492902">
        <w:rPr>
          <w:rFonts w:asciiTheme="minorHAnsi" w:hAnsiTheme="minorHAnsi" w:cstheme="minorHAnsi"/>
        </w:rPr>
        <w:t xml:space="preserve">In addition, we have found that there is a strong connection between </w:t>
      </w:r>
      <w:r w:rsidR="00566A83">
        <w:rPr>
          <w:rFonts w:asciiTheme="minorHAnsi" w:hAnsiTheme="minorHAnsi" w:cstheme="minorHAnsi"/>
        </w:rPr>
        <w:t xml:space="preserve">bipolar disorder </w:t>
      </w:r>
      <w:r w:rsidR="00492902">
        <w:rPr>
          <w:rFonts w:asciiTheme="minorHAnsi" w:hAnsiTheme="minorHAnsi" w:cstheme="minorHAnsi"/>
        </w:rPr>
        <w:t xml:space="preserve">and the coagulation system and a slightly lesser connection between </w:t>
      </w:r>
      <w:r w:rsidR="00566A83">
        <w:rPr>
          <w:rFonts w:asciiTheme="minorHAnsi" w:hAnsiTheme="minorHAnsi" w:cstheme="minorHAnsi"/>
        </w:rPr>
        <w:t xml:space="preserve">bipolar disorder </w:t>
      </w:r>
      <w:r w:rsidR="00492902">
        <w:rPr>
          <w:rFonts w:asciiTheme="minorHAnsi" w:hAnsiTheme="minorHAnsi" w:cstheme="minorHAnsi"/>
        </w:rPr>
        <w:t>and the metabolism of xenobiotics.</w:t>
      </w:r>
    </w:p>
    <w:p w14:paraId="0D245E56" w14:textId="48E815D9"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t>Unfortunately,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However</w:t>
      </w:r>
      <w:r w:rsidR="00320853">
        <w:rPr>
          <w:rFonts w:asciiTheme="minorHAnsi" w:hAnsiTheme="minorHAnsi" w:cstheme="minorHAnsi"/>
        </w:rPr>
        <w:t xml:space="preserve">, the research literature </w:t>
      </w:r>
      <w:r>
        <w:rPr>
          <w:rFonts w:asciiTheme="minorHAnsi" w:hAnsiTheme="minorHAnsi" w:cstheme="minorHAnsi"/>
        </w:rPr>
        <w:t>does</w:t>
      </w:r>
      <w:r w:rsidR="00320853">
        <w:rPr>
          <w:rFonts w:asciiTheme="minorHAnsi" w:hAnsiTheme="minorHAnsi" w:cstheme="minorHAnsi"/>
        </w:rPr>
        <w:t xml:space="preserve"> support the connection we have found between the </w:t>
      </w:r>
      <w:r w:rsidR="00566A83">
        <w:rPr>
          <w:rFonts w:asciiTheme="minorHAnsi" w:hAnsiTheme="minorHAnsi" w:cstheme="minorHAnsi"/>
        </w:rPr>
        <w:t xml:space="preserve">bipolar disorder </w:t>
      </w:r>
      <w:r w:rsidR="00320853">
        <w:rPr>
          <w:rFonts w:asciiTheme="minorHAnsi" w:hAnsiTheme="minorHAnsi" w:cstheme="minorHAnsi"/>
        </w:rPr>
        <w:t>and the coagulation system</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
          <w:id w:val="-787738075"/>
          <w:placeholder>
            <w:docPart w:val="DefaultPlaceholder_-1854013440"/>
          </w:placeholder>
        </w:sdtPr>
        <w:sdtEndPr/>
        <w:sdtContent>
          <w:r w:rsidR="00825829" w:rsidRPr="00825829">
            <w:rPr>
              <w:rFonts w:asciiTheme="minorHAnsi" w:hAnsiTheme="minorHAnsi" w:cstheme="minorHAnsi"/>
              <w:color w:val="000000"/>
            </w:rPr>
            <w:t>(Hoirisch-Clapauch et al., 2014)</w:t>
          </w:r>
        </w:sdtContent>
      </w:sdt>
      <w:r w:rsidR="00295A0A">
        <w:rPr>
          <w:rFonts w:asciiTheme="minorHAnsi" w:hAnsiTheme="minorHAnsi" w:cstheme="minorHAnsi"/>
          <w:color w:val="000000"/>
        </w:rPr>
        <w:t xml:space="preserve"> and </w:t>
      </w:r>
      <w:r w:rsidR="00825829">
        <w:rPr>
          <w:rFonts w:asciiTheme="minorHAnsi" w:hAnsiTheme="minorHAnsi" w:cstheme="minorHAnsi"/>
          <w:color w:val="000000"/>
        </w:rPr>
        <w:t xml:space="preserve">for the association between the metabolism of xenobiotics using the enzyme Cytochrome P450 and </w:t>
      </w:r>
      <w:r w:rsidR="00566A83">
        <w:rPr>
          <w:rFonts w:asciiTheme="minorHAnsi" w:hAnsiTheme="minorHAnsi" w:cstheme="minorHAnsi"/>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E42663" w:rsidRPr="00E42663">
            <w:rPr>
              <w:rFonts w:asciiTheme="minorHAnsi" w:hAnsiTheme="minorHAnsi" w:cstheme="minorHAnsi"/>
              <w:color w:val="000000"/>
            </w:rPr>
            <w:t>(Altaf-Ul-Amin et al., 2021).</w:t>
          </w:r>
        </w:sdtContent>
      </w:sdt>
      <w:r w:rsidR="00825829">
        <w:rPr>
          <w:rFonts w:asciiTheme="minorHAnsi" w:hAnsiTheme="minorHAnsi" w:cstheme="minorHAnsi"/>
          <w:color w:val="000000"/>
        </w:rPr>
        <w:t xml:space="preserve"> </w:t>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60B9A1CA" w14:textId="28066666" w:rsidR="00014CD5" w:rsidRPr="007C16B5" w:rsidRDefault="00212C5A"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In order to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07343BA5"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9"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172C2A71" w14:textId="77777777" w:rsidR="00825829" w:rsidRPr="0058441D" w:rsidRDefault="00825829">
          <w:pPr>
            <w:bidi w:val="0"/>
            <w:divId w:val="393361356"/>
            <w:rPr>
              <w:rFonts w:eastAsia="Times New Roman"/>
              <w:sz w:val="24"/>
              <w:szCs w:val="24"/>
            </w:rPr>
          </w:pPr>
          <w:r w:rsidRPr="0058441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58441D">
            <w:rPr>
              <w:rFonts w:eastAsia="Times New Roman"/>
              <w:i/>
              <w:iCs/>
              <w:sz w:val="24"/>
              <w:szCs w:val="24"/>
            </w:rPr>
            <w:t>19</w:t>
          </w:r>
          <w:r w:rsidRPr="0058441D">
            <w:rPr>
              <w:rFonts w:eastAsia="Times New Roman"/>
              <w:sz w:val="24"/>
              <w:szCs w:val="24"/>
            </w:rPr>
            <w:t>, 1179–1185.</w:t>
          </w:r>
        </w:p>
        <w:p w14:paraId="1464F936" w14:textId="77777777" w:rsidR="00825829" w:rsidRPr="0058441D" w:rsidRDefault="00825829">
          <w:pPr>
            <w:bidi w:val="0"/>
            <w:divId w:val="569779019"/>
            <w:rPr>
              <w:rFonts w:eastAsia="Times New Roman"/>
              <w:sz w:val="24"/>
              <w:szCs w:val="24"/>
            </w:rPr>
          </w:pPr>
          <w:r w:rsidRPr="0058441D">
            <w:rPr>
              <w:rFonts w:eastAsia="Times New Roman"/>
              <w:sz w:val="24"/>
              <w:szCs w:val="24"/>
            </w:rPr>
            <w:t xml:space="preserve">Altaf-Ul-Amin, Md., Hirose, K., Nani, J. v, Porta, L.C., Tasic, L., Hossain, S.F., Huang, M., Ono, N., Hayashi, M.A.F., and Kanaya, S. (2021). A system biology approach based on metabolic biomarkers and protein–protein interactions for identifying pathways underlying schizophrenia and bipolar disorder. Scientific Reports </w:t>
          </w:r>
          <w:r w:rsidRPr="0058441D">
            <w:rPr>
              <w:rFonts w:eastAsia="Times New Roman"/>
              <w:i/>
              <w:iCs/>
              <w:sz w:val="24"/>
              <w:szCs w:val="24"/>
            </w:rPr>
            <w:t>11</w:t>
          </w:r>
          <w:r w:rsidRPr="0058441D">
            <w:rPr>
              <w:rFonts w:eastAsia="Times New Roman"/>
              <w:sz w:val="24"/>
              <w:szCs w:val="24"/>
            </w:rPr>
            <w:t>, 14450.</w:t>
          </w:r>
        </w:p>
        <w:p w14:paraId="00B93D06" w14:textId="77777777" w:rsidR="00825829" w:rsidRPr="0058441D" w:rsidRDefault="00825829">
          <w:pPr>
            <w:bidi w:val="0"/>
            <w:divId w:val="2052344379"/>
            <w:rPr>
              <w:rFonts w:eastAsia="Times New Roman"/>
              <w:sz w:val="24"/>
              <w:szCs w:val="24"/>
            </w:rPr>
          </w:pPr>
          <w:r w:rsidRPr="0058441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58441D">
            <w:rPr>
              <w:rFonts w:eastAsia="Times New Roman"/>
              <w:i/>
              <w:iCs/>
              <w:sz w:val="24"/>
              <w:szCs w:val="24"/>
            </w:rPr>
            <w:t>102</w:t>
          </w:r>
          <w:r w:rsidRPr="0058441D">
            <w:rPr>
              <w:rFonts w:eastAsia="Times New Roman"/>
              <w:sz w:val="24"/>
              <w:szCs w:val="24"/>
            </w:rPr>
            <w:t>, 15545–15550.</w:t>
          </w:r>
        </w:p>
        <w:p w14:paraId="5D66CFB1" w14:textId="77777777" w:rsidR="00825829" w:rsidRPr="0058441D" w:rsidRDefault="00825829">
          <w:pPr>
            <w:bidi w:val="0"/>
            <w:divId w:val="1466584165"/>
            <w:rPr>
              <w:rFonts w:eastAsia="Times New Roman"/>
              <w:sz w:val="24"/>
              <w:szCs w:val="24"/>
            </w:rPr>
          </w:pPr>
          <w:r w:rsidRPr="0058441D">
            <w:rPr>
              <w:rFonts w:eastAsia="Times New Roman"/>
              <w:sz w:val="24"/>
              <w:szCs w:val="24"/>
            </w:rPr>
            <w:t xml:space="preserve">Aziz, R., Lorberg, B., and Tampi, R.R. (2006). Treatments for late-life bipolar disorder. The American Journal of Geriatric Pharmacotherapy </w:t>
          </w:r>
          <w:r w:rsidRPr="0058441D">
            <w:rPr>
              <w:rFonts w:eastAsia="Times New Roman"/>
              <w:i/>
              <w:iCs/>
              <w:sz w:val="24"/>
              <w:szCs w:val="24"/>
            </w:rPr>
            <w:t>4</w:t>
          </w:r>
          <w:r w:rsidRPr="0058441D">
            <w:rPr>
              <w:rFonts w:eastAsia="Times New Roman"/>
              <w:sz w:val="24"/>
              <w:szCs w:val="24"/>
            </w:rPr>
            <w:t>, 347–364.</w:t>
          </w:r>
        </w:p>
        <w:p w14:paraId="4C3AA233" w14:textId="77777777" w:rsidR="00825829" w:rsidRPr="0058441D" w:rsidRDefault="00825829">
          <w:pPr>
            <w:bidi w:val="0"/>
            <w:divId w:val="1366783566"/>
            <w:rPr>
              <w:rFonts w:eastAsia="Times New Roman"/>
              <w:sz w:val="24"/>
              <w:szCs w:val="24"/>
            </w:rPr>
          </w:pPr>
          <w:r w:rsidRPr="0058441D">
            <w:rPr>
              <w:rFonts w:eastAsia="Times New Roman"/>
              <w:sz w:val="24"/>
              <w:szCs w:val="24"/>
            </w:rPr>
            <w:t xml:space="preserve">Cerimele, J.M., Chwastiak, L.A., Dodson, S., and Katon, W.J. (2014). The prevalence of bipolar disorder in general primary care samples: a systematic review. General Hospital Psychiatry </w:t>
          </w:r>
          <w:r w:rsidRPr="0058441D">
            <w:rPr>
              <w:rFonts w:eastAsia="Times New Roman"/>
              <w:i/>
              <w:iCs/>
              <w:sz w:val="24"/>
              <w:szCs w:val="24"/>
            </w:rPr>
            <w:t>36</w:t>
          </w:r>
          <w:r w:rsidRPr="0058441D">
            <w:rPr>
              <w:rFonts w:eastAsia="Times New Roman"/>
              <w:sz w:val="24"/>
              <w:szCs w:val="24"/>
            </w:rPr>
            <w:t>, 19–25.</w:t>
          </w:r>
        </w:p>
        <w:p w14:paraId="006D6F39" w14:textId="77777777" w:rsidR="00825829" w:rsidRPr="0058441D" w:rsidRDefault="00825829">
          <w:pPr>
            <w:bidi w:val="0"/>
            <w:divId w:val="1094014709"/>
            <w:rPr>
              <w:rFonts w:eastAsia="Times New Roman"/>
              <w:sz w:val="24"/>
              <w:szCs w:val="24"/>
            </w:rPr>
          </w:pPr>
          <w:r w:rsidRPr="0058441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58441D">
            <w:rPr>
              <w:rFonts w:eastAsia="Times New Roman"/>
              <w:i/>
              <w:iCs/>
              <w:sz w:val="24"/>
              <w:szCs w:val="24"/>
            </w:rPr>
            <w:t>47</w:t>
          </w:r>
          <w:r w:rsidRPr="0058441D">
            <w:rPr>
              <w:rFonts w:eastAsia="Times New Roman"/>
              <w:sz w:val="24"/>
              <w:szCs w:val="24"/>
            </w:rPr>
            <w:t>, 321–332.</w:t>
          </w:r>
        </w:p>
        <w:p w14:paraId="01509861" w14:textId="77777777" w:rsidR="00825829" w:rsidRPr="0058441D" w:rsidRDefault="00825829">
          <w:pPr>
            <w:bidi w:val="0"/>
            <w:divId w:val="230585293"/>
            <w:rPr>
              <w:rFonts w:eastAsia="Times New Roman"/>
              <w:sz w:val="24"/>
              <w:szCs w:val="24"/>
            </w:rPr>
          </w:pPr>
          <w:r w:rsidRPr="0058441D">
            <w:rPr>
              <w:rFonts w:eastAsia="Times New Roman"/>
              <w:sz w:val="24"/>
              <w:szCs w:val="24"/>
            </w:rPr>
            <w:t xml:space="preserve">Hoirisch-Clapauch, S., Nardi, A.E., Gris, J.-C., and Brenner, B. (2014). Coagulation and mental disorders. Rambam Maimonides Medical Journal </w:t>
          </w:r>
          <w:r w:rsidRPr="0058441D">
            <w:rPr>
              <w:rFonts w:eastAsia="Times New Roman"/>
              <w:i/>
              <w:iCs/>
              <w:sz w:val="24"/>
              <w:szCs w:val="24"/>
            </w:rPr>
            <w:t>5</w:t>
          </w:r>
          <w:r w:rsidRPr="0058441D">
            <w:rPr>
              <w:rFonts w:eastAsia="Times New Roman"/>
              <w:sz w:val="24"/>
              <w:szCs w:val="24"/>
            </w:rPr>
            <w:t>, e0036–e0036.</w:t>
          </w:r>
        </w:p>
        <w:p w14:paraId="0BF27D56" w14:textId="77777777" w:rsidR="00825829" w:rsidRPr="0058441D" w:rsidRDefault="00825829">
          <w:pPr>
            <w:bidi w:val="0"/>
            <w:divId w:val="628240139"/>
            <w:rPr>
              <w:rFonts w:eastAsia="Times New Roman"/>
              <w:sz w:val="24"/>
              <w:szCs w:val="24"/>
            </w:rPr>
          </w:pPr>
          <w:r w:rsidRPr="0058441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58441D">
            <w:rPr>
              <w:rFonts w:eastAsia="Times New Roman"/>
              <w:i/>
              <w:iCs/>
              <w:sz w:val="24"/>
              <w:szCs w:val="24"/>
            </w:rPr>
            <w:t>7</w:t>
          </w:r>
          <w:r w:rsidRPr="0058441D">
            <w:rPr>
              <w:rFonts w:eastAsia="Times New Roman"/>
              <w:sz w:val="24"/>
              <w:szCs w:val="24"/>
            </w:rPr>
            <w:t>, 71087–71098.</w:t>
          </w:r>
        </w:p>
        <w:p w14:paraId="70BEFEC7" w14:textId="77777777" w:rsidR="00825829" w:rsidRPr="0058441D" w:rsidRDefault="00825829">
          <w:pPr>
            <w:bidi w:val="0"/>
            <w:divId w:val="1084456698"/>
            <w:rPr>
              <w:rFonts w:eastAsia="Times New Roman"/>
              <w:sz w:val="24"/>
              <w:szCs w:val="24"/>
            </w:rPr>
          </w:pPr>
          <w:r w:rsidRPr="0058441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58441D">
            <w:rPr>
              <w:rFonts w:eastAsia="Times New Roman"/>
              <w:i/>
              <w:iCs/>
              <w:sz w:val="24"/>
              <w:szCs w:val="24"/>
            </w:rPr>
            <w:t>107</w:t>
          </w:r>
          <w:r w:rsidRPr="0058441D">
            <w:rPr>
              <w:rFonts w:eastAsia="Times New Roman"/>
              <w:sz w:val="24"/>
              <w:szCs w:val="24"/>
            </w:rPr>
            <w:t>.</w:t>
          </w:r>
        </w:p>
        <w:p w14:paraId="6A410223" w14:textId="77777777" w:rsidR="00825829" w:rsidRPr="0058441D" w:rsidRDefault="00825829">
          <w:pPr>
            <w:bidi w:val="0"/>
            <w:divId w:val="1954940150"/>
            <w:rPr>
              <w:rFonts w:eastAsia="Times New Roman"/>
              <w:sz w:val="24"/>
              <w:szCs w:val="24"/>
            </w:rPr>
          </w:pPr>
          <w:r w:rsidRPr="0058441D">
            <w:rPr>
              <w:rFonts w:eastAsia="Times New Roman"/>
              <w:sz w:val="24"/>
              <w:szCs w:val="24"/>
            </w:rPr>
            <w:t xml:space="preserve">Love, M.I., Huber, W., and Anders, S. (2014). Moderated estimation of fold change and dispersion for RNA-seq data with DESeq2. Genome Biology </w:t>
          </w:r>
          <w:r w:rsidRPr="0058441D">
            <w:rPr>
              <w:rFonts w:eastAsia="Times New Roman"/>
              <w:i/>
              <w:iCs/>
              <w:sz w:val="24"/>
              <w:szCs w:val="24"/>
            </w:rPr>
            <w:t>15</w:t>
          </w:r>
          <w:r w:rsidRPr="0058441D">
            <w:rPr>
              <w:rFonts w:eastAsia="Times New Roman"/>
              <w:sz w:val="24"/>
              <w:szCs w:val="24"/>
            </w:rPr>
            <w:t>, 550.</w:t>
          </w:r>
        </w:p>
        <w:p w14:paraId="5AFBE489" w14:textId="77777777" w:rsidR="00825829" w:rsidRPr="0058441D" w:rsidRDefault="00825829">
          <w:pPr>
            <w:bidi w:val="0"/>
            <w:divId w:val="1237982499"/>
            <w:rPr>
              <w:rFonts w:eastAsia="Times New Roman"/>
              <w:sz w:val="24"/>
              <w:szCs w:val="24"/>
            </w:rPr>
          </w:pPr>
          <w:r w:rsidRPr="0058441D">
            <w:rPr>
              <w:rFonts w:eastAsia="Times New Roman"/>
              <w:sz w:val="24"/>
              <w:szCs w:val="24"/>
            </w:rPr>
            <w:t>Medeiros, G.C., and Goes, F.S. (2022). Genome-wide association study biomarkers in bipolar disorder. In Biomarkers in Bipolar Disorders, (Elsevier), pp. 125–139.</w:t>
          </w:r>
        </w:p>
        <w:p w14:paraId="0C7B4439" w14:textId="77777777" w:rsidR="00825829" w:rsidRPr="0058441D" w:rsidRDefault="00825829">
          <w:pPr>
            <w:bidi w:val="0"/>
            <w:divId w:val="1370759322"/>
            <w:rPr>
              <w:rFonts w:eastAsia="Times New Roman"/>
              <w:sz w:val="24"/>
              <w:szCs w:val="24"/>
            </w:rPr>
          </w:pPr>
          <w:r w:rsidRPr="0058441D">
            <w:rPr>
              <w:rFonts w:eastAsia="Times New Roman"/>
              <w:sz w:val="24"/>
              <w:szCs w:val="24"/>
            </w:rPr>
            <w:t>Miklowitz, D.J. (2008). Bipolar disorder : a family-focused treatment approach (Guilford Press).</w:t>
          </w:r>
        </w:p>
        <w:p w14:paraId="6FF4FA1F" w14:textId="77777777" w:rsidR="00825829" w:rsidRPr="0058441D" w:rsidRDefault="00825829">
          <w:pPr>
            <w:bidi w:val="0"/>
            <w:divId w:val="1073354587"/>
            <w:rPr>
              <w:rFonts w:eastAsia="Times New Roman"/>
              <w:sz w:val="24"/>
              <w:szCs w:val="24"/>
            </w:rPr>
          </w:pPr>
          <w:r w:rsidRPr="0058441D">
            <w:rPr>
              <w:rFonts w:eastAsia="Times New Roman"/>
              <w:sz w:val="24"/>
              <w:szCs w:val="24"/>
            </w:rPr>
            <w:lastRenderedPageBreak/>
            <w:t xml:space="preserve">Miller, J., and Black, D. (2020). Bipolar Disorder and Suicide: a Review. Current Psychiatry Reports </w:t>
          </w:r>
          <w:r w:rsidRPr="0058441D">
            <w:rPr>
              <w:rFonts w:eastAsia="Times New Roman"/>
              <w:i/>
              <w:iCs/>
              <w:sz w:val="24"/>
              <w:szCs w:val="24"/>
            </w:rPr>
            <w:t>22</w:t>
          </w:r>
          <w:r w:rsidRPr="0058441D">
            <w:rPr>
              <w:rFonts w:eastAsia="Times New Roman"/>
              <w:sz w:val="24"/>
              <w:szCs w:val="24"/>
            </w:rPr>
            <w:t>.</w:t>
          </w:r>
        </w:p>
        <w:p w14:paraId="242C790A" w14:textId="77777777" w:rsidR="00825829" w:rsidRPr="0058441D" w:rsidRDefault="00825829">
          <w:pPr>
            <w:bidi w:val="0"/>
            <w:divId w:val="108092958"/>
            <w:rPr>
              <w:rFonts w:eastAsia="Times New Roman"/>
              <w:sz w:val="24"/>
              <w:szCs w:val="24"/>
            </w:rPr>
          </w:pPr>
          <w:r w:rsidRPr="0058441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58441D">
            <w:rPr>
              <w:rFonts w:eastAsia="Times New Roman"/>
              <w:i/>
              <w:iCs/>
              <w:sz w:val="24"/>
              <w:szCs w:val="24"/>
            </w:rPr>
            <w:t>34</w:t>
          </w:r>
          <w:r w:rsidRPr="0058441D">
            <w:rPr>
              <w:rFonts w:eastAsia="Times New Roman"/>
              <w:sz w:val="24"/>
              <w:szCs w:val="24"/>
            </w:rPr>
            <w:t>, 267–273.</w:t>
          </w:r>
        </w:p>
        <w:p w14:paraId="592C3F2F" w14:textId="77777777" w:rsidR="00825829" w:rsidRPr="0058441D" w:rsidRDefault="00825829">
          <w:pPr>
            <w:bidi w:val="0"/>
            <w:divId w:val="1191339014"/>
            <w:rPr>
              <w:rFonts w:eastAsia="Times New Roman"/>
              <w:sz w:val="24"/>
              <w:szCs w:val="24"/>
            </w:rPr>
          </w:pPr>
          <w:r w:rsidRPr="0058441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58441D">
            <w:rPr>
              <w:rFonts w:eastAsia="Times New Roman"/>
              <w:i/>
              <w:iCs/>
              <w:sz w:val="24"/>
              <w:szCs w:val="24"/>
            </w:rPr>
            <w:t>64</w:t>
          </w:r>
          <w:r w:rsidRPr="0058441D">
            <w:rPr>
              <w:rFonts w:eastAsia="Times New Roman"/>
              <w:sz w:val="24"/>
              <w:szCs w:val="24"/>
            </w:rPr>
            <w:t>, 1032–1039.</w:t>
          </w:r>
        </w:p>
        <w:p w14:paraId="1180E404" w14:textId="77777777" w:rsidR="00825829" w:rsidRPr="0058441D" w:rsidRDefault="00825829">
          <w:pPr>
            <w:bidi w:val="0"/>
            <w:divId w:val="1445150968"/>
            <w:rPr>
              <w:rFonts w:eastAsia="Times New Roman"/>
              <w:sz w:val="24"/>
              <w:szCs w:val="24"/>
            </w:rPr>
          </w:pPr>
          <w:r w:rsidRPr="0058441D">
            <w:rPr>
              <w:rFonts w:eastAsia="Times New Roman"/>
              <w:sz w:val="24"/>
              <w:szCs w:val="24"/>
            </w:rPr>
            <w:t xml:space="preserve">Müller-Oerlinghausen, B., Berghöfer, A., and Bauer, M. (2002). Bipolar disorder. The Lancet </w:t>
          </w:r>
          <w:r w:rsidRPr="0058441D">
            <w:rPr>
              <w:rFonts w:eastAsia="Times New Roman"/>
              <w:i/>
              <w:iCs/>
              <w:sz w:val="24"/>
              <w:szCs w:val="24"/>
            </w:rPr>
            <w:t>359</w:t>
          </w:r>
          <w:r w:rsidRPr="0058441D">
            <w:rPr>
              <w:rFonts w:eastAsia="Times New Roman"/>
              <w:sz w:val="24"/>
              <w:szCs w:val="24"/>
            </w:rPr>
            <w:t>, 241–247.</w:t>
          </w:r>
        </w:p>
        <w:p w14:paraId="18B81D2F" w14:textId="77777777" w:rsidR="00825829" w:rsidRPr="0058441D" w:rsidRDefault="00825829">
          <w:pPr>
            <w:bidi w:val="0"/>
            <w:divId w:val="1962300105"/>
            <w:rPr>
              <w:rFonts w:eastAsia="Times New Roman"/>
              <w:sz w:val="24"/>
              <w:szCs w:val="24"/>
            </w:rPr>
          </w:pPr>
          <w:r w:rsidRPr="0058441D">
            <w:rPr>
              <w:rFonts w:eastAsia="Times New Roman"/>
              <w:sz w:val="24"/>
              <w:szCs w:val="24"/>
            </w:rPr>
            <w:t xml:space="preserve">Oraki Kohshour, M., Papiol, S., Ching, C.R.K., and Schulze, T.G. (2022). Genomic and neuroimaging approaches to bipolar disorder. BJPsych Open </w:t>
          </w:r>
          <w:r w:rsidRPr="0058441D">
            <w:rPr>
              <w:rFonts w:eastAsia="Times New Roman"/>
              <w:i/>
              <w:iCs/>
              <w:sz w:val="24"/>
              <w:szCs w:val="24"/>
            </w:rPr>
            <w:t>8</w:t>
          </w:r>
          <w:r w:rsidRPr="0058441D">
            <w:rPr>
              <w:rFonts w:eastAsia="Times New Roman"/>
              <w:sz w:val="24"/>
              <w:szCs w:val="24"/>
            </w:rPr>
            <w:t>, e36.</w:t>
          </w:r>
        </w:p>
        <w:p w14:paraId="6A446299" w14:textId="77777777" w:rsidR="00825829" w:rsidRPr="0058441D" w:rsidRDefault="00825829">
          <w:pPr>
            <w:bidi w:val="0"/>
            <w:divId w:val="46035051"/>
            <w:rPr>
              <w:rFonts w:eastAsia="Times New Roman"/>
              <w:sz w:val="24"/>
              <w:szCs w:val="24"/>
            </w:rPr>
          </w:pPr>
          <w:r w:rsidRPr="0058441D">
            <w:rPr>
              <w:rFonts w:eastAsia="Times New Roman"/>
              <w:sz w:val="24"/>
              <w:szCs w:val="24"/>
            </w:rPr>
            <w:t xml:space="preserve">Phillips, M.L., and Kupfer, D.J. (2013). Bipolar disorder diagnosis: challenges and future directions. The Lancet </w:t>
          </w:r>
          <w:r w:rsidRPr="0058441D">
            <w:rPr>
              <w:rFonts w:eastAsia="Times New Roman"/>
              <w:i/>
              <w:iCs/>
              <w:sz w:val="24"/>
              <w:szCs w:val="24"/>
            </w:rPr>
            <w:t>381</w:t>
          </w:r>
          <w:r w:rsidRPr="0058441D">
            <w:rPr>
              <w:rFonts w:eastAsia="Times New Roman"/>
              <w:sz w:val="24"/>
              <w:szCs w:val="24"/>
            </w:rPr>
            <w:t>, 1663–1671.</w:t>
          </w:r>
        </w:p>
        <w:p w14:paraId="5C876F35" w14:textId="77777777" w:rsidR="00825829" w:rsidRPr="0058441D" w:rsidRDefault="00825829">
          <w:pPr>
            <w:bidi w:val="0"/>
            <w:divId w:val="1669284828"/>
            <w:rPr>
              <w:rFonts w:eastAsia="Times New Roman"/>
              <w:sz w:val="24"/>
              <w:szCs w:val="24"/>
            </w:rPr>
          </w:pPr>
          <w:r w:rsidRPr="0058441D">
            <w:rPr>
              <w:rFonts w:eastAsia="Times New Roman"/>
              <w:sz w:val="24"/>
              <w:szCs w:val="24"/>
            </w:rPr>
            <w:t xml:space="preserve">Rowland, T.A., and Marwaha, S. (2018). Epidemiology and risk factors for bipolar disorder. Therapeutic Advances in Psychopharmacology </w:t>
          </w:r>
          <w:r w:rsidRPr="0058441D">
            <w:rPr>
              <w:rFonts w:eastAsia="Times New Roman"/>
              <w:i/>
              <w:iCs/>
              <w:sz w:val="24"/>
              <w:szCs w:val="24"/>
            </w:rPr>
            <w:t>8</w:t>
          </w:r>
          <w:r w:rsidRPr="0058441D">
            <w:rPr>
              <w:rFonts w:eastAsia="Times New Roman"/>
              <w:sz w:val="24"/>
              <w:szCs w:val="24"/>
            </w:rPr>
            <w:t>, 251–269.</w:t>
          </w:r>
        </w:p>
        <w:p w14:paraId="52C2261C" w14:textId="77777777" w:rsidR="00825829" w:rsidRPr="0058441D" w:rsidRDefault="00825829">
          <w:pPr>
            <w:bidi w:val="0"/>
            <w:divId w:val="1478375485"/>
            <w:rPr>
              <w:rFonts w:eastAsia="Times New Roman"/>
              <w:sz w:val="24"/>
              <w:szCs w:val="24"/>
            </w:rPr>
          </w:pPr>
          <w:r w:rsidRPr="0058441D">
            <w:rPr>
              <w:rFonts w:eastAsia="Times New Roman"/>
              <w:sz w:val="24"/>
              <w:szCs w:val="24"/>
            </w:rPr>
            <w:t>Salagre, E., and Vieta, E. (2022). Biomarkers in bipolar disorder: an overview. In Biomarkers in Bipolar Disorders, (Elsevier), pp. 1–18.</w:t>
          </w:r>
        </w:p>
        <w:p w14:paraId="7D3CE28D" w14:textId="77777777" w:rsidR="00825829" w:rsidRPr="0058441D" w:rsidRDefault="00825829">
          <w:pPr>
            <w:bidi w:val="0"/>
            <w:divId w:val="93285196"/>
            <w:rPr>
              <w:rFonts w:eastAsia="Times New Roman"/>
              <w:sz w:val="24"/>
              <w:szCs w:val="24"/>
            </w:rPr>
          </w:pPr>
          <w:r w:rsidRPr="0058441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58441D">
            <w:rPr>
              <w:rFonts w:eastAsia="Times New Roman"/>
              <w:i/>
              <w:iCs/>
              <w:sz w:val="24"/>
              <w:szCs w:val="24"/>
            </w:rPr>
            <w:t>38</w:t>
          </w:r>
          <w:r w:rsidRPr="0058441D">
            <w:rPr>
              <w:rFonts w:eastAsia="Times New Roman"/>
              <w:sz w:val="24"/>
              <w:szCs w:val="24"/>
            </w:rPr>
            <w:t>, 985–995.</w:t>
          </w:r>
        </w:p>
        <w:p w14:paraId="729141E3" w14:textId="23CC2805" w:rsidR="00902D20" w:rsidRPr="00902D20" w:rsidRDefault="00825829" w:rsidP="00902D20">
          <w:pPr>
            <w:bidi w:val="0"/>
            <w:divId w:val="263880431"/>
            <w:rPr>
              <w:rFonts w:eastAsia="Times New Roman"/>
              <w:sz w:val="24"/>
              <w:szCs w:val="24"/>
              <w:rtl/>
            </w:rPr>
          </w:pPr>
          <w:r w:rsidRPr="0058441D">
            <w:rPr>
              <w:rFonts w:eastAsia="Times New Roman"/>
              <w:sz w:val="24"/>
              <w:szCs w:val="24"/>
            </w:rPr>
            <w:t> </w:t>
          </w:r>
        </w:p>
      </w:sdtContent>
    </w:sdt>
    <w:bookmarkEnd w:id="9" w:displacedByCustomXml="prev"/>
    <w:sectPr w:rsidR="00902D20" w:rsidRPr="00902D20" w:rsidSect="00EF40AA">
      <w:headerReference w:type="default" r:id="rId49"/>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1T15:34:00Z" w:initials="ZC">
    <w:p w14:paraId="2088BB12" w14:textId="30D20B67" w:rsidR="00BF0604" w:rsidRDefault="00BF0604" w:rsidP="00BF0604">
      <w:pPr>
        <w:pStyle w:val="CommentText"/>
        <w:rPr>
          <w:rtl/>
        </w:rPr>
      </w:pPr>
      <w:r>
        <w:rPr>
          <w:rStyle w:val="CommentReference"/>
        </w:rPr>
        <w:annotationRef/>
      </w:r>
      <w:r>
        <w:rPr>
          <w:rFonts w:hint="cs"/>
          <w:rtl/>
        </w:rPr>
        <w:t>לבדוק מה זה</w:t>
      </w:r>
    </w:p>
  </w:comment>
  <w:comment w:id="2" w:author="Ziv Cohen" w:date="2022-03-11T15:32:00Z" w:initials="ZC">
    <w:p w14:paraId="2BD8211B" w14:textId="672807FF" w:rsidR="00BF0604" w:rsidRDefault="00BF0604">
      <w:pPr>
        <w:pStyle w:val="CommentText"/>
        <w:rPr>
          <w:rtl/>
        </w:rPr>
      </w:pPr>
      <w:r>
        <w:rPr>
          <w:rStyle w:val="CommentReference"/>
        </w:rPr>
        <w:annotationRef/>
      </w:r>
      <w:r>
        <w:rPr>
          <w:rFonts w:hint="cs"/>
          <w:rtl/>
        </w:rPr>
        <w:t>לסיים בהתאם לתוצאות</w:t>
      </w:r>
    </w:p>
  </w:comment>
  <w:comment w:id="3"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5" w:author="Ziv Cohen" w:date="2022-02-14T13:15:00Z" w:initials="ZC">
    <w:p w14:paraId="01EC7B66" w14:textId="61E93CD4" w:rsidR="00AC0779" w:rsidRDefault="00AC0779">
      <w:pPr>
        <w:pStyle w:val="CommentText"/>
      </w:pPr>
      <w:r>
        <w:rPr>
          <w:rStyle w:val="CommentReference"/>
        </w:rPr>
        <w:annotationRef/>
      </w:r>
      <w:r>
        <w:rPr>
          <w:rStyle w:val="CommentReference"/>
          <w:rFonts w:hint="cs"/>
          <w:rtl/>
        </w:rPr>
        <w:t>לכתוב מקור ראשוני?</w:t>
      </w:r>
    </w:p>
  </w:comment>
  <w:comment w:id="7"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8" w:author="Ziv Cohen" w:date="2022-03-11T23:54:00Z" w:initials="ZC">
    <w:p w14:paraId="4A2CB9D9" w14:textId="7B068308" w:rsidR="00C118FD" w:rsidRDefault="00C118FD" w:rsidP="00C118FD">
      <w:pPr>
        <w:pStyle w:val="CommentText"/>
        <w:rPr>
          <w:rFonts w:hint="cs"/>
          <w:rtl/>
        </w:rPr>
      </w:pPr>
      <w:r>
        <w:rPr>
          <w:rStyle w:val="CommentReference"/>
        </w:rPr>
        <w:annotationRef/>
      </w:r>
      <w:r>
        <w:rPr>
          <w:rFonts w:hint="cs"/>
          <w:rtl/>
        </w:rPr>
        <w:t xml:space="preserve">זה באמת </w:t>
      </w:r>
      <w:r>
        <w:rPr>
          <w:rFonts w:hint="cs"/>
        </w:rPr>
        <w:t>GSEA</w:t>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8BB12" w15:done="0"/>
  <w15:commentEx w15:paraId="2BD8211B" w15:done="0"/>
  <w15:commentEx w15:paraId="5681BF08" w15:done="0"/>
  <w15:commentEx w15:paraId="01EC7B66" w15:done="0"/>
  <w15:commentEx w15:paraId="29B19621" w15:done="0"/>
  <w15:commentEx w15:paraId="4A2CB9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5EA77" w16cex:dateUtc="2022-03-11T13:34:00Z"/>
  <w16cex:commentExtensible w16cex:durableId="25D5EA2B" w16cex:dateUtc="2022-03-11T13:32:00Z"/>
  <w16cex:commentExtensible w16cex:durableId="25D5EA52" w16cex:dateUtc="2022-03-11T13:33:00Z"/>
  <w16cex:commentExtensible w16cex:durableId="25B4D482" w16cex:dateUtc="2022-02-14T11:15:00Z"/>
  <w16cex:commentExtensible w16cex:durableId="25D4CD19" w16cex:dateUtc="2022-03-10T17:16:00Z"/>
  <w16cex:commentExtensible w16cex:durableId="25D65FB5" w16cex:dateUtc="2022-03-11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8BB12" w16cid:durableId="25D5EA77"/>
  <w16cid:commentId w16cid:paraId="2BD8211B" w16cid:durableId="25D5EA2B"/>
  <w16cid:commentId w16cid:paraId="5681BF08" w16cid:durableId="25D5EA52"/>
  <w16cid:commentId w16cid:paraId="01EC7B66" w16cid:durableId="25B4D482"/>
  <w16cid:commentId w16cid:paraId="29B19621" w16cid:durableId="25D4CD19"/>
  <w16cid:commentId w16cid:paraId="4A2CB9D9" w16cid:durableId="25D65F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AD4DA" w14:textId="77777777" w:rsidR="004E0F1E" w:rsidRDefault="004E0F1E" w:rsidP="00F45306">
      <w:pPr>
        <w:spacing w:after="0" w:line="240" w:lineRule="auto"/>
      </w:pPr>
      <w:r>
        <w:separator/>
      </w:r>
    </w:p>
  </w:endnote>
  <w:endnote w:type="continuationSeparator" w:id="0">
    <w:p w14:paraId="410E4F5A" w14:textId="77777777" w:rsidR="004E0F1E" w:rsidRDefault="004E0F1E"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FC87C" w14:textId="77777777" w:rsidR="004E0F1E" w:rsidRDefault="004E0F1E" w:rsidP="00F45306">
      <w:pPr>
        <w:spacing w:after="0" w:line="240" w:lineRule="auto"/>
      </w:pPr>
      <w:r>
        <w:separator/>
      </w:r>
    </w:p>
  </w:footnote>
  <w:footnote w:type="continuationSeparator" w:id="0">
    <w:p w14:paraId="31C54938" w14:textId="77777777" w:rsidR="004E0F1E" w:rsidRDefault="004E0F1E"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29E2"/>
    <w:rsid w:val="00074852"/>
    <w:rsid w:val="00080E0A"/>
    <w:rsid w:val="00093C17"/>
    <w:rsid w:val="000A253F"/>
    <w:rsid w:val="000B726D"/>
    <w:rsid w:val="000C63FA"/>
    <w:rsid w:val="000E2AE1"/>
    <w:rsid w:val="00103159"/>
    <w:rsid w:val="00105C8B"/>
    <w:rsid w:val="0011559E"/>
    <w:rsid w:val="00125E2B"/>
    <w:rsid w:val="00135D0D"/>
    <w:rsid w:val="00156F97"/>
    <w:rsid w:val="00160D8B"/>
    <w:rsid w:val="001617A1"/>
    <w:rsid w:val="00167D22"/>
    <w:rsid w:val="001872B2"/>
    <w:rsid w:val="001A2B5A"/>
    <w:rsid w:val="001B18CD"/>
    <w:rsid w:val="001B4109"/>
    <w:rsid w:val="001C2461"/>
    <w:rsid w:val="001C2703"/>
    <w:rsid w:val="001D1D9C"/>
    <w:rsid w:val="002125FE"/>
    <w:rsid w:val="00212C5A"/>
    <w:rsid w:val="002165DD"/>
    <w:rsid w:val="00224A59"/>
    <w:rsid w:val="002271E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20853"/>
    <w:rsid w:val="003420B8"/>
    <w:rsid w:val="00343D97"/>
    <w:rsid w:val="00354BA7"/>
    <w:rsid w:val="00361137"/>
    <w:rsid w:val="00364AC6"/>
    <w:rsid w:val="00383827"/>
    <w:rsid w:val="003B0E0A"/>
    <w:rsid w:val="003B0F3F"/>
    <w:rsid w:val="003D7774"/>
    <w:rsid w:val="003F0FE3"/>
    <w:rsid w:val="003F2A95"/>
    <w:rsid w:val="003F5071"/>
    <w:rsid w:val="00413216"/>
    <w:rsid w:val="004132B9"/>
    <w:rsid w:val="00421CD6"/>
    <w:rsid w:val="0042605C"/>
    <w:rsid w:val="004405EC"/>
    <w:rsid w:val="004528D2"/>
    <w:rsid w:val="00483F65"/>
    <w:rsid w:val="00484818"/>
    <w:rsid w:val="00486EBF"/>
    <w:rsid w:val="00492902"/>
    <w:rsid w:val="00495344"/>
    <w:rsid w:val="004B14A6"/>
    <w:rsid w:val="004D1F3C"/>
    <w:rsid w:val="004E0F1E"/>
    <w:rsid w:val="004E3876"/>
    <w:rsid w:val="004F16D1"/>
    <w:rsid w:val="00513068"/>
    <w:rsid w:val="005216BD"/>
    <w:rsid w:val="00531E38"/>
    <w:rsid w:val="00534BED"/>
    <w:rsid w:val="005635CF"/>
    <w:rsid w:val="00565C5A"/>
    <w:rsid w:val="00566A83"/>
    <w:rsid w:val="00566F9A"/>
    <w:rsid w:val="0057464E"/>
    <w:rsid w:val="005778A5"/>
    <w:rsid w:val="005812D5"/>
    <w:rsid w:val="0058441D"/>
    <w:rsid w:val="0059587D"/>
    <w:rsid w:val="005D4099"/>
    <w:rsid w:val="005E3476"/>
    <w:rsid w:val="005F4250"/>
    <w:rsid w:val="00616BAE"/>
    <w:rsid w:val="00651A4B"/>
    <w:rsid w:val="00653CFB"/>
    <w:rsid w:val="00667AD9"/>
    <w:rsid w:val="006A1EAB"/>
    <w:rsid w:val="006B0F64"/>
    <w:rsid w:val="006C3024"/>
    <w:rsid w:val="006E19BD"/>
    <w:rsid w:val="007300D7"/>
    <w:rsid w:val="007369DA"/>
    <w:rsid w:val="00743197"/>
    <w:rsid w:val="007470A7"/>
    <w:rsid w:val="00757968"/>
    <w:rsid w:val="0077582F"/>
    <w:rsid w:val="0078107A"/>
    <w:rsid w:val="00782C41"/>
    <w:rsid w:val="00782F99"/>
    <w:rsid w:val="0078516E"/>
    <w:rsid w:val="007B111A"/>
    <w:rsid w:val="007B7933"/>
    <w:rsid w:val="007C0C3C"/>
    <w:rsid w:val="007C16B5"/>
    <w:rsid w:val="007D0962"/>
    <w:rsid w:val="007D2E43"/>
    <w:rsid w:val="007D3240"/>
    <w:rsid w:val="007E4161"/>
    <w:rsid w:val="007E58B4"/>
    <w:rsid w:val="008047D4"/>
    <w:rsid w:val="00817085"/>
    <w:rsid w:val="00825829"/>
    <w:rsid w:val="008435CC"/>
    <w:rsid w:val="008506A1"/>
    <w:rsid w:val="00862854"/>
    <w:rsid w:val="0089544D"/>
    <w:rsid w:val="008D4B7E"/>
    <w:rsid w:val="008E09B1"/>
    <w:rsid w:val="008F2E15"/>
    <w:rsid w:val="00902D20"/>
    <w:rsid w:val="009114BB"/>
    <w:rsid w:val="009140B4"/>
    <w:rsid w:val="00927AE2"/>
    <w:rsid w:val="00930CAC"/>
    <w:rsid w:val="00932532"/>
    <w:rsid w:val="0095177A"/>
    <w:rsid w:val="009661F5"/>
    <w:rsid w:val="00973618"/>
    <w:rsid w:val="00993B17"/>
    <w:rsid w:val="00995D99"/>
    <w:rsid w:val="009C14BB"/>
    <w:rsid w:val="009D41FF"/>
    <w:rsid w:val="009E1304"/>
    <w:rsid w:val="009E5DA8"/>
    <w:rsid w:val="009F4060"/>
    <w:rsid w:val="00A01F76"/>
    <w:rsid w:val="00A33565"/>
    <w:rsid w:val="00A36E60"/>
    <w:rsid w:val="00A426DE"/>
    <w:rsid w:val="00A44E49"/>
    <w:rsid w:val="00A50CCD"/>
    <w:rsid w:val="00A56C03"/>
    <w:rsid w:val="00A64ADA"/>
    <w:rsid w:val="00A66D1A"/>
    <w:rsid w:val="00A67F88"/>
    <w:rsid w:val="00A81CC9"/>
    <w:rsid w:val="00A91062"/>
    <w:rsid w:val="00AB2045"/>
    <w:rsid w:val="00AB28F6"/>
    <w:rsid w:val="00AB3461"/>
    <w:rsid w:val="00AB4AC0"/>
    <w:rsid w:val="00AB5E0C"/>
    <w:rsid w:val="00AC0779"/>
    <w:rsid w:val="00AD01CC"/>
    <w:rsid w:val="00AE3331"/>
    <w:rsid w:val="00AF52AC"/>
    <w:rsid w:val="00B06798"/>
    <w:rsid w:val="00B123EE"/>
    <w:rsid w:val="00B165EC"/>
    <w:rsid w:val="00B30D34"/>
    <w:rsid w:val="00B407E3"/>
    <w:rsid w:val="00B55097"/>
    <w:rsid w:val="00B558E9"/>
    <w:rsid w:val="00B64D44"/>
    <w:rsid w:val="00B66D5C"/>
    <w:rsid w:val="00B721B7"/>
    <w:rsid w:val="00B72F4E"/>
    <w:rsid w:val="00B9051D"/>
    <w:rsid w:val="00B938D2"/>
    <w:rsid w:val="00B97C37"/>
    <w:rsid w:val="00BB2614"/>
    <w:rsid w:val="00BB4F88"/>
    <w:rsid w:val="00BD6692"/>
    <w:rsid w:val="00BE3AB3"/>
    <w:rsid w:val="00BF0604"/>
    <w:rsid w:val="00BF326F"/>
    <w:rsid w:val="00C108CA"/>
    <w:rsid w:val="00C118FD"/>
    <w:rsid w:val="00C350A2"/>
    <w:rsid w:val="00C53251"/>
    <w:rsid w:val="00C5703B"/>
    <w:rsid w:val="00C576FC"/>
    <w:rsid w:val="00C7268F"/>
    <w:rsid w:val="00C766F3"/>
    <w:rsid w:val="00C80C12"/>
    <w:rsid w:val="00C852FE"/>
    <w:rsid w:val="00CB2DBA"/>
    <w:rsid w:val="00CC2633"/>
    <w:rsid w:val="00CC27F2"/>
    <w:rsid w:val="00CE3574"/>
    <w:rsid w:val="00CE37E3"/>
    <w:rsid w:val="00D06D0C"/>
    <w:rsid w:val="00D30724"/>
    <w:rsid w:val="00D36C09"/>
    <w:rsid w:val="00D53AE9"/>
    <w:rsid w:val="00D53FD1"/>
    <w:rsid w:val="00D55598"/>
    <w:rsid w:val="00D64E6E"/>
    <w:rsid w:val="00DB4B81"/>
    <w:rsid w:val="00DD0014"/>
    <w:rsid w:val="00DD0BC3"/>
    <w:rsid w:val="00DF1F3C"/>
    <w:rsid w:val="00E42663"/>
    <w:rsid w:val="00E4459F"/>
    <w:rsid w:val="00E64D44"/>
    <w:rsid w:val="00E7321F"/>
    <w:rsid w:val="00E92F40"/>
    <w:rsid w:val="00EA1AB3"/>
    <w:rsid w:val="00EA1F62"/>
    <w:rsid w:val="00EB13C4"/>
    <w:rsid w:val="00EB1A86"/>
    <w:rsid w:val="00EB5ED7"/>
    <w:rsid w:val="00EF40AA"/>
    <w:rsid w:val="00F066AC"/>
    <w:rsid w:val="00F23523"/>
    <w:rsid w:val="00F31DD6"/>
    <w:rsid w:val="00F40DF0"/>
    <w:rsid w:val="00F45306"/>
    <w:rsid w:val="00F50FBD"/>
    <w:rsid w:val="00F6011E"/>
    <w:rsid w:val="00F64EAA"/>
    <w:rsid w:val="00F8676B"/>
    <w:rsid w:val="00F90654"/>
    <w:rsid w:val="00F94D0B"/>
    <w:rsid w:val="00FA7D56"/>
    <w:rsid w:val="00FB606D"/>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52"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7.bin"/><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3615B"/>
    <w:rsid w:val="000D6877"/>
    <w:rsid w:val="001A72A1"/>
    <w:rsid w:val="00246EE0"/>
    <w:rsid w:val="003228A6"/>
    <w:rsid w:val="004613B7"/>
    <w:rsid w:val="005F4D2C"/>
    <w:rsid w:val="00630CF4"/>
    <w:rsid w:val="00655F2F"/>
    <w:rsid w:val="006D10B0"/>
    <w:rsid w:val="006E4AD7"/>
    <w:rsid w:val="00701BFD"/>
    <w:rsid w:val="00736216"/>
    <w:rsid w:val="007524B1"/>
    <w:rsid w:val="007E33C2"/>
    <w:rsid w:val="008C450E"/>
    <w:rsid w:val="00B4204A"/>
    <w:rsid w:val="00B72A69"/>
    <w:rsid w:val="00BC2057"/>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82545c39-c2c8-4a95-aad4-261b53cdf4a9&quot;,&quot;properties&quot;:{&quot;noteIndex&quot;:0},&quot;isEdited&quot;:false,&quot;manualOverride&quot;:{&quot;isManuallyOverridden&quot;:true,&quot;citeprocText&quot;:&quot;(Hoirisch-Clapauch et al., 2014)&quot;,&quot;manualOverrideText&quot;:&quot;(Hoirisch-Clapauch et al., 2014).&quot;},&quot;citationTag&quot;:&quot;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10930</TotalTime>
  <Pages>16</Pages>
  <Words>3958</Words>
  <Characters>19790</Characters>
  <Application>Microsoft Office Word</Application>
  <DocSecurity>0</DocSecurity>
  <Lines>164</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41</cp:revision>
  <cp:lastPrinted>2022-03-01T12:01:00Z</cp:lastPrinted>
  <dcterms:created xsi:type="dcterms:W3CDTF">2022-01-24T14:19:00Z</dcterms:created>
  <dcterms:modified xsi:type="dcterms:W3CDTF">2022-03-11T23:46:00Z</dcterms:modified>
</cp:coreProperties>
</file>