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commentRangeStart w:id="1"/>
      <w:r>
        <w:rPr>
          <w:rFonts w:asciiTheme="majorBidi" w:hAnsiTheme="majorBidi" w:cstheme="majorBidi"/>
          <w:i/>
          <w:iCs/>
          <w:sz w:val="32"/>
          <w:szCs w:val="32"/>
        </w:rPr>
        <w:t>Genetic Identification of Bipolar Disorder</w:t>
      </w:r>
      <w:commentRangeEnd w:id="1"/>
      <w:r w:rsidR="00DF6A93">
        <w:rPr>
          <w:rStyle w:val="CommentReference"/>
        </w:rPr>
        <w:commentReference w:id="1"/>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743D9D57" w14:textId="6CC57BD4" w:rsidR="00EB13C4" w:rsidRDefault="007300D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p>
    <w:p w14:paraId="5A530696" w14:textId="5E85C18E" w:rsidR="005B4267" w:rsidRDefault="005B4267"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p>
    <w:p w14:paraId="4DDE4C44" w14:textId="26D1D131" w:rsidR="009F4060" w:rsidRDefault="00973618" w:rsidP="00070A28">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In this study, w</w:t>
      </w:r>
      <w:r w:rsidR="00283096">
        <w:rPr>
          <w:rFonts w:asciiTheme="minorHAnsi" w:hAnsiTheme="minorHAnsi" w:cstheme="minorHAnsi"/>
        </w:rPr>
        <w:t>e aim</w:t>
      </w:r>
      <w:r>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p>
    <w:p w14:paraId="44DB368B" w14:textId="61FF1DDC" w:rsidR="007300D7" w:rsidRDefault="007300D7"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We performed differential gene expression to identify potential genes that could act as biomarkers for bipolar disorder and then took a closer look at the genes that seemed to be the best candidates. In addition, we have also </w:t>
      </w:r>
      <w:r w:rsidR="00287243">
        <w:rPr>
          <w:rFonts w:asciiTheme="minorHAnsi" w:hAnsiTheme="minorHAnsi" w:cstheme="minorHAnsi"/>
        </w:rPr>
        <w:t>conducted GSEA to find pathways which are associated with bipolar disorder</w:t>
      </w:r>
      <w:r w:rsidR="002477D8">
        <w:rPr>
          <w:rFonts w:asciiTheme="minorHAnsi" w:hAnsiTheme="minorHAnsi" w:cstheme="minorHAnsi"/>
        </w:rPr>
        <w:t xml:space="preserve">. </w:t>
      </w:r>
      <w:commentRangeStart w:id="2"/>
      <w:r w:rsidR="002477D8">
        <w:rPr>
          <w:rFonts w:asciiTheme="minorHAnsi" w:hAnsiTheme="minorHAnsi" w:cstheme="minorHAnsi"/>
        </w:rPr>
        <w:t xml:space="preserve">We </w:t>
      </w:r>
      <w:r w:rsidR="00287243">
        <w:rPr>
          <w:rFonts w:asciiTheme="minorHAnsi" w:hAnsiTheme="minorHAnsi" w:cstheme="minorHAnsi"/>
        </w:rPr>
        <w:t>even tried to classify the bipolar disorder patients into subtypes based on</w:t>
      </w:r>
      <w:r w:rsidR="002477D8">
        <w:rPr>
          <w:rFonts w:asciiTheme="minorHAnsi" w:hAnsiTheme="minorHAnsi" w:cstheme="minorHAnsi"/>
        </w:rPr>
        <w:t xml:space="preserve"> their</w:t>
      </w:r>
      <w:r w:rsidR="00287243">
        <w:rPr>
          <w:rFonts w:asciiTheme="minorHAnsi" w:hAnsiTheme="minorHAnsi" w:cstheme="minorHAnsi"/>
        </w:rPr>
        <w:t xml:space="preserve"> biological measures.</w:t>
      </w:r>
      <w:commentRangeEnd w:id="2"/>
      <w:r w:rsidR="00962400">
        <w:rPr>
          <w:rStyle w:val="CommentReference"/>
          <w:rFonts w:asciiTheme="minorHAnsi" w:eastAsiaTheme="minorHAnsi" w:hAnsiTheme="minorHAnsi" w:cstheme="minorBidi"/>
        </w:rPr>
        <w:commentReference w:id="2"/>
      </w:r>
    </w:p>
    <w:p w14:paraId="394344E8" w14:textId="24CD8637" w:rsidR="00283096" w:rsidRPr="00FE7D64" w:rsidRDefault="00FE7D64" w:rsidP="00A61A0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We have identified </w:t>
      </w:r>
      <w:r w:rsidR="00962400">
        <w:rPr>
          <w:rFonts w:asciiTheme="minorHAnsi" w:hAnsiTheme="minorHAnsi" w:cstheme="minorHAnsi"/>
        </w:rPr>
        <w:t>three</w:t>
      </w:r>
      <w:r>
        <w:rPr>
          <w:rFonts w:asciiTheme="minorHAnsi" w:hAnsiTheme="minorHAnsi" w:cstheme="minorHAnsi"/>
        </w:rPr>
        <w:t xml:space="preserve"> candidate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Pr>
          <w:rFonts w:asciiTheme="minorHAnsi" w:hAnsiTheme="minorHAnsi" w:cstheme="minorHAnsi"/>
        </w:rPr>
        <w:t xml:space="preserve"> to be biomarkers of bipolar disorder and other psychiatric illnesses</w:t>
      </w:r>
      <w:r w:rsidR="00962400">
        <w:rPr>
          <w:rFonts w:asciiTheme="minorHAnsi" w:hAnsiTheme="minorHAnsi" w:cstheme="minorHAnsi"/>
        </w:rPr>
        <w:t xml:space="preserve">. </w:t>
      </w:r>
      <w:commentRangeStart w:id="3"/>
      <w:r w:rsidR="00962400" w:rsidRPr="00B87D8C">
        <w:rPr>
          <w:rFonts w:asciiTheme="minorHAnsi" w:hAnsiTheme="minorHAnsi" w:cstheme="minorHAnsi"/>
          <w:color w:val="FF0000"/>
        </w:rPr>
        <w:t>W</w:t>
      </w:r>
      <w:r w:rsidRPr="00B87D8C">
        <w:rPr>
          <w:rFonts w:asciiTheme="minorHAnsi" w:hAnsiTheme="minorHAnsi" w:cstheme="minorHAnsi"/>
          <w:color w:val="FF0000"/>
        </w:rPr>
        <w:t xml:space="preserve">e have also </w:t>
      </w:r>
      <w:r w:rsidR="002477D8" w:rsidRPr="00B87D8C">
        <w:rPr>
          <w:rFonts w:asciiTheme="minorHAnsi" w:hAnsiTheme="minorHAnsi" w:cstheme="minorHAnsi"/>
          <w:color w:val="FF0000"/>
        </w:rPr>
        <w:t xml:space="preserve">found </w:t>
      </w:r>
      <w:r w:rsidR="00962400" w:rsidRPr="00B87D8C">
        <w:rPr>
          <w:rFonts w:asciiTheme="minorHAnsi" w:hAnsiTheme="minorHAnsi" w:cstheme="minorHAnsi"/>
          <w:color w:val="FF0000"/>
        </w:rPr>
        <w:t xml:space="preserve">another three </w:t>
      </w:r>
      <w:r w:rsidR="002477D8" w:rsidRPr="00B87D8C">
        <w:rPr>
          <w:rFonts w:asciiTheme="minorHAnsi" w:hAnsiTheme="minorHAnsi" w:cstheme="minorHAnsi"/>
          <w:color w:val="FF0000"/>
        </w:rPr>
        <w:t xml:space="preserve">genes which could act as biomarkers in </w:t>
      </w:r>
      <w:r w:rsidR="00BF0604" w:rsidRPr="00B87D8C">
        <w:rPr>
          <w:rFonts w:asciiTheme="minorHAnsi" w:hAnsiTheme="minorHAnsi" w:cstheme="minorHAnsi"/>
          <w:color w:val="FF0000"/>
        </w:rPr>
        <w:t>specific regions of the brain</w:t>
      </w:r>
      <w:r w:rsidR="00962400" w:rsidRPr="00B87D8C">
        <w:rPr>
          <w:rFonts w:asciiTheme="minorHAnsi" w:hAnsiTheme="minorHAnsi" w:cstheme="minorHAnsi"/>
          <w:color w:val="FF0000"/>
        </w:rPr>
        <w:t xml:space="preserve"> (</w:t>
      </w:r>
      <w:r w:rsidR="00ED2ADE" w:rsidRPr="00B87D8C">
        <w:rPr>
          <w:rFonts w:asciiTheme="minorHAnsi" w:hAnsiTheme="minorHAnsi" w:cstheme="minorHAnsi"/>
          <w:color w:val="FF0000"/>
        </w:rPr>
        <w:t>CENPL in area 9</w:t>
      </w:r>
      <w:r w:rsidR="00962400" w:rsidRPr="00B87D8C">
        <w:rPr>
          <w:rFonts w:asciiTheme="minorHAnsi" w:hAnsiTheme="minorHAnsi" w:cstheme="minorHAnsi"/>
          <w:color w:val="FF0000"/>
        </w:rPr>
        <w:t xml:space="preserve">, </w:t>
      </w:r>
      <w:r w:rsidR="00ED2ADE" w:rsidRPr="00B87D8C">
        <w:rPr>
          <w:rFonts w:asciiTheme="minorHAnsi" w:hAnsiTheme="minorHAnsi" w:cstheme="minorHAnsi"/>
          <w:color w:val="FF0000"/>
        </w:rPr>
        <w:t xml:space="preserve">LACRT </w:t>
      </w:r>
      <w:r w:rsidR="00962400" w:rsidRPr="00B87D8C">
        <w:rPr>
          <w:rFonts w:asciiTheme="minorHAnsi" w:hAnsiTheme="minorHAnsi" w:cstheme="minorHAnsi"/>
          <w:color w:val="FF0000"/>
        </w:rPr>
        <w:t xml:space="preserve">in area 46 </w:t>
      </w:r>
      <w:r w:rsidR="00ED2ADE" w:rsidRPr="00B87D8C">
        <w:rPr>
          <w:rFonts w:asciiTheme="minorHAnsi" w:hAnsiTheme="minorHAnsi" w:cstheme="minorHAnsi"/>
          <w:color w:val="FF0000"/>
        </w:rPr>
        <w:t>and KRT18P11 in area 46</w:t>
      </w:r>
      <w:r w:rsidR="00962400" w:rsidRPr="00B87D8C">
        <w:rPr>
          <w:rFonts w:asciiTheme="minorHAnsi" w:hAnsiTheme="minorHAnsi" w:cstheme="minorHAnsi"/>
          <w:color w:val="FF0000"/>
        </w:rPr>
        <w:t xml:space="preserve"> as well)</w:t>
      </w:r>
      <w:r w:rsidR="002477D8" w:rsidRPr="00B87D8C">
        <w:rPr>
          <w:rFonts w:asciiTheme="minorHAnsi" w:hAnsiTheme="minorHAnsi" w:cstheme="minorHAnsi"/>
          <w:color w:val="FF0000"/>
        </w:rPr>
        <w:t>.</w:t>
      </w:r>
      <w:commentRangeEnd w:id="3"/>
      <w:r w:rsidR="00B87D8C">
        <w:rPr>
          <w:rStyle w:val="CommentReference"/>
          <w:rFonts w:asciiTheme="minorHAnsi" w:eastAsiaTheme="minorHAnsi" w:hAnsiTheme="minorHAnsi" w:cstheme="minorBidi"/>
        </w:rPr>
        <w:commentReference w:id="3"/>
      </w:r>
      <w:r w:rsidR="00BF0604">
        <w:rPr>
          <w:rFonts w:asciiTheme="minorHAnsi" w:hAnsiTheme="minorHAnsi" w:cstheme="minorHAnsi"/>
        </w:rPr>
        <w:t xml:space="preserve"> </w:t>
      </w:r>
      <w:r w:rsidR="00962400">
        <w:rPr>
          <w:rFonts w:asciiTheme="minorHAnsi" w:hAnsiTheme="minorHAnsi" w:cstheme="minorHAnsi"/>
        </w:rPr>
        <w:t>Moreover</w:t>
      </w:r>
      <w:r w:rsidR="002477D8">
        <w:rPr>
          <w:rFonts w:asciiTheme="minorHAnsi" w:hAnsiTheme="minorHAnsi" w:cstheme="minorHAnsi"/>
        </w:rPr>
        <w:t xml:space="preserve">, </w:t>
      </w:r>
      <w:commentRangeStart w:id="4"/>
      <w:r w:rsidR="002477D8">
        <w:rPr>
          <w:rFonts w:asciiTheme="minorHAnsi" w:hAnsiTheme="minorHAnsi" w:cstheme="minorHAnsi"/>
        </w:rPr>
        <w:t xml:space="preserve">we </w:t>
      </w:r>
      <w:r>
        <w:rPr>
          <w:rFonts w:asciiTheme="minorHAnsi" w:hAnsiTheme="minorHAnsi" w:cstheme="minorHAnsi"/>
        </w:rPr>
        <w:t>found two pathways which are associated with bipolar disorder – the coagulation system and the metabolism of xenobiotics</w:t>
      </w:r>
      <w:commentRangeEnd w:id="4"/>
      <w:r w:rsidR="0076385E">
        <w:rPr>
          <w:rStyle w:val="CommentReference"/>
          <w:rFonts w:asciiTheme="minorHAnsi" w:eastAsiaTheme="minorHAnsi" w:hAnsiTheme="minorHAnsi" w:cstheme="minorBidi"/>
          <w:rtl/>
        </w:rPr>
        <w:commentReference w:id="4"/>
      </w:r>
      <w:r>
        <w:rPr>
          <w:rFonts w:asciiTheme="minorHAnsi" w:hAnsiTheme="minorHAnsi" w:cstheme="minorHAnsi"/>
        </w:rPr>
        <w:t xml:space="preserve">. </w:t>
      </w:r>
      <w:commentRangeStart w:id="5"/>
      <w:r>
        <w:rPr>
          <w:rFonts w:asciiTheme="minorHAnsi" w:hAnsiTheme="minorHAnsi" w:cstheme="minorHAnsi"/>
        </w:rPr>
        <w:t xml:space="preserve">Furthermore, we </w:t>
      </w:r>
      <w:r>
        <w:rPr>
          <w:rFonts w:asciiTheme="minorHAnsi" w:hAnsiTheme="minorHAnsi" w:cstheme="minorHAnsi"/>
          <w:u w:val="single"/>
        </w:rPr>
        <w:t>succeeded/failed</w:t>
      </w:r>
      <w:r>
        <w:rPr>
          <w:rFonts w:asciiTheme="minorHAnsi" w:hAnsiTheme="minorHAnsi" w:cstheme="minorHAnsi"/>
        </w:rPr>
        <w:t xml:space="preserve"> to divide the bipolar patients into subtypes.</w:t>
      </w:r>
      <w:commentRangeEnd w:id="5"/>
      <w:r w:rsidR="00BF0604">
        <w:rPr>
          <w:rStyle w:val="CommentReference"/>
          <w:rFonts w:asciiTheme="minorHAnsi" w:eastAsiaTheme="minorHAnsi" w:hAnsiTheme="minorHAnsi" w:cstheme="minorBidi"/>
        </w:rPr>
        <w:commentReference w:id="5"/>
      </w:r>
    </w:p>
    <w:p w14:paraId="312386EA" w14:textId="5CB4A72B" w:rsidR="007C16B5" w:rsidRDefault="00FE7D64"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Pr>
          <w:rFonts w:asciiTheme="minorHAnsi" w:hAnsiTheme="minorHAnsi" w:cstheme="minorHAnsi"/>
        </w:rPr>
        <w:t>in order to</w:t>
      </w:r>
      <w:proofErr w:type="gramEnd"/>
      <w:r>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6" w:name="_Hlk97035902"/>
      <w:commentRangeStart w:id="7"/>
      <w:r w:rsidRPr="0011559E">
        <w:rPr>
          <w:rFonts w:asciiTheme="majorBidi" w:hAnsiTheme="majorBidi" w:cstheme="majorBidi"/>
          <w:b/>
          <w:bCs/>
          <w:i/>
          <w:iCs/>
          <w:u w:val="single"/>
        </w:rPr>
        <w:lastRenderedPageBreak/>
        <w:t>Introduction</w:t>
      </w:r>
      <w:commentRangeEnd w:id="7"/>
      <w:r w:rsidR="00070A28">
        <w:rPr>
          <w:rStyle w:val="CommentReference"/>
          <w:rFonts w:asciiTheme="minorHAnsi" w:eastAsiaTheme="minorHAnsi" w:hAnsiTheme="minorHAnsi" w:cstheme="minorBidi"/>
        </w:rPr>
        <w:commentReference w:id="7"/>
      </w:r>
    </w:p>
    <w:p w14:paraId="1AB7AC95" w14:textId="0C879F8E"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8744B3" w:rsidRPr="008744B3">
            <w:rPr>
              <w:rFonts w:asciiTheme="minorHAnsi" w:hAnsiTheme="minorHAnsi" w:cstheme="minorHAnsi"/>
              <w:color w:val="000000"/>
            </w:rPr>
            <w:t>(Rowland and Marwaha, 2018)</w:t>
          </w:r>
        </w:sdtContent>
      </w:sdt>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8744B3" w:rsidRPr="008744B3">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Miklowitz</w:t>
          </w:r>
          <w:proofErr w:type="spellEnd"/>
          <w:r w:rsidR="008744B3" w:rsidRPr="008744B3">
            <w:rPr>
              <w:rFonts w:asciiTheme="minorHAnsi" w:hAnsiTheme="minorHAnsi" w:cstheme="minorHAnsi"/>
              <w:color w:val="000000"/>
            </w:rPr>
            <w:t>, 2008; Müller-</w:t>
          </w:r>
          <w:proofErr w:type="spellStart"/>
          <w:r w:rsidR="008744B3" w:rsidRPr="008744B3">
            <w:rPr>
              <w:rFonts w:asciiTheme="minorHAnsi" w:hAnsiTheme="minorHAnsi" w:cstheme="minorHAnsi"/>
              <w:color w:val="000000"/>
            </w:rPr>
            <w:t>Oerlinghausen</w:t>
          </w:r>
          <w:proofErr w:type="spellEnd"/>
          <w:r w:rsidR="008744B3" w:rsidRPr="008744B3">
            <w:rPr>
              <w:rFonts w:asciiTheme="minorHAnsi" w:hAnsiTheme="minorHAnsi" w:cstheme="minorHAnsi"/>
              <w:color w:val="000000"/>
            </w:rPr>
            <w:t xml:space="preserve">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r w:rsidR="00817085" w:rsidRPr="00817085">
        <w:rPr>
          <w:rFonts w:asciiTheme="minorHAnsi" w:hAnsiTheme="minorHAnsi" w:cstheme="minorHAnsi"/>
        </w:rPr>
        <w:t>hypomanias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Cerimele</w:t>
          </w:r>
          <w:proofErr w:type="spellEnd"/>
          <w:r w:rsidR="008744B3" w:rsidRPr="008744B3">
            <w:rPr>
              <w:rFonts w:asciiTheme="minorHAnsi" w:hAnsiTheme="minorHAnsi" w:cstheme="minorHAnsi"/>
              <w:color w:val="000000"/>
            </w:rPr>
            <w:t xml:space="preserve"> et al., 2014).</w:t>
          </w:r>
        </w:sdtContent>
      </w:sdt>
    </w:p>
    <w:p w14:paraId="7D9BDABA" w14:textId="7F026201"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8744B3" w:rsidRPr="008744B3">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8744B3" w:rsidRPr="008744B3">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8744B3" w:rsidRPr="008744B3">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Cerimele</w:t>
          </w:r>
          <w:proofErr w:type="spellEnd"/>
          <w:r w:rsidR="008744B3" w:rsidRPr="008744B3">
            <w:rPr>
              <w:rFonts w:asciiTheme="minorHAnsi" w:hAnsiTheme="minorHAnsi" w:cstheme="minorHAnsi"/>
              <w:color w:val="000000"/>
            </w:rPr>
            <w:t xml:space="preserve"> et al., 2014).</w:t>
          </w:r>
        </w:sdtContent>
      </w:sdt>
    </w:p>
    <w:p w14:paraId="027D4416" w14:textId="77CB65D6"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8744B3" w:rsidRPr="008744B3">
            <w:rPr>
              <w:rFonts w:asciiTheme="minorHAnsi" w:hAnsiTheme="minorHAnsi" w:cstheme="minorHAnsi"/>
              <w:color w:val="000000"/>
            </w:rPr>
            <w:t>(Müller-</w:t>
          </w:r>
          <w:proofErr w:type="spellStart"/>
          <w:r w:rsidR="008744B3" w:rsidRPr="008744B3">
            <w:rPr>
              <w:rFonts w:asciiTheme="minorHAnsi" w:hAnsiTheme="minorHAnsi" w:cstheme="minorHAnsi"/>
              <w:color w:val="000000"/>
            </w:rPr>
            <w:t>Oerlinghausen</w:t>
          </w:r>
          <w:proofErr w:type="spellEnd"/>
          <w:r w:rsidR="008744B3" w:rsidRPr="008744B3">
            <w:rPr>
              <w:rFonts w:asciiTheme="minorHAnsi" w:hAnsiTheme="minorHAnsi" w:cstheme="minorHAnsi"/>
              <w:color w:val="000000"/>
            </w:rPr>
            <w:t xml:space="preserve">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2E2D4AC8"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8744B3" w:rsidRPr="008744B3">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8744B3" w:rsidRPr="008744B3">
            <w:rPr>
              <w:rFonts w:asciiTheme="minorHAnsi" w:hAnsiTheme="minorHAnsi" w:cstheme="minorHAnsi"/>
              <w:color w:val="000000"/>
            </w:rPr>
            <w:t>(Medeiros and Goes, 2022).</w:t>
          </w:r>
        </w:sdtContent>
      </w:sdt>
    </w:p>
    <w:p w14:paraId="5B4F3D90" w14:textId="1A0681D4"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8744B3" w:rsidRPr="008744B3">
            <w:rPr>
              <w:rFonts w:asciiTheme="minorHAnsi" w:hAnsiTheme="minorHAnsi" w:cstheme="minorHAnsi"/>
              <w:color w:val="000000"/>
            </w:rPr>
            <w:t xml:space="preserve">(Frey et al., 2013; </w:t>
          </w:r>
          <w:proofErr w:type="spellStart"/>
          <w:r w:rsidR="008744B3" w:rsidRPr="008744B3">
            <w:rPr>
              <w:rFonts w:asciiTheme="minorHAnsi" w:hAnsiTheme="minorHAnsi" w:cstheme="minorHAnsi"/>
              <w:color w:val="000000"/>
            </w:rPr>
            <w:t>Salagre</w:t>
          </w:r>
          <w:proofErr w:type="spellEnd"/>
          <w:r w:rsidR="008744B3" w:rsidRPr="008744B3">
            <w:rPr>
              <w:rFonts w:asciiTheme="minorHAnsi" w:hAnsiTheme="minorHAnsi" w:cstheme="minorHAnsi"/>
              <w:color w:val="000000"/>
            </w:rPr>
            <w:t xml:space="preserv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Salagre</w:t>
          </w:r>
          <w:proofErr w:type="spellEnd"/>
          <w:r w:rsidR="008744B3" w:rsidRPr="008744B3">
            <w:rPr>
              <w:rFonts w:asciiTheme="minorHAnsi" w:hAnsiTheme="minorHAnsi" w:cstheme="minorHAnsi"/>
              <w:color w:val="000000"/>
            </w:rPr>
            <w:t xml:space="preserv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248285D7"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8744B3" w:rsidRPr="008744B3">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8744B3" w:rsidRPr="008744B3">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8744B3" w:rsidRPr="008744B3">
            <w:rPr>
              <w:rFonts w:asciiTheme="minorHAnsi" w:hAnsiTheme="minorHAnsi" w:cstheme="minorHAnsi"/>
              <w:color w:val="000000"/>
            </w:rPr>
            <w:t>(Kim et al., 2021; Yang et al., 2021).</w:t>
          </w:r>
        </w:sdtContent>
      </w:sdt>
    </w:p>
    <w:p w14:paraId="7C4B83F9" w14:textId="13C25F22"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Oraki</w:t>
          </w:r>
          <w:proofErr w:type="spellEnd"/>
          <w:r w:rsidR="008744B3" w:rsidRPr="008744B3">
            <w:rPr>
              <w:rFonts w:asciiTheme="minorHAnsi" w:hAnsiTheme="minorHAnsi" w:cstheme="minorHAnsi"/>
              <w:color w:val="000000"/>
            </w:rPr>
            <w:t xml:space="preserve"> </w:t>
          </w:r>
          <w:proofErr w:type="spellStart"/>
          <w:r w:rsidR="008744B3" w:rsidRPr="008744B3">
            <w:rPr>
              <w:rFonts w:asciiTheme="minorHAnsi" w:hAnsiTheme="minorHAnsi" w:cstheme="minorHAnsi"/>
              <w:color w:val="000000"/>
            </w:rPr>
            <w:t>Kohshour</w:t>
          </w:r>
          <w:proofErr w:type="spellEnd"/>
          <w:r w:rsidR="008744B3" w:rsidRPr="008744B3">
            <w:rPr>
              <w:rFonts w:asciiTheme="minorHAnsi" w:hAnsiTheme="minorHAnsi" w:cstheme="minorHAnsi"/>
              <w:color w:val="000000"/>
            </w:rPr>
            <w:t xml:space="preserve">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2C548983"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Akula</w:t>
          </w:r>
          <w:proofErr w:type="spellEnd"/>
          <w:r w:rsidR="008744B3" w:rsidRPr="008744B3">
            <w:rPr>
              <w:rFonts w:asciiTheme="minorHAnsi" w:hAnsiTheme="minorHAnsi" w:cstheme="minorHAnsi"/>
              <w:color w:val="000000"/>
            </w:rPr>
            <w:t xml:space="preserve">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6"/>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8"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67FF59B9"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8744B3" w:rsidRPr="008744B3">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Akula</w:t>
          </w:r>
          <w:proofErr w:type="spellEnd"/>
          <w:r w:rsidR="008744B3" w:rsidRPr="008744B3">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14E38299" w:rsidR="007D3240" w:rsidRDefault="0077582F"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First, we aim</w:t>
      </w:r>
      <w:r w:rsidR="00534BED">
        <w:rPr>
          <w:rFonts w:asciiTheme="minorHAnsi" w:hAnsiTheme="minorHAnsi" w:cstheme="minorHAnsi"/>
        </w:rPr>
        <w:t>ed</w:t>
      </w:r>
      <w:r>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We performed the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8744B3" w:rsidRPr="008744B3">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48B071AE"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have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and plotted three graphs</w:t>
      </w:r>
      <w:r>
        <w:rPr>
          <w:rFonts w:asciiTheme="minorHAnsi" w:hAnsiTheme="minorHAnsi" w:cstheme="minorHAnsi"/>
        </w:rPr>
        <w:t xml:space="preserve">: one is classified based on the diagnosis of each sample, the second is classified based on the brain area which is the 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5AA30825"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 there </w:t>
      </w:r>
      <w:r w:rsidR="00712DFC" w:rsidRPr="00FD0507">
        <w:rPr>
          <w:rFonts w:asciiTheme="minorHAnsi" w:hAnsiTheme="minorHAnsi" w:cstheme="minorHAnsi"/>
        </w:rPr>
        <w:t>are no genes which are</w:t>
      </w:r>
      <w:r w:rsidR="00A91062" w:rsidRPr="00FD0507">
        <w:rPr>
          <w:rFonts w:asciiTheme="minorHAnsi" w:hAnsiTheme="minorHAnsi" w:cstheme="minorHAnsi"/>
        </w:rPr>
        <w:t xml:space="preserve"> highly expressed in BD patients in area</w:t>
      </w:r>
      <w:r w:rsidR="00712DFC" w:rsidRPr="00FD0507">
        <w:rPr>
          <w:rFonts w:asciiTheme="minorHAnsi" w:hAnsiTheme="minorHAnsi" w:cstheme="minorHAnsi"/>
        </w:rPr>
        <w:t xml:space="preserve">s 9, 11 </w:t>
      </w:r>
      <w:r w:rsidR="00712DFC" w:rsidRPr="00FD0507">
        <w:rPr>
          <w:rFonts w:asciiTheme="minorHAnsi" w:hAnsiTheme="minorHAnsi" w:cstheme="minorHAnsi"/>
        </w:rPr>
        <w:lastRenderedPageBreak/>
        <w:t>and 24 neither related to H patients nor related to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unfortunately, is the only area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02B754A8"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commentRangeStart w:id="9"/>
      <w:r>
        <w:rPr>
          <w:rFonts w:asciiTheme="minorHAnsi" w:hAnsiTheme="minorHAnsi" w:cstheme="minorHAnsi"/>
        </w:rPr>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even hard to find.</w:t>
      </w:r>
      <w:commentRangeEnd w:id="9"/>
      <w:r w:rsidR="007D2E43">
        <w:rPr>
          <w:rStyle w:val="CommentReference"/>
          <w:rFonts w:asciiTheme="minorHAnsi" w:eastAsiaTheme="minorHAnsi" w:hAnsiTheme="minorHAnsi" w:cstheme="minorBidi"/>
        </w:rPr>
        <w:commentReference w:id="9"/>
      </w:r>
      <w:r w:rsidR="00495344">
        <w:rPr>
          <w:rFonts w:asciiTheme="minorHAnsi" w:hAnsiTheme="minorHAnsi" w:cstheme="minorHAnsi"/>
        </w:rPr>
        <w:t xml:space="preserve"> In the next step, we aimed to better understand the 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hint="cs"/>
          <w:rtl/>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67FB7CA6" w:rsidR="00B72F4E" w:rsidRDefault="00B72F4E" w:rsidP="00156F97">
      <w:pPr>
        <w:pStyle w:val="NormalWeb"/>
        <w:spacing w:before="0" w:beforeAutospacing="0" w:after="0" w:afterAutospacing="0" w:line="360" w:lineRule="auto"/>
        <w:rPr>
          <w:rFonts w:asciiTheme="minorHAnsi" w:hAnsiTheme="minorHAnsi" w:cstheme="minorHAnsi" w:hint="cs"/>
          <w:rtl/>
        </w:rPr>
      </w:pPr>
    </w:p>
    <w:tbl>
      <w:tblPr>
        <w:tblStyle w:val="TableGrid"/>
        <w:tblW w:w="9924" w:type="dxa"/>
        <w:tblInd w:w="-431" w:type="dxa"/>
        <w:tblLook w:val="04A0" w:firstRow="1" w:lastRow="0" w:firstColumn="1" w:lastColumn="0" w:noHBand="0" w:noVBand="1"/>
      </w:tblPr>
      <w:tblGrid>
        <w:gridCol w:w="727"/>
        <w:gridCol w:w="4652"/>
        <w:gridCol w:w="4610"/>
      </w:tblGrid>
      <w:tr w:rsidR="002C3D90" w:rsidRPr="00932532" w14:paraId="0A2FD77E" w14:textId="77777777" w:rsidTr="00A91062">
        <w:tc>
          <w:tcPr>
            <w:tcW w:w="5092"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247"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585"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A91062">
        <w:tc>
          <w:tcPr>
            <w:tcW w:w="5092"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247"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1" type="#_x0000_t75" style="width:218.25pt;height:134.25pt" o:ole="">
                  <v:imagedata r:id="rId14" o:title=""/>
                </v:shape>
                <o:OLEObject Type="Embed" ProgID="Paint.Picture" ShapeID="_x0000_i1931" DrawAspect="Content" ObjectID="_1708713673" r:id="rId15"/>
              </w:object>
            </w:r>
          </w:p>
        </w:tc>
        <w:tc>
          <w:tcPr>
            <w:tcW w:w="4585"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932" type="#_x0000_t75" style="width:215.25pt;height:132.75pt" o:ole="">
                  <v:imagedata r:id="rId16" o:title=""/>
                </v:shape>
                <o:OLEObject Type="Embed" ProgID="Paint.Picture" ShapeID="_x0000_i1932" DrawAspect="Content" ObjectID="_1708713674" r:id="rId17"/>
              </w:object>
            </w:r>
          </w:p>
        </w:tc>
      </w:tr>
      <w:tr w:rsidR="002C3D90" w:rsidRPr="00932532" w14:paraId="2E41F891" w14:textId="77777777" w:rsidTr="00A91062">
        <w:tc>
          <w:tcPr>
            <w:tcW w:w="5092"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247"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933" type="#_x0000_t75" style="width:3in;height:133.5pt" o:ole="">
                  <v:imagedata r:id="rId18" o:title=""/>
                </v:shape>
                <o:OLEObject Type="Embed" ProgID="Paint.Picture" ShapeID="_x0000_i1933" DrawAspect="Content" ObjectID="_1708713675" r:id="rId19"/>
              </w:object>
            </w:r>
          </w:p>
        </w:tc>
        <w:tc>
          <w:tcPr>
            <w:tcW w:w="4585"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934" type="#_x0000_t75" style="width:219.75pt;height:135.75pt" o:ole="">
                  <v:imagedata r:id="rId20" o:title=""/>
                </v:shape>
                <o:OLEObject Type="Embed" ProgID="Paint.Picture" ShapeID="_x0000_i1934" DrawAspect="Content" ObjectID="_1708713676" r:id="rId21"/>
              </w:object>
            </w:r>
          </w:p>
        </w:tc>
      </w:tr>
      <w:tr w:rsidR="002C3D90" w:rsidRPr="00932532" w14:paraId="244C1E6C" w14:textId="77777777" w:rsidTr="00A91062">
        <w:tc>
          <w:tcPr>
            <w:tcW w:w="5092"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lastRenderedPageBreak/>
              <w:t>24</w:t>
            </w:r>
          </w:p>
        </w:tc>
        <w:tc>
          <w:tcPr>
            <w:tcW w:w="247"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949" type="#_x0000_t75" style="width:219.75pt;height:135.75pt" o:ole="">
                  <v:imagedata r:id="rId22" o:title=""/>
                </v:shape>
                <o:OLEObject Type="Embed" ProgID="Paint.Picture" ShapeID="_x0000_i1949" DrawAspect="Content" ObjectID="_1708713677" r:id="rId23"/>
              </w:object>
            </w:r>
          </w:p>
        </w:tc>
        <w:tc>
          <w:tcPr>
            <w:tcW w:w="4585"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990" type="#_x0000_t75" style="width:218.25pt;height:135pt" o:ole="">
                  <v:imagedata r:id="rId24" o:title=""/>
                </v:shape>
                <o:OLEObject Type="Embed" ProgID="Paint.Picture" ShapeID="_x0000_i1990" DrawAspect="Content" ObjectID="_1708713678" r:id="rId25"/>
              </w:object>
            </w:r>
          </w:p>
        </w:tc>
      </w:tr>
      <w:tr w:rsidR="002C3D90" w:rsidRPr="00932532" w14:paraId="0060B9E4" w14:textId="77777777" w:rsidTr="00A91062">
        <w:tc>
          <w:tcPr>
            <w:tcW w:w="5092"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247" w:type="dxa"/>
          </w:tcPr>
          <w:p w14:paraId="6BC6A9BE" w14:textId="39B04811" w:rsidR="002C3D90" w:rsidRDefault="00712DFC" w:rsidP="002C3D90">
            <w:pPr>
              <w:pStyle w:val="NormalWeb"/>
              <w:spacing w:before="0" w:beforeAutospacing="0" w:after="0" w:afterAutospacing="0" w:line="360" w:lineRule="auto"/>
              <w:jc w:val="center"/>
              <w:rPr>
                <w:rFonts w:hint="cs"/>
                <w:rtl/>
              </w:rPr>
            </w:pPr>
            <w:r>
              <w:object w:dxaOrig="8400" w:dyaOrig="5184" w14:anchorId="095837B8">
                <v:shape id="_x0000_i2015" type="#_x0000_t75" style="width:222pt;height:136.5pt" o:ole="">
                  <v:imagedata r:id="rId26" o:title=""/>
                </v:shape>
                <o:OLEObject Type="Embed" ProgID="Paint.Picture" ShapeID="_x0000_i2015" DrawAspect="Content" ObjectID="_1708713679" r:id="rId27"/>
              </w:object>
            </w:r>
          </w:p>
        </w:tc>
        <w:tc>
          <w:tcPr>
            <w:tcW w:w="4585"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rPr>
                <w:rFonts w:hint="cs"/>
                <w:rtl/>
              </w:rPr>
            </w:pPr>
            <w: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hint="cs"/>
          <w:rtl/>
        </w:rPr>
      </w:pPr>
    </w:p>
    <w:p w14:paraId="568ABEE2" w14:textId="77AF7B2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lastRenderedPageBreak/>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1E74624C" w14:textId="658E7B31"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IGKC which allegedly could function as biomarkers in area 46. Moreover, we have plotted the counts of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6F2FF4">
        <w:rPr>
          <w:rFonts w:asciiTheme="minorHAnsi" w:hAnsiTheme="minorHAnsi" w:cstheme="minorHAnsi"/>
        </w:rPr>
        <w:t>, this time only based on samples from area 46</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potential biomarkers to distinguish BD from H patients based on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E95987C" w14:textId="05AB1015" w:rsidR="006F2FF4" w:rsidRPr="006F2FF4" w:rsidRDefault="006F2FF4" w:rsidP="00421CD6">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as 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3" type="#_x0000_t75" style="width:207.75pt;height:128.25pt" o:ole="">
                  <v:imagedata r:id="rId28" o:title=""/>
                </v:shape>
                <o:OLEObject Type="Embed" ProgID="Paint.Picture" ShapeID="_x0000_i1033" DrawAspect="Content" ObjectID="_1708713680" r:id="rId29"/>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4" type="#_x0000_t75" style="width:211.5pt;height:130.5pt" o:ole="">
                  <v:imagedata r:id="rId30" o:title=""/>
                </v:shape>
                <o:OLEObject Type="Embed" ProgID="Paint.Picture" ShapeID="_x0000_i1034" DrawAspect="Content" ObjectID="_1708713681" r:id="rId31"/>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5" type="#_x0000_t75" style="width:209.25pt;height:129pt" o:ole="">
                  <v:imagedata r:id="rId32" o:title=""/>
                </v:shape>
                <o:OLEObject Type="Embed" ProgID="Paint.Picture" ShapeID="_x0000_i1035" DrawAspect="Content" ObjectID="_1708713682" r:id="rId33"/>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6" type="#_x0000_t75" style="width:212.25pt;height:131.25pt" o:ole="">
                  <v:imagedata r:id="rId34" o:title=""/>
                </v:shape>
                <o:OLEObject Type="Embed" ProgID="Paint.Picture" ShapeID="_x0000_i1036" DrawAspect="Content" ObjectID="_1708713683" r:id="rId35"/>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8"/>
        <w:gridCol w:w="4508"/>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623" type="#_x0000_t75" style="width:210pt;height:129.75pt" o:ole="">
                  <v:imagedata r:id="rId36" o:title=""/>
                </v:shape>
                <o:OLEObject Type="Embed" ProgID="Paint.Picture" ShapeID="_x0000_i1623" DrawAspect="Content" ObjectID="_1708713684" r:id="rId37"/>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647" type="#_x0000_t75" style="width:212.25pt;height:131.25pt" o:ole="">
                  <v:imagedata r:id="rId38" o:title=""/>
                </v:shape>
                <o:OLEObject Type="Embed" ProgID="Paint.Picture" ShapeID="_x0000_i1647" DrawAspect="Content" ObjectID="_1708713685" r:id="rId39"/>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hint="cs"/>
                <w:sz w:val="24"/>
                <w:szCs w:val="24"/>
              </w:rPr>
            </w:pPr>
            <w:r>
              <w:object w:dxaOrig="8400" w:dyaOrig="5184" w14:anchorId="7320C03E">
                <v:shape id="_x0000_i1663" type="#_x0000_t75" style="width:212.25pt;height:131.25pt" o:ole="">
                  <v:imagedata r:id="rId40" o:title=""/>
                </v:shape>
                <o:OLEObject Type="Embed" ProgID="Paint.Picture" ShapeID="_x0000_i1663" DrawAspect="Content" ObjectID="_1708713686" r:id="rId41"/>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589" type="#_x0000_t75" style="width:214.5pt;height:132pt" o:ole="">
                  <v:imagedata r:id="rId42" o:title=""/>
                </v:shape>
                <o:OLEObject Type="Embed" ProgID="Paint.Picture" ShapeID="_x0000_i1589" DrawAspect="Content" ObjectID="_1708713687" r:id="rId43"/>
              </w:object>
            </w:r>
          </w:p>
        </w:tc>
      </w:tr>
    </w:tbl>
    <w:p w14:paraId="10E92595" w14:textId="2700DC20" w:rsidR="00945C29" w:rsidRDefault="00993B17" w:rsidP="00945C29">
      <w:pPr>
        <w:pStyle w:val="NormalWeb"/>
        <w:spacing w:before="0" w:beforeAutospacing="0" w:after="0" w:afterAutospacing="0" w:line="360" w:lineRule="auto"/>
        <w:rPr>
          <w:rFonts w:cstheme="minorHAnsi"/>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p>
    <w:p w14:paraId="67098ADE" w14:textId="77777777" w:rsidR="0043321A" w:rsidRDefault="0043321A" w:rsidP="0043321A">
      <w:pPr>
        <w:pStyle w:val="NormalWeb"/>
        <w:spacing w:before="0" w:beforeAutospacing="0" w:after="0" w:afterAutospacing="0" w:line="360" w:lineRule="auto"/>
        <w:rPr>
          <w:rFonts w:cstheme="minorHAnsi" w:hint="cs"/>
          <w:rtl/>
        </w:rPr>
      </w:pP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 xml:space="preserve">Identifying </w:t>
      </w:r>
      <w:r>
        <w:rPr>
          <w:rFonts w:asciiTheme="majorBidi" w:hAnsiTheme="majorBidi" w:cstheme="majorBidi"/>
          <w:i/>
          <w:iCs/>
          <w:u w:val="single"/>
        </w:rPr>
        <w:t>enriched pathways</w:t>
      </w:r>
    </w:p>
    <w:p w14:paraId="3807ED3E" w14:textId="1FB1FB65"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t>
      </w:r>
      <w:commentRangeStart w:id="10"/>
      <w:r w:rsidR="004B14A6">
        <w:rPr>
          <w:rFonts w:asciiTheme="minorHAnsi" w:hAnsiTheme="minorHAnsi" w:cstheme="minorHAnsi"/>
        </w:rPr>
        <w:t xml:space="preserve">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8744B3" w:rsidRPr="008744B3">
            <w:rPr>
              <w:rFonts w:asciiTheme="minorHAnsi" w:hAnsiTheme="minorHAnsi" w:cstheme="minorHAnsi"/>
              <w:color w:val="000000"/>
            </w:rPr>
            <w:t xml:space="preserve">(Aravind et al., 2005; </w:t>
          </w:r>
          <w:proofErr w:type="spellStart"/>
          <w:r w:rsidR="008744B3" w:rsidRPr="008744B3">
            <w:rPr>
              <w:rFonts w:asciiTheme="minorHAnsi" w:hAnsiTheme="minorHAnsi" w:cstheme="minorHAnsi"/>
              <w:color w:val="000000"/>
            </w:rPr>
            <w:t>Mootha</w:t>
          </w:r>
          <w:proofErr w:type="spellEnd"/>
          <w:r w:rsidR="008744B3" w:rsidRPr="008744B3">
            <w:rPr>
              <w:rFonts w:asciiTheme="minorHAnsi" w:hAnsiTheme="minorHAnsi" w:cstheme="minorHAnsi"/>
              <w:color w:val="000000"/>
            </w:rPr>
            <w:t xml:space="preserve"> et al., 2003)</w:t>
          </w:r>
        </w:sdtContent>
      </w:sdt>
      <w:commentRangeEnd w:id="10"/>
      <w:r w:rsidR="00C118FD">
        <w:rPr>
          <w:rStyle w:val="CommentReference"/>
          <w:rFonts w:asciiTheme="minorHAnsi" w:eastAsiaTheme="minorHAnsi" w:hAnsiTheme="minorHAnsi" w:cstheme="minorBidi"/>
        </w:rPr>
        <w:commentReference w:id="10"/>
      </w:r>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 (we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4853E91F" w14:textId="63C9E75D" w:rsidR="001D70B9" w:rsidRDefault="001D70B9" w:rsidP="001D70B9">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most significant pathways we have found were "HALLMARK INTERFERON ALPHA RESPONSE", "HALLMARK INTERFERON GAMMA RESPONSE " and "HALLMARK IL6 JAK STAT3 SIGNALING".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by IL6 via STAT3. </w:t>
      </w:r>
      <w:commentRangeStart w:id="11"/>
      <w:r>
        <w:rPr>
          <w:rFonts w:asciiTheme="minorHAnsi" w:hAnsiTheme="minorHAnsi" w:cstheme="minorHAnsi"/>
        </w:rPr>
        <w:t xml:space="preserve">The interferon proteins are proteins </w:t>
      </w:r>
      <w:r>
        <w:rPr>
          <w:rFonts w:asciiTheme="minorHAnsi" w:hAnsiTheme="minorHAnsi" w:cstheme="minorHAnsi"/>
        </w:rPr>
        <w:lastRenderedPageBreak/>
        <w:t>which are usually get secreted by a cell as part of an immunological response to threats like viruses, germs, parasites or in the case of the cell becoming cancerous</w:t>
      </w:r>
      <w:commentRangeEnd w:id="11"/>
      <w:r>
        <w:rPr>
          <w:rStyle w:val="CommentReference"/>
          <w:rFonts w:asciiTheme="minorHAnsi" w:eastAsiaTheme="minorHAnsi" w:hAnsiTheme="minorHAnsi" w:cstheme="minorBidi"/>
        </w:rPr>
        <w:commentReference w:id="11"/>
      </w:r>
      <w:r>
        <w:rPr>
          <w:rFonts w:asciiTheme="minorHAnsi" w:hAnsiTheme="minorHAnsi" w:cstheme="minorHAnsi"/>
        </w:rPr>
        <w:t>.</w:t>
      </w:r>
      <w:commentRangeStart w:id="12"/>
      <w:commentRangeEnd w:id="12"/>
      <w:r>
        <w:rPr>
          <w:rStyle w:val="CommentReference"/>
          <w:rFonts w:asciiTheme="minorHAnsi" w:eastAsiaTheme="minorHAnsi" w:hAnsiTheme="minorHAnsi" w:cstheme="minorBidi"/>
        </w:rPr>
        <w:commentReference w:id="12"/>
      </w:r>
    </w:p>
    <w:p w14:paraId="758D22BC" w14:textId="68031B32" w:rsidR="008047D4" w:rsidRDefault="009F648A" w:rsidP="009F64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w:t>
      </w:r>
      <w:r w:rsidR="00616BAE">
        <w:rPr>
          <w:rFonts w:asciiTheme="minorHAnsi" w:hAnsiTheme="minorHAnsi" w:cstheme="minorHAnsi"/>
        </w:rPr>
        <w:t xml:space="preserve">he </w:t>
      </w:r>
      <w:r>
        <w:rPr>
          <w:rFonts w:asciiTheme="minorHAnsi" w:hAnsiTheme="minorHAnsi" w:cstheme="minorHAnsi"/>
        </w:rPr>
        <w:t>least</w:t>
      </w:r>
      <w:r w:rsidR="00616BAE">
        <w:rPr>
          <w:rFonts w:asciiTheme="minorHAnsi" w:hAnsiTheme="minorHAnsi" w:cstheme="minorHAnsi"/>
        </w:rPr>
        <w:t xml:space="preserve"> significant pathways we have found were "HALLMARK COAGULATION" and "HALLMARK XENOBIOTIC METABOLISM".</w:t>
      </w:r>
      <w:r w:rsidR="00B06798">
        <w:rPr>
          <w:rFonts w:asciiTheme="minorHAnsi" w:hAnsiTheme="minorHAnsi" w:cstheme="minorHAnsi"/>
        </w:rPr>
        <w:t xml:space="preserve"> </w:t>
      </w:r>
      <w:r w:rsidR="00B64D44">
        <w:rPr>
          <w:rFonts w:asciiTheme="minorHAnsi" w:hAnsiTheme="minorHAnsi" w:cstheme="minorHAnsi"/>
        </w:rPr>
        <w:t xml:space="preserve">Looking at the </w:t>
      </w:r>
      <w:r w:rsidR="00492902">
        <w:rPr>
          <w:rFonts w:asciiTheme="minorHAnsi" w:hAnsiTheme="minorHAnsi" w:cstheme="minorHAnsi"/>
        </w:rPr>
        <w:t>GSEA website</w:t>
      </w:r>
      <w:r w:rsidR="00B64D44">
        <w:rPr>
          <w:rFonts w:asciiTheme="minorHAnsi" w:hAnsiTheme="minorHAnsi" w:cstheme="minorHAnsi"/>
        </w:rPr>
        <w:t xml:space="preserve">, </w:t>
      </w:r>
      <w:r w:rsidR="00B06798">
        <w:rPr>
          <w:rFonts w:asciiTheme="minorHAnsi" w:hAnsiTheme="minorHAnsi" w:cstheme="minorHAnsi"/>
        </w:rPr>
        <w:t>we can see that the first pathway is made up of genes which encode for components in the blood coagulation system and the second pathway is made up of genes which encode for proteins that are involved in the processing of drugs and xenobiotics.</w:t>
      </w:r>
    </w:p>
    <w:p w14:paraId="2AA9E551" w14:textId="77777777" w:rsidR="00B06798" w:rsidRDefault="00B06798" w:rsidP="00156F97">
      <w:pPr>
        <w:pStyle w:val="NormalWeb"/>
        <w:spacing w:before="0" w:beforeAutospacing="0" w:after="0" w:afterAutospacing="0" w:line="360" w:lineRule="auto"/>
        <w:rPr>
          <w:rFonts w:asciiTheme="minorHAnsi" w:hAnsiTheme="minorHAnsi" w:cstheme="minorHAnsi"/>
        </w:rPr>
      </w:pPr>
    </w:p>
    <w:p w14:paraId="77C0C7FB" w14:textId="382880F8" w:rsidR="009F648A" w:rsidRDefault="00590760" w:rsidP="00A56C03">
      <w:pPr>
        <w:pStyle w:val="NormalWeb"/>
        <w:spacing w:before="0" w:beforeAutospacing="0" w:after="0" w:afterAutospacing="0" w:line="360" w:lineRule="auto"/>
        <w:rPr>
          <w:rFonts w:asciiTheme="minorHAnsi" w:hAnsiTheme="minorHAnsi" w:cstheme="minorHAnsi" w:hint="cs"/>
          <w:rtl/>
        </w:rPr>
      </w:pPr>
      <w:r w:rsidRPr="00590760">
        <w:rPr>
          <w:rFonts w:asciiTheme="minorHAnsi" w:hAnsiTheme="minorHAnsi" w:cstheme="minorHAnsi"/>
        </w:rPr>
        <w:drawing>
          <wp:inline distT="0" distB="0" distL="0" distR="0" wp14:anchorId="04E86E95" wp14:editId="2B8D69A8">
            <wp:extent cx="5731510" cy="2686685"/>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4"/>
                    <a:stretch>
                      <a:fillRect/>
                    </a:stretch>
                  </pic:blipFill>
                  <pic:spPr>
                    <a:xfrm>
                      <a:off x="0" y="0"/>
                      <a:ext cx="5731510" cy="268668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8"/>
    </w:p>
    <w:p w14:paraId="53FCB216" w14:textId="6D92FC7F" w:rsidR="00295A0A" w:rsidRDefault="00295A0A" w:rsidP="00A56C03">
      <w:pPr>
        <w:pStyle w:val="NormalWeb"/>
        <w:spacing w:before="0" w:beforeAutospacing="0" w:after="0" w:afterAutospacing="0" w:line="360" w:lineRule="auto"/>
        <w:rPr>
          <w:rFonts w:asciiTheme="minorHAnsi" w:hAnsiTheme="minorHAnsi" w:cstheme="minorHAnsi"/>
        </w:rPr>
      </w:pPr>
    </w:p>
    <w:p w14:paraId="3AED91F1" w14:textId="3F9B7452" w:rsidR="00295A0A" w:rsidRPr="00295A0A" w:rsidRDefault="00295A0A" w:rsidP="00295A0A">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t>Classifying</w:t>
      </w:r>
      <w:r w:rsidRPr="00B938D2">
        <w:rPr>
          <w:rFonts w:asciiTheme="majorBidi" w:hAnsiTheme="majorBidi" w:cstheme="majorBidi"/>
          <w:i/>
          <w:iCs/>
          <w:u w:val="single"/>
        </w:rPr>
        <w:t xml:space="preserve"> </w:t>
      </w:r>
      <w:r>
        <w:rPr>
          <w:rFonts w:asciiTheme="majorBidi" w:hAnsiTheme="majorBidi" w:cstheme="majorBidi"/>
          <w:i/>
          <w:iCs/>
          <w:u w:val="single"/>
        </w:rPr>
        <w:t>BD patients into subtypes</w:t>
      </w:r>
    </w:p>
    <w:p w14:paraId="6E6A5155" w14:textId="45C47998" w:rsidR="00295A0A" w:rsidRDefault="00590760"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wanted to search for a way to classify BD patients into subtypes which can be differentiated by biological measures</w:t>
      </w:r>
      <w:r w:rsidR="001816F4">
        <w:rPr>
          <w:rFonts w:asciiTheme="minorHAnsi" w:hAnsiTheme="minorHAnsi" w:cstheme="minorHAnsi"/>
        </w:rPr>
        <w:t xml:space="preserve">. We use unsupervised clustering in the form of a dendrogram to classify the samples (figure 6A) and then performed both differential gene expression using </w:t>
      </w:r>
      <w:proofErr w:type="spellStart"/>
      <w:r w:rsidR="001816F4">
        <w:rPr>
          <w:rFonts w:asciiTheme="minorHAnsi" w:hAnsiTheme="minorHAnsi" w:cstheme="minorHAnsi"/>
        </w:rPr>
        <w:t>DESeq</w:t>
      </w:r>
      <w:proofErr w:type="spellEnd"/>
      <w:r w:rsidR="001816F4">
        <w:rPr>
          <w:rFonts w:asciiTheme="minorHAnsi" w:hAnsiTheme="minorHAnsi" w:cstheme="minorHAnsi"/>
        </w:rPr>
        <w:t xml:space="preserve"> (figure 6B) and looked for enriched pathways between the clusters (figure 6C).</w:t>
      </w:r>
    </w:p>
    <w:p w14:paraId="1D7999BB" w14:textId="039C9867" w:rsidR="001816F4" w:rsidRDefault="001816F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In figure 6A we can see that…</w:t>
      </w:r>
    </w:p>
    <w:p w14:paraId="44088E16" w14:textId="77BB7DB3" w:rsidR="001816F4" w:rsidRDefault="001816F4" w:rsidP="001816F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In figure 6</w:t>
      </w:r>
      <w:r>
        <w:rPr>
          <w:rFonts w:asciiTheme="minorHAnsi" w:hAnsiTheme="minorHAnsi" w:cstheme="minorHAnsi"/>
        </w:rPr>
        <w:t>B</w:t>
      </w:r>
      <w:r>
        <w:rPr>
          <w:rFonts w:asciiTheme="minorHAnsi" w:hAnsiTheme="minorHAnsi" w:cstheme="minorHAnsi"/>
        </w:rPr>
        <w:t xml:space="preserve"> we can see that…</w:t>
      </w:r>
      <w:r>
        <w:rPr>
          <w:rFonts w:asciiTheme="minorHAnsi" w:hAnsiTheme="minorHAnsi" w:cstheme="minorHAnsi"/>
        </w:rPr>
        <w:t xml:space="preserve"> to validate our results, we used violin plots just as we did when searching for biomarker genes (figure </w:t>
      </w:r>
      <w:r w:rsidR="000D2D1E">
        <w:rPr>
          <w:rFonts w:asciiTheme="minorHAnsi" w:hAnsiTheme="minorHAnsi" w:cstheme="minorHAnsi"/>
        </w:rPr>
        <w:t>7</w:t>
      </w:r>
      <w:r>
        <w:rPr>
          <w:rFonts w:asciiTheme="minorHAnsi" w:hAnsiTheme="minorHAnsi" w:cstheme="minorHAnsi"/>
        </w:rPr>
        <w:t>). We found out that…</w:t>
      </w:r>
    </w:p>
    <w:p w14:paraId="1321AD60" w14:textId="6DB74244" w:rsidR="001816F4" w:rsidRDefault="001816F4" w:rsidP="001816F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In figure 6</w:t>
      </w:r>
      <w:r>
        <w:rPr>
          <w:rFonts w:asciiTheme="minorHAnsi" w:hAnsiTheme="minorHAnsi" w:cstheme="minorHAnsi"/>
        </w:rPr>
        <w:t>C</w:t>
      </w:r>
      <w:r>
        <w:rPr>
          <w:rFonts w:asciiTheme="minorHAnsi" w:hAnsiTheme="minorHAnsi" w:cstheme="minorHAnsi"/>
        </w:rPr>
        <w:t xml:space="preserve"> we can see that…</w:t>
      </w:r>
    </w:p>
    <w:p w14:paraId="5633F6B2" w14:textId="1D9AD9A4" w:rsidR="00D30724" w:rsidRDefault="00D30724" w:rsidP="00A56C03">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D30724" w14:paraId="1F1ACCA6" w14:textId="77777777" w:rsidTr="00D30724">
        <w:tc>
          <w:tcPr>
            <w:tcW w:w="9016" w:type="dxa"/>
          </w:tcPr>
          <w:p w14:paraId="091FAC1F" w14:textId="231022C2" w:rsidR="00D30724" w:rsidRDefault="00D30724" w:rsidP="00D30724">
            <w:pPr>
              <w:pStyle w:val="NormalWeb"/>
              <w:spacing w:before="0" w:beforeAutospacing="0" w:after="0" w:afterAutospacing="0" w:line="360" w:lineRule="auto"/>
              <w:jc w:val="center"/>
              <w:rPr>
                <w:rFonts w:asciiTheme="minorHAnsi" w:hAnsiTheme="minorHAnsi" w:cstheme="minorHAnsi" w:hint="cs"/>
                <w:rtl/>
              </w:rPr>
            </w:pPr>
            <w:r>
              <w:object w:dxaOrig="8400" w:dyaOrig="5184" w14:anchorId="1FEA1B8D">
                <v:shape id="_x0000_i1041" type="#_x0000_t75" style="width:333.75pt;height:206.25pt" o:ole="">
                  <v:imagedata r:id="rId45" o:title=""/>
                </v:shape>
                <o:OLEObject Type="Embed" ProgID="Paint.Picture" ShapeID="_x0000_i1041" DrawAspect="Content" ObjectID="_1708713688" r:id="rId46"/>
              </w:object>
            </w:r>
          </w:p>
        </w:tc>
      </w:tr>
      <w:tr w:rsidR="00D30724" w14:paraId="75437213" w14:textId="77777777" w:rsidTr="00D30724">
        <w:tc>
          <w:tcPr>
            <w:tcW w:w="9016" w:type="dxa"/>
          </w:tcPr>
          <w:p w14:paraId="6229B64C" w14:textId="77777777" w:rsidR="00D30724" w:rsidRDefault="00D30724" w:rsidP="00A56C03">
            <w:pPr>
              <w:pStyle w:val="NormalWeb"/>
              <w:spacing w:before="0" w:beforeAutospacing="0" w:after="0" w:afterAutospacing="0" w:line="360" w:lineRule="auto"/>
              <w:rPr>
                <w:rFonts w:asciiTheme="minorHAnsi" w:hAnsiTheme="minorHAnsi" w:cstheme="minorHAnsi"/>
              </w:rPr>
            </w:pPr>
          </w:p>
        </w:tc>
      </w:tr>
    </w:tbl>
    <w:p w14:paraId="0237FA04" w14:textId="1F47B942" w:rsidR="007C16B5" w:rsidRDefault="00D3072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Figure 6: Unsupervised classification of the BD patients (top) and the enriched pathways that distinguish them from one another (bottom).</w:t>
      </w:r>
      <w:r w:rsidR="007C16B5">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5BB65E9C"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commentRangeStart w:id="13"/>
      <w:r w:rsidR="00D30724" w:rsidRPr="00B1065A">
        <w:rPr>
          <w:rFonts w:asciiTheme="minorHAnsi" w:hAnsiTheme="minorHAnsi" w:cstheme="minorHAnsi"/>
          <w:color w:val="FF0000"/>
        </w:rPr>
        <w:t xml:space="preserve">Furthermore, we have discovered that the gene </w:t>
      </w:r>
      <w:r w:rsidR="00361137" w:rsidRPr="00B1065A">
        <w:rPr>
          <w:rFonts w:asciiTheme="minorHAnsi" w:hAnsiTheme="minorHAnsi" w:cstheme="minorHAnsi"/>
          <w:color w:val="FF0000"/>
        </w:rPr>
        <w:t>CENPL could act as a biomarker for bipolar disorder in the 9</w:t>
      </w:r>
      <w:r w:rsidR="00361137" w:rsidRPr="00B1065A">
        <w:rPr>
          <w:rFonts w:asciiTheme="minorHAnsi" w:hAnsiTheme="minorHAnsi" w:cstheme="minorHAnsi"/>
          <w:color w:val="FF0000"/>
          <w:vertAlign w:val="superscript"/>
        </w:rPr>
        <w:t>th</w:t>
      </w:r>
      <w:r w:rsidR="00361137" w:rsidRPr="00B1065A">
        <w:rPr>
          <w:rFonts w:asciiTheme="minorHAnsi" w:hAnsiTheme="minorHAnsi" w:cstheme="minorHAnsi"/>
          <w:color w:val="FF0000"/>
        </w:rPr>
        <w:t xml:space="preserve"> area of the brain and that the genes LACRT and KRT18P11 could do so in the 46</w:t>
      </w:r>
      <w:r w:rsidR="00361137" w:rsidRPr="00B1065A">
        <w:rPr>
          <w:rFonts w:asciiTheme="minorHAnsi" w:hAnsiTheme="minorHAnsi" w:cstheme="minorHAnsi"/>
          <w:color w:val="FF0000"/>
          <w:vertAlign w:val="superscript"/>
        </w:rPr>
        <w:t>th</w:t>
      </w:r>
      <w:r w:rsidR="00361137" w:rsidRPr="00B1065A">
        <w:rPr>
          <w:rFonts w:asciiTheme="minorHAnsi" w:hAnsiTheme="minorHAnsi" w:cstheme="minorHAnsi"/>
          <w:color w:val="FF0000"/>
        </w:rPr>
        <w:t xml:space="preserve"> area of the brain</w:t>
      </w:r>
      <w:r w:rsidR="00361137">
        <w:rPr>
          <w:rFonts w:asciiTheme="minorHAnsi" w:hAnsiTheme="minorHAnsi" w:cstheme="minorHAnsi"/>
        </w:rPr>
        <w:t xml:space="preserve">. </w:t>
      </w:r>
      <w:commentRangeEnd w:id="13"/>
      <w:r w:rsidR="00B1065A">
        <w:rPr>
          <w:rStyle w:val="CommentReference"/>
          <w:rFonts w:asciiTheme="minorHAnsi" w:eastAsiaTheme="minorHAnsi" w:hAnsiTheme="minorHAnsi" w:cstheme="minorBidi"/>
          <w:rtl/>
        </w:rPr>
        <w:commentReference w:id="13"/>
      </w:r>
      <w:commentRangeStart w:id="14"/>
      <w:r w:rsidR="00492902">
        <w:rPr>
          <w:rFonts w:asciiTheme="minorHAnsi" w:hAnsiTheme="minorHAnsi" w:cstheme="minorHAnsi"/>
        </w:rPr>
        <w:t xml:space="preserve">In addition, we have found that there is a strong connection between </w:t>
      </w:r>
      <w:r w:rsidR="00566A83">
        <w:rPr>
          <w:rFonts w:asciiTheme="minorHAnsi" w:hAnsiTheme="minorHAnsi" w:cstheme="minorHAnsi"/>
        </w:rPr>
        <w:t xml:space="preserve">bipolar disorder </w:t>
      </w:r>
      <w:r w:rsidR="00492902">
        <w:rPr>
          <w:rFonts w:asciiTheme="minorHAnsi" w:hAnsiTheme="minorHAnsi" w:cstheme="minorHAnsi"/>
        </w:rPr>
        <w:t xml:space="preserve">and the coagulation system and a slightly lesser connection between </w:t>
      </w:r>
      <w:r w:rsidR="00566A83">
        <w:rPr>
          <w:rFonts w:asciiTheme="minorHAnsi" w:hAnsiTheme="minorHAnsi" w:cstheme="minorHAnsi"/>
        </w:rPr>
        <w:t xml:space="preserve">bipolar disorder </w:t>
      </w:r>
      <w:r w:rsidR="00492902">
        <w:rPr>
          <w:rFonts w:asciiTheme="minorHAnsi" w:hAnsiTheme="minorHAnsi" w:cstheme="minorHAnsi"/>
        </w:rPr>
        <w:t>and the metabolism of xenobiotics.</w:t>
      </w:r>
      <w:commentRangeEnd w:id="14"/>
      <w:r w:rsidR="004A5211">
        <w:rPr>
          <w:rStyle w:val="CommentReference"/>
          <w:rFonts w:asciiTheme="minorHAnsi" w:eastAsiaTheme="minorHAnsi" w:hAnsiTheme="minorHAnsi" w:cstheme="minorBidi"/>
          <w:rtl/>
        </w:rPr>
        <w:commentReference w:id="14"/>
      </w:r>
    </w:p>
    <w:p w14:paraId="0D245E56" w14:textId="4C7C4FFB" w:rsidR="00320853" w:rsidRDefault="00BE3AB3" w:rsidP="0007485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Akula</w:t>
          </w:r>
          <w:proofErr w:type="spellEnd"/>
          <w:r w:rsidR="008744B3" w:rsidRPr="008744B3">
            <w:rPr>
              <w:rFonts w:asciiTheme="minorHAnsi" w:hAnsiTheme="minorHAnsi" w:cstheme="minorHAnsi"/>
              <w:color w:val="000000"/>
            </w:rPr>
            <w:t xml:space="preserve">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commentRangeStart w:id="15"/>
      <w:r w:rsidR="00074852">
        <w:rPr>
          <w:rFonts w:asciiTheme="minorHAnsi" w:hAnsiTheme="minorHAnsi" w:cstheme="minorHAnsi"/>
        </w:rPr>
        <w:t>However</w:t>
      </w:r>
      <w:r w:rsidR="00320853">
        <w:rPr>
          <w:rFonts w:asciiTheme="minorHAnsi" w:hAnsiTheme="minorHAnsi" w:cstheme="minorHAnsi"/>
        </w:rPr>
        <w:t xml:space="preserve">, the research literature </w:t>
      </w:r>
      <w:r>
        <w:rPr>
          <w:rFonts w:asciiTheme="minorHAnsi" w:hAnsiTheme="minorHAnsi" w:cstheme="minorHAnsi"/>
        </w:rPr>
        <w:t>does</w:t>
      </w:r>
      <w:r w:rsidR="00320853">
        <w:rPr>
          <w:rFonts w:asciiTheme="minorHAnsi" w:hAnsiTheme="minorHAnsi" w:cstheme="minorHAnsi"/>
        </w:rPr>
        <w:t xml:space="preserve"> support the connection we have found between the </w:t>
      </w:r>
      <w:r w:rsidR="00566A83">
        <w:rPr>
          <w:rFonts w:asciiTheme="minorHAnsi" w:hAnsiTheme="minorHAnsi" w:cstheme="minorHAnsi"/>
        </w:rPr>
        <w:t xml:space="preserve">bipolar disorder </w:t>
      </w:r>
      <w:r w:rsidR="00320853">
        <w:rPr>
          <w:rFonts w:asciiTheme="minorHAnsi" w:hAnsiTheme="minorHAnsi" w:cstheme="minorHAnsi"/>
        </w:rPr>
        <w:t>and the coagulation system</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"/>
          <w:id w:val="-787738075"/>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Hoirisch-Clapauch</w:t>
          </w:r>
          <w:proofErr w:type="spellEnd"/>
          <w:r w:rsidR="008744B3" w:rsidRPr="008744B3">
            <w:rPr>
              <w:rFonts w:asciiTheme="minorHAnsi" w:hAnsiTheme="minorHAnsi" w:cstheme="minorHAnsi"/>
              <w:color w:val="000000"/>
            </w:rPr>
            <w:t xml:space="preserve"> et al., 2014)</w:t>
          </w:r>
        </w:sdtContent>
      </w:sdt>
      <w:r w:rsidR="00295A0A">
        <w:rPr>
          <w:rFonts w:asciiTheme="minorHAnsi" w:hAnsiTheme="minorHAnsi" w:cstheme="minorHAnsi"/>
          <w:color w:val="000000"/>
        </w:rPr>
        <w:t xml:space="preserve"> and </w:t>
      </w:r>
      <w:r w:rsidR="00825829">
        <w:rPr>
          <w:rFonts w:asciiTheme="minorHAnsi" w:hAnsiTheme="minorHAnsi" w:cstheme="minorHAnsi"/>
          <w:color w:val="000000"/>
        </w:rPr>
        <w:t xml:space="preserve">for the association between the metabolism of xenobiotics using the enzyme Cytochrome P450 and </w:t>
      </w:r>
      <w:r w:rsidR="00566A83">
        <w:rPr>
          <w:rFonts w:asciiTheme="minorHAnsi" w:hAnsiTheme="minorHAnsi" w:cstheme="minorHAnsi"/>
        </w:rPr>
        <w:t xml:space="preserve">bipolar disorder </w:t>
      </w:r>
      <w:sdt>
        <w:sdtPr>
          <w:rPr>
            <w:rFonts w:asciiTheme="minorHAnsi" w:hAnsiTheme="minorHAnsi" w:cstheme="minorHAnsi"/>
            <w:color w:val="000000"/>
          </w:rPr>
          <w:tag w:val="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
          <w:id w:val="-1453400162"/>
          <w:placeholder>
            <w:docPart w:val="DefaultPlaceholder_-1854013440"/>
          </w:placeholder>
        </w:sdtPr>
        <w:sdtEndPr/>
        <w:sdtContent>
          <w:r w:rsidR="008744B3" w:rsidRPr="008744B3">
            <w:rPr>
              <w:rFonts w:asciiTheme="minorHAnsi" w:hAnsiTheme="minorHAnsi" w:cstheme="minorHAnsi"/>
              <w:color w:val="000000"/>
            </w:rPr>
            <w:t>(Altaf-</w:t>
          </w:r>
          <w:proofErr w:type="spellStart"/>
          <w:r w:rsidR="008744B3" w:rsidRPr="008744B3">
            <w:rPr>
              <w:rFonts w:asciiTheme="minorHAnsi" w:hAnsiTheme="minorHAnsi" w:cstheme="minorHAnsi"/>
              <w:color w:val="000000"/>
            </w:rPr>
            <w:t>Ul</w:t>
          </w:r>
          <w:proofErr w:type="spellEnd"/>
          <w:r w:rsidR="008744B3" w:rsidRPr="008744B3">
            <w:rPr>
              <w:rFonts w:asciiTheme="minorHAnsi" w:hAnsiTheme="minorHAnsi" w:cstheme="minorHAnsi"/>
              <w:color w:val="000000"/>
            </w:rPr>
            <w:t>-Amin et al., 2021).</w:t>
          </w:r>
        </w:sdtContent>
      </w:sdt>
      <w:r w:rsidR="00825829">
        <w:rPr>
          <w:rFonts w:asciiTheme="minorHAnsi" w:hAnsiTheme="minorHAnsi" w:cstheme="minorHAnsi"/>
          <w:color w:val="000000"/>
        </w:rPr>
        <w:t xml:space="preserve"> </w:t>
      </w:r>
      <w:commentRangeEnd w:id="15"/>
      <w:r w:rsidR="00314785">
        <w:rPr>
          <w:rStyle w:val="CommentReference"/>
          <w:rFonts w:asciiTheme="minorHAnsi" w:eastAsiaTheme="minorHAnsi" w:hAnsiTheme="minorHAnsi" w:cstheme="minorBidi"/>
        </w:rPr>
        <w:commentReference w:id="15"/>
      </w: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 field.</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9490B0" w14:textId="5AA1588B" w:rsidR="007C16B5"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Mention the limitations of your analysis.</w:t>
      </w:r>
    </w:p>
    <w:p w14:paraId="5D2A479C" w14:textId="15D5A4EE" w:rsidR="005635CF" w:rsidRDefault="00014CD5" w:rsidP="005635CF">
      <w:pPr>
        <w:pStyle w:val="NormalWeb"/>
        <w:spacing w:before="0" w:beforeAutospacing="0" w:after="0" w:afterAutospacing="0" w:line="360" w:lineRule="auto"/>
        <w:rPr>
          <w:rFonts w:asciiTheme="minorHAnsi" w:hAnsiTheme="minorHAnsi" w:cstheme="minorHAnsi" w:hint="cs"/>
          <w:rtl/>
        </w:rPr>
      </w:pPr>
      <w:r>
        <w:rPr>
          <w:rFonts w:asciiTheme="minorHAnsi" w:hAnsiTheme="minorHAnsi" w:cstheme="minorHAnsi"/>
        </w:rPr>
        <w:t xml:space="preserve">The main reason for our analysis' limitations is the </w:t>
      </w:r>
      <w:r w:rsidR="00534BED">
        <w:rPr>
          <w:rFonts w:asciiTheme="minorHAnsi" w:hAnsiTheme="minorHAnsi" w:cstheme="minorHAnsi"/>
        </w:rPr>
        <w:t xml:space="preserve">inability to validate </w:t>
      </w:r>
      <w:r w:rsidR="00492902">
        <w:rPr>
          <w:rFonts w:asciiTheme="minorHAnsi" w:hAnsiTheme="minorHAnsi" w:cstheme="minorHAnsi"/>
        </w:rPr>
        <w:t xml:space="preserve">most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07343BA5" w14:textId="6CBF0BE7" w:rsidR="007C16B5" w:rsidRDefault="00212C5A" w:rsidP="004A5211">
      <w:pPr>
        <w:pStyle w:val="NormalWeb"/>
        <w:spacing w:before="0" w:beforeAutospacing="0" w:after="0" w:afterAutospacing="0" w:line="360" w:lineRule="auto"/>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16"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1A4946C" w14:textId="77777777" w:rsidR="008744B3" w:rsidRPr="00B1065A" w:rsidRDefault="008744B3">
          <w:pPr>
            <w:bidi w:val="0"/>
            <w:divId w:val="197547716"/>
            <w:rPr>
              <w:rFonts w:eastAsia="Times New Roman"/>
              <w:sz w:val="24"/>
              <w:szCs w:val="24"/>
            </w:rPr>
          </w:pPr>
          <w:proofErr w:type="spellStart"/>
          <w:r w:rsidRPr="00B1065A">
            <w:rPr>
              <w:rFonts w:eastAsia="Times New Roman"/>
              <w:sz w:val="24"/>
              <w:szCs w:val="24"/>
            </w:rPr>
            <w:t>Akula</w:t>
          </w:r>
          <w:proofErr w:type="spellEnd"/>
          <w:r w:rsidRPr="00B1065A">
            <w:rPr>
              <w:rFonts w:eastAsia="Times New Roman"/>
              <w:sz w:val="24"/>
              <w:szCs w:val="24"/>
            </w:rPr>
            <w:t xml:space="preserve">, N., Barb, J., Jiang, X., Wendland, J.R., Choi, K.H., Sen, S.K., Hou, L., Chen, D.T.W., </w:t>
          </w:r>
          <w:proofErr w:type="spellStart"/>
          <w:r w:rsidRPr="00B1065A">
            <w:rPr>
              <w:rFonts w:eastAsia="Times New Roman"/>
              <w:sz w:val="24"/>
              <w:szCs w:val="24"/>
            </w:rPr>
            <w:t>Laje</w:t>
          </w:r>
          <w:proofErr w:type="spellEnd"/>
          <w:r w:rsidRPr="00B1065A">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B1065A">
            <w:rPr>
              <w:rFonts w:eastAsia="Times New Roman"/>
              <w:i/>
              <w:iCs/>
              <w:sz w:val="24"/>
              <w:szCs w:val="24"/>
            </w:rPr>
            <w:t>19</w:t>
          </w:r>
          <w:r w:rsidRPr="00B1065A">
            <w:rPr>
              <w:rFonts w:eastAsia="Times New Roman"/>
              <w:sz w:val="24"/>
              <w:szCs w:val="24"/>
            </w:rPr>
            <w:t>, 1179–1185.</w:t>
          </w:r>
        </w:p>
        <w:p w14:paraId="31DEC3B5" w14:textId="77777777" w:rsidR="008744B3" w:rsidRPr="00B1065A" w:rsidRDefault="008744B3">
          <w:pPr>
            <w:bidi w:val="0"/>
            <w:divId w:val="1282612509"/>
            <w:rPr>
              <w:rFonts w:eastAsia="Times New Roman"/>
              <w:sz w:val="24"/>
              <w:szCs w:val="24"/>
            </w:rPr>
          </w:pPr>
          <w:r w:rsidRPr="00B1065A">
            <w:rPr>
              <w:rFonts w:eastAsia="Times New Roman"/>
              <w:sz w:val="24"/>
              <w:szCs w:val="24"/>
            </w:rPr>
            <w:t>Altaf-</w:t>
          </w:r>
          <w:proofErr w:type="spellStart"/>
          <w:r w:rsidRPr="00B1065A">
            <w:rPr>
              <w:rFonts w:eastAsia="Times New Roman"/>
              <w:sz w:val="24"/>
              <w:szCs w:val="24"/>
            </w:rPr>
            <w:t>Ul</w:t>
          </w:r>
          <w:proofErr w:type="spellEnd"/>
          <w:r w:rsidRPr="00B1065A">
            <w:rPr>
              <w:rFonts w:eastAsia="Times New Roman"/>
              <w:sz w:val="24"/>
              <w:szCs w:val="24"/>
            </w:rPr>
            <w:t xml:space="preserve">-Amin, Md., Hirose, K., Nani, J. v, Porta, L.C., </w:t>
          </w:r>
          <w:proofErr w:type="spellStart"/>
          <w:r w:rsidRPr="00B1065A">
            <w:rPr>
              <w:rFonts w:eastAsia="Times New Roman"/>
              <w:sz w:val="24"/>
              <w:szCs w:val="24"/>
            </w:rPr>
            <w:t>Tasic</w:t>
          </w:r>
          <w:proofErr w:type="spellEnd"/>
          <w:r w:rsidRPr="00B1065A">
            <w:rPr>
              <w:rFonts w:eastAsia="Times New Roman"/>
              <w:sz w:val="24"/>
              <w:szCs w:val="24"/>
            </w:rPr>
            <w:t xml:space="preserve">, L., Hossain, S.F., Huang, M., Ono, N., Hayashi, M.A.F., and </w:t>
          </w:r>
          <w:proofErr w:type="spellStart"/>
          <w:r w:rsidRPr="00B1065A">
            <w:rPr>
              <w:rFonts w:eastAsia="Times New Roman"/>
              <w:sz w:val="24"/>
              <w:szCs w:val="24"/>
            </w:rPr>
            <w:t>Kanaya</w:t>
          </w:r>
          <w:proofErr w:type="spellEnd"/>
          <w:r w:rsidRPr="00B1065A">
            <w:rPr>
              <w:rFonts w:eastAsia="Times New Roman"/>
              <w:sz w:val="24"/>
              <w:szCs w:val="24"/>
            </w:rPr>
            <w:t xml:space="preserve">, S. (2021). A system biology approach based on metabolic biomarkers and protein–protein interactions for identifying pathways underlying schizophrenia and bipolar disorder. Scientific Reports </w:t>
          </w:r>
          <w:r w:rsidRPr="00B1065A">
            <w:rPr>
              <w:rFonts w:eastAsia="Times New Roman"/>
              <w:i/>
              <w:iCs/>
              <w:sz w:val="24"/>
              <w:szCs w:val="24"/>
            </w:rPr>
            <w:t>11</w:t>
          </w:r>
          <w:r w:rsidRPr="00B1065A">
            <w:rPr>
              <w:rFonts w:eastAsia="Times New Roman"/>
              <w:sz w:val="24"/>
              <w:szCs w:val="24"/>
            </w:rPr>
            <w:t>, 14450.</w:t>
          </w:r>
        </w:p>
        <w:p w14:paraId="4A06D3BD" w14:textId="77777777" w:rsidR="008744B3" w:rsidRPr="00B1065A" w:rsidRDefault="008744B3">
          <w:pPr>
            <w:bidi w:val="0"/>
            <w:divId w:val="2051299813"/>
            <w:rPr>
              <w:rFonts w:eastAsia="Times New Roman"/>
              <w:sz w:val="24"/>
              <w:szCs w:val="24"/>
            </w:rPr>
          </w:pPr>
          <w:r w:rsidRPr="00B1065A">
            <w:rPr>
              <w:rFonts w:eastAsia="Times New Roman"/>
              <w:sz w:val="24"/>
              <w:szCs w:val="24"/>
            </w:rPr>
            <w:t xml:space="preserve">Aravind, S., Pablo, T., K, M.V., </w:t>
          </w:r>
          <w:proofErr w:type="spellStart"/>
          <w:r w:rsidRPr="00B1065A">
            <w:rPr>
              <w:rFonts w:eastAsia="Times New Roman"/>
              <w:sz w:val="24"/>
              <w:szCs w:val="24"/>
            </w:rPr>
            <w:t>Sayan</w:t>
          </w:r>
          <w:proofErr w:type="spellEnd"/>
          <w:r w:rsidRPr="00B1065A">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B1065A">
            <w:rPr>
              <w:rFonts w:eastAsia="Times New Roman"/>
              <w:i/>
              <w:iCs/>
              <w:sz w:val="24"/>
              <w:szCs w:val="24"/>
            </w:rPr>
            <w:t>102</w:t>
          </w:r>
          <w:r w:rsidRPr="00B1065A">
            <w:rPr>
              <w:rFonts w:eastAsia="Times New Roman"/>
              <w:sz w:val="24"/>
              <w:szCs w:val="24"/>
            </w:rPr>
            <w:t>, 15545–15550.</w:t>
          </w:r>
        </w:p>
        <w:p w14:paraId="02F5E377" w14:textId="77777777" w:rsidR="008744B3" w:rsidRPr="00B1065A" w:rsidRDefault="008744B3">
          <w:pPr>
            <w:bidi w:val="0"/>
            <w:divId w:val="1431312198"/>
            <w:rPr>
              <w:rFonts w:eastAsia="Times New Roman"/>
              <w:sz w:val="24"/>
              <w:szCs w:val="24"/>
            </w:rPr>
          </w:pPr>
          <w:r w:rsidRPr="00B1065A">
            <w:rPr>
              <w:rFonts w:eastAsia="Times New Roman"/>
              <w:sz w:val="24"/>
              <w:szCs w:val="24"/>
            </w:rPr>
            <w:t xml:space="preserve">Aziz, R., </w:t>
          </w:r>
          <w:proofErr w:type="spellStart"/>
          <w:r w:rsidRPr="00B1065A">
            <w:rPr>
              <w:rFonts w:eastAsia="Times New Roman"/>
              <w:sz w:val="24"/>
              <w:szCs w:val="24"/>
            </w:rPr>
            <w:t>Lorberg</w:t>
          </w:r>
          <w:proofErr w:type="spellEnd"/>
          <w:r w:rsidRPr="00B1065A">
            <w:rPr>
              <w:rFonts w:eastAsia="Times New Roman"/>
              <w:sz w:val="24"/>
              <w:szCs w:val="24"/>
            </w:rPr>
            <w:t xml:space="preserve">, B., and </w:t>
          </w:r>
          <w:proofErr w:type="spellStart"/>
          <w:r w:rsidRPr="00B1065A">
            <w:rPr>
              <w:rFonts w:eastAsia="Times New Roman"/>
              <w:sz w:val="24"/>
              <w:szCs w:val="24"/>
            </w:rPr>
            <w:t>Tampi</w:t>
          </w:r>
          <w:proofErr w:type="spellEnd"/>
          <w:r w:rsidRPr="00B1065A">
            <w:rPr>
              <w:rFonts w:eastAsia="Times New Roman"/>
              <w:sz w:val="24"/>
              <w:szCs w:val="24"/>
            </w:rPr>
            <w:t xml:space="preserve">, R.R. (2006). Treatments for late-life bipolar disorder. The American Journal of Geriatric Pharmacotherapy </w:t>
          </w:r>
          <w:r w:rsidRPr="00B1065A">
            <w:rPr>
              <w:rFonts w:eastAsia="Times New Roman"/>
              <w:i/>
              <w:iCs/>
              <w:sz w:val="24"/>
              <w:szCs w:val="24"/>
            </w:rPr>
            <w:t>4</w:t>
          </w:r>
          <w:r w:rsidRPr="00B1065A">
            <w:rPr>
              <w:rFonts w:eastAsia="Times New Roman"/>
              <w:sz w:val="24"/>
              <w:szCs w:val="24"/>
            </w:rPr>
            <w:t>, 347–364.</w:t>
          </w:r>
        </w:p>
        <w:p w14:paraId="2E23EBA0" w14:textId="77777777" w:rsidR="008744B3" w:rsidRPr="00B1065A" w:rsidRDefault="008744B3">
          <w:pPr>
            <w:bidi w:val="0"/>
            <w:divId w:val="1996569716"/>
            <w:rPr>
              <w:rFonts w:eastAsia="Times New Roman"/>
              <w:sz w:val="24"/>
              <w:szCs w:val="24"/>
            </w:rPr>
          </w:pPr>
          <w:proofErr w:type="spellStart"/>
          <w:r w:rsidRPr="00B1065A">
            <w:rPr>
              <w:rFonts w:eastAsia="Times New Roman"/>
              <w:sz w:val="24"/>
              <w:szCs w:val="24"/>
            </w:rPr>
            <w:t>Cerimele</w:t>
          </w:r>
          <w:proofErr w:type="spellEnd"/>
          <w:r w:rsidRPr="00B1065A">
            <w:rPr>
              <w:rFonts w:eastAsia="Times New Roman"/>
              <w:sz w:val="24"/>
              <w:szCs w:val="24"/>
            </w:rPr>
            <w:t xml:space="preserve">, J.M., </w:t>
          </w:r>
          <w:proofErr w:type="spellStart"/>
          <w:r w:rsidRPr="00B1065A">
            <w:rPr>
              <w:rFonts w:eastAsia="Times New Roman"/>
              <w:sz w:val="24"/>
              <w:szCs w:val="24"/>
            </w:rPr>
            <w:t>Chwastiak</w:t>
          </w:r>
          <w:proofErr w:type="spellEnd"/>
          <w:r w:rsidRPr="00B1065A">
            <w:rPr>
              <w:rFonts w:eastAsia="Times New Roman"/>
              <w:sz w:val="24"/>
              <w:szCs w:val="24"/>
            </w:rPr>
            <w:t xml:space="preserve">, L.A., Dodson, S., and </w:t>
          </w:r>
          <w:proofErr w:type="spellStart"/>
          <w:r w:rsidRPr="00B1065A">
            <w:rPr>
              <w:rFonts w:eastAsia="Times New Roman"/>
              <w:sz w:val="24"/>
              <w:szCs w:val="24"/>
            </w:rPr>
            <w:t>Katon</w:t>
          </w:r>
          <w:proofErr w:type="spellEnd"/>
          <w:r w:rsidRPr="00B1065A">
            <w:rPr>
              <w:rFonts w:eastAsia="Times New Roman"/>
              <w:sz w:val="24"/>
              <w:szCs w:val="24"/>
            </w:rPr>
            <w:t xml:space="preserve">, W.J. (2014). The prevalence of bipolar disorder in general primary care samples: a systematic review. General Hospital Psychiatry </w:t>
          </w:r>
          <w:r w:rsidRPr="00B1065A">
            <w:rPr>
              <w:rFonts w:eastAsia="Times New Roman"/>
              <w:i/>
              <w:iCs/>
              <w:sz w:val="24"/>
              <w:szCs w:val="24"/>
            </w:rPr>
            <w:t>36</w:t>
          </w:r>
          <w:r w:rsidRPr="00B1065A">
            <w:rPr>
              <w:rFonts w:eastAsia="Times New Roman"/>
              <w:sz w:val="24"/>
              <w:szCs w:val="24"/>
            </w:rPr>
            <w:t>, 19–25.</w:t>
          </w:r>
        </w:p>
        <w:p w14:paraId="33133717" w14:textId="77777777" w:rsidR="008744B3" w:rsidRPr="00B1065A" w:rsidRDefault="008744B3">
          <w:pPr>
            <w:bidi w:val="0"/>
            <w:divId w:val="992367842"/>
            <w:rPr>
              <w:rFonts w:eastAsia="Times New Roman"/>
              <w:sz w:val="24"/>
              <w:szCs w:val="24"/>
            </w:rPr>
          </w:pPr>
          <w:r w:rsidRPr="00B1065A">
            <w:rPr>
              <w:rFonts w:eastAsia="Times New Roman"/>
              <w:sz w:val="24"/>
              <w:szCs w:val="24"/>
            </w:rPr>
            <w:t xml:space="preserve">Frey, B.N., </w:t>
          </w:r>
          <w:proofErr w:type="spellStart"/>
          <w:r w:rsidRPr="00B1065A">
            <w:rPr>
              <w:rFonts w:eastAsia="Times New Roman"/>
              <w:sz w:val="24"/>
              <w:szCs w:val="24"/>
            </w:rPr>
            <w:t>Andreazza</w:t>
          </w:r>
          <w:proofErr w:type="spellEnd"/>
          <w:r w:rsidRPr="00B1065A">
            <w:rPr>
              <w:rFonts w:eastAsia="Times New Roman"/>
              <w:sz w:val="24"/>
              <w:szCs w:val="24"/>
            </w:rPr>
            <w:t xml:space="preserve">, A.C., </w:t>
          </w:r>
          <w:proofErr w:type="spellStart"/>
          <w:r w:rsidRPr="00B1065A">
            <w:rPr>
              <w:rFonts w:eastAsia="Times New Roman"/>
              <w:sz w:val="24"/>
              <w:szCs w:val="24"/>
            </w:rPr>
            <w:t>Houenou</w:t>
          </w:r>
          <w:proofErr w:type="spellEnd"/>
          <w:r w:rsidRPr="00B1065A">
            <w:rPr>
              <w:rFonts w:eastAsia="Times New Roman"/>
              <w:sz w:val="24"/>
              <w:szCs w:val="24"/>
            </w:rPr>
            <w:t xml:space="preserve">, J., </w:t>
          </w:r>
          <w:proofErr w:type="spellStart"/>
          <w:r w:rsidRPr="00B1065A">
            <w:rPr>
              <w:rFonts w:eastAsia="Times New Roman"/>
              <w:sz w:val="24"/>
              <w:szCs w:val="24"/>
            </w:rPr>
            <w:t>Jamain</w:t>
          </w:r>
          <w:proofErr w:type="spellEnd"/>
          <w:r w:rsidRPr="00B1065A">
            <w:rPr>
              <w:rFonts w:eastAsia="Times New Roman"/>
              <w:sz w:val="24"/>
              <w:szCs w:val="24"/>
            </w:rPr>
            <w:t xml:space="preserve">, S., Goldstein, B.I., Frye, M.A., Leboyer, M., Berk, M., </w:t>
          </w:r>
          <w:proofErr w:type="spellStart"/>
          <w:r w:rsidRPr="00B1065A">
            <w:rPr>
              <w:rFonts w:eastAsia="Times New Roman"/>
              <w:sz w:val="24"/>
              <w:szCs w:val="24"/>
            </w:rPr>
            <w:t>Malhi</w:t>
          </w:r>
          <w:proofErr w:type="spellEnd"/>
          <w:r w:rsidRPr="00B1065A">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B1065A">
            <w:rPr>
              <w:rFonts w:eastAsia="Times New Roman"/>
              <w:i/>
              <w:iCs/>
              <w:sz w:val="24"/>
              <w:szCs w:val="24"/>
            </w:rPr>
            <w:t>47</w:t>
          </w:r>
          <w:r w:rsidRPr="00B1065A">
            <w:rPr>
              <w:rFonts w:eastAsia="Times New Roman"/>
              <w:sz w:val="24"/>
              <w:szCs w:val="24"/>
            </w:rPr>
            <w:t>, 321–332.</w:t>
          </w:r>
        </w:p>
        <w:p w14:paraId="03352F4C" w14:textId="77777777" w:rsidR="008744B3" w:rsidRPr="00B1065A" w:rsidRDefault="008744B3">
          <w:pPr>
            <w:bidi w:val="0"/>
            <w:divId w:val="2061051695"/>
            <w:rPr>
              <w:rFonts w:eastAsia="Times New Roman"/>
              <w:sz w:val="24"/>
              <w:szCs w:val="24"/>
            </w:rPr>
          </w:pPr>
          <w:proofErr w:type="spellStart"/>
          <w:r w:rsidRPr="00B1065A">
            <w:rPr>
              <w:rFonts w:eastAsia="Times New Roman"/>
              <w:sz w:val="24"/>
              <w:szCs w:val="24"/>
            </w:rPr>
            <w:t>Hoirisch-Clapauch</w:t>
          </w:r>
          <w:proofErr w:type="spellEnd"/>
          <w:r w:rsidRPr="00B1065A">
            <w:rPr>
              <w:rFonts w:eastAsia="Times New Roman"/>
              <w:sz w:val="24"/>
              <w:szCs w:val="24"/>
            </w:rPr>
            <w:t xml:space="preserve">, S., </w:t>
          </w:r>
          <w:proofErr w:type="spellStart"/>
          <w:r w:rsidRPr="00B1065A">
            <w:rPr>
              <w:rFonts w:eastAsia="Times New Roman"/>
              <w:sz w:val="24"/>
              <w:szCs w:val="24"/>
            </w:rPr>
            <w:t>Nardi</w:t>
          </w:r>
          <w:proofErr w:type="spellEnd"/>
          <w:r w:rsidRPr="00B1065A">
            <w:rPr>
              <w:rFonts w:eastAsia="Times New Roman"/>
              <w:sz w:val="24"/>
              <w:szCs w:val="24"/>
            </w:rPr>
            <w:t xml:space="preserve">, A.E., Gris, J.-C., and Brenner, B. (2014). Coagulation and mental disorders. Rambam Maimonides Medical Journal </w:t>
          </w:r>
          <w:r w:rsidRPr="00B1065A">
            <w:rPr>
              <w:rFonts w:eastAsia="Times New Roman"/>
              <w:i/>
              <w:iCs/>
              <w:sz w:val="24"/>
              <w:szCs w:val="24"/>
            </w:rPr>
            <w:t>5</w:t>
          </w:r>
          <w:r w:rsidRPr="00B1065A">
            <w:rPr>
              <w:rFonts w:eastAsia="Times New Roman"/>
              <w:sz w:val="24"/>
              <w:szCs w:val="24"/>
            </w:rPr>
            <w:t>, e0036–e0036.</w:t>
          </w:r>
        </w:p>
        <w:p w14:paraId="2A642418" w14:textId="77777777" w:rsidR="008744B3" w:rsidRPr="00B1065A" w:rsidRDefault="008744B3">
          <w:pPr>
            <w:bidi w:val="0"/>
            <w:divId w:val="1233656159"/>
            <w:rPr>
              <w:rFonts w:eastAsia="Times New Roman"/>
              <w:sz w:val="24"/>
              <w:szCs w:val="24"/>
            </w:rPr>
          </w:pPr>
          <w:r w:rsidRPr="00B1065A">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B1065A">
            <w:rPr>
              <w:rFonts w:eastAsia="Times New Roman"/>
              <w:sz w:val="24"/>
              <w:szCs w:val="24"/>
            </w:rPr>
            <w:t>Oncotarget</w:t>
          </w:r>
          <w:proofErr w:type="spellEnd"/>
          <w:r w:rsidRPr="00B1065A">
            <w:rPr>
              <w:rFonts w:eastAsia="Times New Roman"/>
              <w:sz w:val="24"/>
              <w:szCs w:val="24"/>
            </w:rPr>
            <w:t xml:space="preserve"> </w:t>
          </w:r>
          <w:r w:rsidRPr="00B1065A">
            <w:rPr>
              <w:rFonts w:eastAsia="Times New Roman"/>
              <w:i/>
              <w:iCs/>
              <w:sz w:val="24"/>
              <w:szCs w:val="24"/>
            </w:rPr>
            <w:t>7</w:t>
          </w:r>
          <w:r w:rsidRPr="00B1065A">
            <w:rPr>
              <w:rFonts w:eastAsia="Times New Roman"/>
              <w:sz w:val="24"/>
              <w:szCs w:val="24"/>
            </w:rPr>
            <w:t>, 71087–71098.</w:t>
          </w:r>
        </w:p>
        <w:p w14:paraId="5EC96A03" w14:textId="77777777" w:rsidR="008744B3" w:rsidRPr="00B1065A" w:rsidRDefault="008744B3">
          <w:pPr>
            <w:bidi w:val="0"/>
            <w:divId w:val="1738892063"/>
            <w:rPr>
              <w:rFonts w:eastAsia="Times New Roman"/>
              <w:sz w:val="24"/>
              <w:szCs w:val="24"/>
            </w:rPr>
          </w:pPr>
          <w:r w:rsidRPr="00B1065A">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B1065A">
            <w:rPr>
              <w:rFonts w:eastAsia="Times New Roman"/>
              <w:i/>
              <w:iCs/>
              <w:sz w:val="24"/>
              <w:szCs w:val="24"/>
            </w:rPr>
            <w:t>107</w:t>
          </w:r>
          <w:r w:rsidRPr="00B1065A">
            <w:rPr>
              <w:rFonts w:eastAsia="Times New Roman"/>
              <w:sz w:val="24"/>
              <w:szCs w:val="24"/>
            </w:rPr>
            <w:t>.</w:t>
          </w:r>
        </w:p>
        <w:p w14:paraId="6FF4D5E5" w14:textId="77777777" w:rsidR="008744B3" w:rsidRPr="00B1065A" w:rsidRDefault="008744B3">
          <w:pPr>
            <w:bidi w:val="0"/>
            <w:divId w:val="806044131"/>
            <w:rPr>
              <w:rFonts w:eastAsia="Times New Roman"/>
              <w:sz w:val="24"/>
              <w:szCs w:val="24"/>
            </w:rPr>
          </w:pPr>
          <w:r w:rsidRPr="00B1065A">
            <w:rPr>
              <w:rFonts w:eastAsia="Times New Roman"/>
              <w:sz w:val="24"/>
              <w:szCs w:val="24"/>
            </w:rPr>
            <w:t xml:space="preserve">Love, M.I., Huber, W., and Anders, S. (2014). Moderated estimation of fold change and dispersion for RNA-seq data with DESeq2. Genome Biology </w:t>
          </w:r>
          <w:r w:rsidRPr="00B1065A">
            <w:rPr>
              <w:rFonts w:eastAsia="Times New Roman"/>
              <w:i/>
              <w:iCs/>
              <w:sz w:val="24"/>
              <w:szCs w:val="24"/>
            </w:rPr>
            <w:t>15</w:t>
          </w:r>
          <w:r w:rsidRPr="00B1065A">
            <w:rPr>
              <w:rFonts w:eastAsia="Times New Roman"/>
              <w:sz w:val="24"/>
              <w:szCs w:val="24"/>
            </w:rPr>
            <w:t>, 550.</w:t>
          </w:r>
        </w:p>
        <w:p w14:paraId="1EBEA61C" w14:textId="77777777" w:rsidR="008744B3" w:rsidRPr="00B1065A" w:rsidRDefault="008744B3">
          <w:pPr>
            <w:bidi w:val="0"/>
            <w:divId w:val="1293559940"/>
            <w:rPr>
              <w:rFonts w:eastAsia="Times New Roman"/>
              <w:sz w:val="24"/>
              <w:szCs w:val="24"/>
            </w:rPr>
          </w:pPr>
          <w:r w:rsidRPr="00B1065A">
            <w:rPr>
              <w:rFonts w:eastAsia="Times New Roman"/>
              <w:sz w:val="24"/>
              <w:szCs w:val="24"/>
            </w:rPr>
            <w:t>Medeiros, G.C., and Goes, F.S. (2022). Genome-wide association study biomarkers in bipolar disorder. In Biomarkers in Bipolar Disorders, (Elsevier), pp. 125–139.</w:t>
          </w:r>
        </w:p>
        <w:p w14:paraId="12F733A7" w14:textId="77777777" w:rsidR="008744B3" w:rsidRPr="00B1065A" w:rsidRDefault="008744B3">
          <w:pPr>
            <w:bidi w:val="0"/>
            <w:divId w:val="1905409609"/>
            <w:rPr>
              <w:rFonts w:eastAsia="Times New Roman"/>
              <w:sz w:val="24"/>
              <w:szCs w:val="24"/>
            </w:rPr>
          </w:pPr>
          <w:proofErr w:type="spellStart"/>
          <w:r w:rsidRPr="00B1065A">
            <w:rPr>
              <w:rFonts w:eastAsia="Times New Roman"/>
              <w:sz w:val="24"/>
              <w:szCs w:val="24"/>
            </w:rPr>
            <w:t>Miklowitz</w:t>
          </w:r>
          <w:proofErr w:type="spellEnd"/>
          <w:r w:rsidRPr="00B1065A">
            <w:rPr>
              <w:rFonts w:eastAsia="Times New Roman"/>
              <w:sz w:val="24"/>
              <w:szCs w:val="24"/>
            </w:rPr>
            <w:t>, D.J. (2008). Bipolar disorder : a family-focused treatment approach (Guilford Press).</w:t>
          </w:r>
        </w:p>
        <w:p w14:paraId="308538FA" w14:textId="77777777" w:rsidR="008744B3" w:rsidRPr="00B1065A" w:rsidRDefault="008744B3">
          <w:pPr>
            <w:bidi w:val="0"/>
            <w:divId w:val="179860491"/>
            <w:rPr>
              <w:rFonts w:eastAsia="Times New Roman"/>
              <w:sz w:val="24"/>
              <w:szCs w:val="24"/>
            </w:rPr>
          </w:pPr>
          <w:r w:rsidRPr="00B1065A">
            <w:rPr>
              <w:rFonts w:eastAsia="Times New Roman"/>
              <w:sz w:val="24"/>
              <w:szCs w:val="24"/>
            </w:rPr>
            <w:lastRenderedPageBreak/>
            <w:t xml:space="preserve">Miller, J., and Black, D. (2020). Bipolar Disorder and Suicide: a Review. Current Psychiatry Reports </w:t>
          </w:r>
          <w:r w:rsidRPr="00B1065A">
            <w:rPr>
              <w:rFonts w:eastAsia="Times New Roman"/>
              <w:i/>
              <w:iCs/>
              <w:sz w:val="24"/>
              <w:szCs w:val="24"/>
            </w:rPr>
            <w:t>22</w:t>
          </w:r>
          <w:r w:rsidRPr="00B1065A">
            <w:rPr>
              <w:rFonts w:eastAsia="Times New Roman"/>
              <w:sz w:val="24"/>
              <w:szCs w:val="24"/>
            </w:rPr>
            <w:t>.</w:t>
          </w:r>
        </w:p>
        <w:p w14:paraId="01E7A837" w14:textId="77777777" w:rsidR="008744B3" w:rsidRPr="00B1065A" w:rsidRDefault="008744B3">
          <w:pPr>
            <w:bidi w:val="0"/>
            <w:divId w:val="115568205"/>
            <w:rPr>
              <w:rFonts w:eastAsia="Times New Roman"/>
              <w:sz w:val="24"/>
              <w:szCs w:val="24"/>
            </w:rPr>
          </w:pPr>
          <w:proofErr w:type="spellStart"/>
          <w:r w:rsidRPr="00B1065A">
            <w:rPr>
              <w:rFonts w:eastAsia="Times New Roman"/>
              <w:sz w:val="24"/>
              <w:szCs w:val="24"/>
            </w:rPr>
            <w:t>Mootha</w:t>
          </w:r>
          <w:proofErr w:type="spellEnd"/>
          <w:r w:rsidRPr="00B1065A">
            <w:rPr>
              <w:rFonts w:eastAsia="Times New Roman"/>
              <w:sz w:val="24"/>
              <w:szCs w:val="24"/>
            </w:rPr>
            <w:t xml:space="preserve">, V.K., Lindgren, C.M., Eriksson, K.-F., Subramanian, A., </w:t>
          </w:r>
          <w:proofErr w:type="spellStart"/>
          <w:r w:rsidRPr="00B1065A">
            <w:rPr>
              <w:rFonts w:eastAsia="Times New Roman"/>
              <w:sz w:val="24"/>
              <w:szCs w:val="24"/>
            </w:rPr>
            <w:t>Sihag</w:t>
          </w:r>
          <w:proofErr w:type="spellEnd"/>
          <w:r w:rsidRPr="00B1065A">
            <w:rPr>
              <w:rFonts w:eastAsia="Times New Roman"/>
              <w:sz w:val="24"/>
              <w:szCs w:val="24"/>
            </w:rPr>
            <w:t xml:space="preserve">, S., Lehar, J., </w:t>
          </w:r>
          <w:proofErr w:type="spellStart"/>
          <w:r w:rsidRPr="00B1065A">
            <w:rPr>
              <w:rFonts w:eastAsia="Times New Roman"/>
              <w:sz w:val="24"/>
              <w:szCs w:val="24"/>
            </w:rPr>
            <w:t>Puigserver</w:t>
          </w:r>
          <w:proofErr w:type="spellEnd"/>
          <w:r w:rsidRPr="00B1065A">
            <w:rPr>
              <w:rFonts w:eastAsia="Times New Roman"/>
              <w:sz w:val="24"/>
              <w:szCs w:val="24"/>
            </w:rPr>
            <w:t xml:space="preserve">, P., Carlsson, E., </w:t>
          </w:r>
          <w:proofErr w:type="spellStart"/>
          <w:r w:rsidRPr="00B1065A">
            <w:rPr>
              <w:rFonts w:eastAsia="Times New Roman"/>
              <w:sz w:val="24"/>
              <w:szCs w:val="24"/>
            </w:rPr>
            <w:t>Ridderstråle</w:t>
          </w:r>
          <w:proofErr w:type="spellEnd"/>
          <w:r w:rsidRPr="00B1065A">
            <w:rPr>
              <w:rFonts w:eastAsia="Times New Roman"/>
              <w:sz w:val="24"/>
              <w:szCs w:val="24"/>
            </w:rPr>
            <w:t xml:space="preserve">, M., </w:t>
          </w:r>
          <w:proofErr w:type="spellStart"/>
          <w:r w:rsidRPr="00B1065A">
            <w:rPr>
              <w:rFonts w:eastAsia="Times New Roman"/>
              <w:sz w:val="24"/>
              <w:szCs w:val="24"/>
            </w:rPr>
            <w:t>Laurila</w:t>
          </w:r>
          <w:proofErr w:type="spellEnd"/>
          <w:r w:rsidRPr="00B1065A">
            <w:rPr>
              <w:rFonts w:eastAsia="Times New Roman"/>
              <w:sz w:val="24"/>
              <w:szCs w:val="24"/>
            </w:rPr>
            <w:t xml:space="preserve">, E., et al. (2003). PGC-1α-responsive genes involved in oxidative phosphorylation are coordinately downregulated in human diabetes. Nature Genetics </w:t>
          </w:r>
          <w:r w:rsidRPr="00B1065A">
            <w:rPr>
              <w:rFonts w:eastAsia="Times New Roman"/>
              <w:i/>
              <w:iCs/>
              <w:sz w:val="24"/>
              <w:szCs w:val="24"/>
            </w:rPr>
            <w:t>34</w:t>
          </w:r>
          <w:r w:rsidRPr="00B1065A">
            <w:rPr>
              <w:rFonts w:eastAsia="Times New Roman"/>
              <w:sz w:val="24"/>
              <w:szCs w:val="24"/>
            </w:rPr>
            <w:t>, 267–273.</w:t>
          </w:r>
        </w:p>
        <w:p w14:paraId="2F2CEDD8" w14:textId="77777777" w:rsidR="008744B3" w:rsidRPr="00B1065A" w:rsidRDefault="008744B3">
          <w:pPr>
            <w:bidi w:val="0"/>
            <w:divId w:val="511726371"/>
            <w:rPr>
              <w:rFonts w:eastAsia="Times New Roman"/>
              <w:sz w:val="24"/>
              <w:szCs w:val="24"/>
            </w:rPr>
          </w:pPr>
          <w:r w:rsidRPr="00B1065A">
            <w:rPr>
              <w:rFonts w:eastAsia="Times New Roman"/>
              <w:sz w:val="24"/>
              <w:szCs w:val="24"/>
            </w:rPr>
            <w:t xml:space="preserve">Moreno, C., </w:t>
          </w:r>
          <w:proofErr w:type="spellStart"/>
          <w:r w:rsidRPr="00B1065A">
            <w:rPr>
              <w:rFonts w:eastAsia="Times New Roman"/>
              <w:sz w:val="24"/>
              <w:szCs w:val="24"/>
            </w:rPr>
            <w:t>Laje</w:t>
          </w:r>
          <w:proofErr w:type="spellEnd"/>
          <w:r w:rsidRPr="00B1065A">
            <w:rPr>
              <w:rFonts w:eastAsia="Times New Roman"/>
              <w:sz w:val="24"/>
              <w:szCs w:val="24"/>
            </w:rPr>
            <w:t xml:space="preserve">, G., Blanco, C., Jiang, H., Schmidt, A.B., and </w:t>
          </w:r>
          <w:proofErr w:type="spellStart"/>
          <w:r w:rsidRPr="00B1065A">
            <w:rPr>
              <w:rFonts w:eastAsia="Times New Roman"/>
              <w:sz w:val="24"/>
              <w:szCs w:val="24"/>
            </w:rPr>
            <w:t>Olfson</w:t>
          </w:r>
          <w:proofErr w:type="spellEnd"/>
          <w:r w:rsidRPr="00B1065A">
            <w:rPr>
              <w:rFonts w:eastAsia="Times New Roman"/>
              <w:sz w:val="24"/>
              <w:szCs w:val="24"/>
            </w:rPr>
            <w:t xml:space="preserve">, M. (2007). National Trends in the Outpatient Diagnosis and Treatment of Bipolar Disorder in Youth. Archives of General Psychiatry </w:t>
          </w:r>
          <w:r w:rsidRPr="00B1065A">
            <w:rPr>
              <w:rFonts w:eastAsia="Times New Roman"/>
              <w:i/>
              <w:iCs/>
              <w:sz w:val="24"/>
              <w:szCs w:val="24"/>
            </w:rPr>
            <w:t>64</w:t>
          </w:r>
          <w:r w:rsidRPr="00B1065A">
            <w:rPr>
              <w:rFonts w:eastAsia="Times New Roman"/>
              <w:sz w:val="24"/>
              <w:szCs w:val="24"/>
            </w:rPr>
            <w:t>, 1032–1039.</w:t>
          </w:r>
        </w:p>
        <w:p w14:paraId="69AD4339" w14:textId="77777777" w:rsidR="008744B3" w:rsidRPr="00B1065A" w:rsidRDefault="008744B3">
          <w:pPr>
            <w:bidi w:val="0"/>
            <w:divId w:val="174348918"/>
            <w:rPr>
              <w:rFonts w:eastAsia="Times New Roman"/>
              <w:sz w:val="24"/>
              <w:szCs w:val="24"/>
            </w:rPr>
          </w:pPr>
          <w:r w:rsidRPr="00B1065A">
            <w:rPr>
              <w:rFonts w:eastAsia="Times New Roman"/>
              <w:sz w:val="24"/>
              <w:szCs w:val="24"/>
            </w:rPr>
            <w:t>Müller-</w:t>
          </w:r>
          <w:proofErr w:type="spellStart"/>
          <w:r w:rsidRPr="00B1065A">
            <w:rPr>
              <w:rFonts w:eastAsia="Times New Roman"/>
              <w:sz w:val="24"/>
              <w:szCs w:val="24"/>
            </w:rPr>
            <w:t>Oerlinghausen</w:t>
          </w:r>
          <w:proofErr w:type="spellEnd"/>
          <w:r w:rsidRPr="00B1065A">
            <w:rPr>
              <w:rFonts w:eastAsia="Times New Roman"/>
              <w:sz w:val="24"/>
              <w:szCs w:val="24"/>
            </w:rPr>
            <w:t xml:space="preserve">, B., </w:t>
          </w:r>
          <w:proofErr w:type="spellStart"/>
          <w:r w:rsidRPr="00B1065A">
            <w:rPr>
              <w:rFonts w:eastAsia="Times New Roman"/>
              <w:sz w:val="24"/>
              <w:szCs w:val="24"/>
            </w:rPr>
            <w:t>Berghöfer</w:t>
          </w:r>
          <w:proofErr w:type="spellEnd"/>
          <w:r w:rsidRPr="00B1065A">
            <w:rPr>
              <w:rFonts w:eastAsia="Times New Roman"/>
              <w:sz w:val="24"/>
              <w:szCs w:val="24"/>
            </w:rPr>
            <w:t xml:space="preserve">, A., and Bauer, M. (2002). Bipolar disorder. The Lancet </w:t>
          </w:r>
          <w:r w:rsidRPr="00B1065A">
            <w:rPr>
              <w:rFonts w:eastAsia="Times New Roman"/>
              <w:i/>
              <w:iCs/>
              <w:sz w:val="24"/>
              <w:szCs w:val="24"/>
            </w:rPr>
            <w:t>359</w:t>
          </w:r>
          <w:r w:rsidRPr="00B1065A">
            <w:rPr>
              <w:rFonts w:eastAsia="Times New Roman"/>
              <w:sz w:val="24"/>
              <w:szCs w:val="24"/>
            </w:rPr>
            <w:t>, 241–247.</w:t>
          </w:r>
        </w:p>
        <w:p w14:paraId="36F8C4B0" w14:textId="77777777" w:rsidR="008744B3" w:rsidRPr="00B1065A" w:rsidRDefault="008744B3">
          <w:pPr>
            <w:bidi w:val="0"/>
            <w:divId w:val="186990910"/>
            <w:rPr>
              <w:rFonts w:eastAsia="Times New Roman"/>
              <w:sz w:val="24"/>
              <w:szCs w:val="24"/>
            </w:rPr>
          </w:pPr>
          <w:proofErr w:type="spellStart"/>
          <w:r w:rsidRPr="00B1065A">
            <w:rPr>
              <w:rFonts w:eastAsia="Times New Roman"/>
              <w:sz w:val="24"/>
              <w:szCs w:val="24"/>
            </w:rPr>
            <w:t>Oraki</w:t>
          </w:r>
          <w:proofErr w:type="spellEnd"/>
          <w:r w:rsidRPr="00B1065A">
            <w:rPr>
              <w:rFonts w:eastAsia="Times New Roman"/>
              <w:sz w:val="24"/>
              <w:szCs w:val="24"/>
            </w:rPr>
            <w:t xml:space="preserve"> </w:t>
          </w:r>
          <w:proofErr w:type="spellStart"/>
          <w:r w:rsidRPr="00B1065A">
            <w:rPr>
              <w:rFonts w:eastAsia="Times New Roman"/>
              <w:sz w:val="24"/>
              <w:szCs w:val="24"/>
            </w:rPr>
            <w:t>Kohshour</w:t>
          </w:r>
          <w:proofErr w:type="spellEnd"/>
          <w:r w:rsidRPr="00B1065A">
            <w:rPr>
              <w:rFonts w:eastAsia="Times New Roman"/>
              <w:sz w:val="24"/>
              <w:szCs w:val="24"/>
            </w:rPr>
            <w:t xml:space="preserve">, M., </w:t>
          </w:r>
          <w:proofErr w:type="spellStart"/>
          <w:r w:rsidRPr="00B1065A">
            <w:rPr>
              <w:rFonts w:eastAsia="Times New Roman"/>
              <w:sz w:val="24"/>
              <w:szCs w:val="24"/>
            </w:rPr>
            <w:t>Papiol</w:t>
          </w:r>
          <w:proofErr w:type="spellEnd"/>
          <w:r w:rsidRPr="00B1065A">
            <w:rPr>
              <w:rFonts w:eastAsia="Times New Roman"/>
              <w:sz w:val="24"/>
              <w:szCs w:val="24"/>
            </w:rPr>
            <w:t xml:space="preserve">, S., Ching, C.R.K., and Schulze, T.G. (2022). Genomic and neuroimaging approaches to bipolar disorder. </w:t>
          </w:r>
          <w:proofErr w:type="spellStart"/>
          <w:r w:rsidRPr="00B1065A">
            <w:rPr>
              <w:rFonts w:eastAsia="Times New Roman"/>
              <w:sz w:val="24"/>
              <w:szCs w:val="24"/>
            </w:rPr>
            <w:t>BJPsych</w:t>
          </w:r>
          <w:proofErr w:type="spellEnd"/>
          <w:r w:rsidRPr="00B1065A">
            <w:rPr>
              <w:rFonts w:eastAsia="Times New Roman"/>
              <w:sz w:val="24"/>
              <w:szCs w:val="24"/>
            </w:rPr>
            <w:t xml:space="preserve"> Open </w:t>
          </w:r>
          <w:r w:rsidRPr="00B1065A">
            <w:rPr>
              <w:rFonts w:eastAsia="Times New Roman"/>
              <w:i/>
              <w:iCs/>
              <w:sz w:val="24"/>
              <w:szCs w:val="24"/>
            </w:rPr>
            <w:t>8</w:t>
          </w:r>
          <w:r w:rsidRPr="00B1065A">
            <w:rPr>
              <w:rFonts w:eastAsia="Times New Roman"/>
              <w:sz w:val="24"/>
              <w:szCs w:val="24"/>
            </w:rPr>
            <w:t>, e36.</w:t>
          </w:r>
        </w:p>
        <w:p w14:paraId="009E6BC2" w14:textId="77777777" w:rsidR="008744B3" w:rsidRPr="00B1065A" w:rsidRDefault="008744B3">
          <w:pPr>
            <w:bidi w:val="0"/>
            <w:divId w:val="242418726"/>
            <w:rPr>
              <w:rFonts w:eastAsia="Times New Roman"/>
              <w:sz w:val="24"/>
              <w:szCs w:val="24"/>
            </w:rPr>
          </w:pPr>
          <w:r w:rsidRPr="00B1065A">
            <w:rPr>
              <w:rFonts w:eastAsia="Times New Roman"/>
              <w:sz w:val="24"/>
              <w:szCs w:val="24"/>
            </w:rPr>
            <w:t xml:space="preserve">Phillips, M.L., and Kupfer, D.J. (2013). Bipolar disorder diagnosis: challenges and future directions. The Lancet </w:t>
          </w:r>
          <w:r w:rsidRPr="00B1065A">
            <w:rPr>
              <w:rFonts w:eastAsia="Times New Roman"/>
              <w:i/>
              <w:iCs/>
              <w:sz w:val="24"/>
              <w:szCs w:val="24"/>
            </w:rPr>
            <w:t>381</w:t>
          </w:r>
          <w:r w:rsidRPr="00B1065A">
            <w:rPr>
              <w:rFonts w:eastAsia="Times New Roman"/>
              <w:sz w:val="24"/>
              <w:szCs w:val="24"/>
            </w:rPr>
            <w:t>, 1663–1671.</w:t>
          </w:r>
        </w:p>
        <w:p w14:paraId="5898A075" w14:textId="77777777" w:rsidR="008744B3" w:rsidRPr="00B1065A" w:rsidRDefault="008744B3">
          <w:pPr>
            <w:bidi w:val="0"/>
            <w:divId w:val="549417483"/>
            <w:rPr>
              <w:rFonts w:eastAsia="Times New Roman"/>
              <w:sz w:val="24"/>
              <w:szCs w:val="24"/>
            </w:rPr>
          </w:pPr>
          <w:r w:rsidRPr="00B1065A">
            <w:rPr>
              <w:rFonts w:eastAsia="Times New Roman"/>
              <w:sz w:val="24"/>
              <w:szCs w:val="24"/>
            </w:rPr>
            <w:t xml:space="preserve">Rowland, T.A., and Marwaha, S. (2018). Epidemiology and risk factors for bipolar disorder. Therapeutic Advances in Psychopharmacology </w:t>
          </w:r>
          <w:r w:rsidRPr="00B1065A">
            <w:rPr>
              <w:rFonts w:eastAsia="Times New Roman"/>
              <w:i/>
              <w:iCs/>
              <w:sz w:val="24"/>
              <w:szCs w:val="24"/>
            </w:rPr>
            <w:t>8</w:t>
          </w:r>
          <w:r w:rsidRPr="00B1065A">
            <w:rPr>
              <w:rFonts w:eastAsia="Times New Roman"/>
              <w:sz w:val="24"/>
              <w:szCs w:val="24"/>
            </w:rPr>
            <w:t>, 251–269.</w:t>
          </w:r>
        </w:p>
        <w:p w14:paraId="72507E12" w14:textId="77777777" w:rsidR="008744B3" w:rsidRPr="00B1065A" w:rsidRDefault="008744B3">
          <w:pPr>
            <w:bidi w:val="0"/>
            <w:divId w:val="1113014330"/>
            <w:rPr>
              <w:rFonts w:eastAsia="Times New Roman"/>
              <w:sz w:val="24"/>
              <w:szCs w:val="24"/>
            </w:rPr>
          </w:pPr>
          <w:proofErr w:type="spellStart"/>
          <w:r w:rsidRPr="00B1065A">
            <w:rPr>
              <w:rFonts w:eastAsia="Times New Roman"/>
              <w:sz w:val="24"/>
              <w:szCs w:val="24"/>
            </w:rPr>
            <w:t>Salagre</w:t>
          </w:r>
          <w:proofErr w:type="spellEnd"/>
          <w:r w:rsidRPr="00B1065A">
            <w:rPr>
              <w:rFonts w:eastAsia="Times New Roman"/>
              <w:sz w:val="24"/>
              <w:szCs w:val="24"/>
            </w:rPr>
            <w:t>, E., and Vieta, E. (2022). Biomarkers in bipolar disorder: an overview. In Biomarkers in Bipolar Disorders, (Elsevier), pp. 1–18.</w:t>
          </w:r>
        </w:p>
        <w:p w14:paraId="15016E7B" w14:textId="77777777" w:rsidR="008744B3" w:rsidRPr="00B1065A" w:rsidRDefault="008744B3">
          <w:pPr>
            <w:bidi w:val="0"/>
            <w:divId w:val="279335740"/>
            <w:rPr>
              <w:rFonts w:eastAsia="Times New Roman"/>
              <w:sz w:val="24"/>
              <w:szCs w:val="24"/>
            </w:rPr>
          </w:pPr>
          <w:r w:rsidRPr="00B1065A">
            <w:rPr>
              <w:rFonts w:eastAsia="Times New Roman"/>
              <w:sz w:val="24"/>
              <w:szCs w:val="24"/>
            </w:rPr>
            <w:t xml:space="preserve">Yang, D., Chen, J., Cheng, X., Cao, B., Chang, H., Li, X., Yang, C., Wu, Q., Sun, J., </w:t>
          </w:r>
          <w:proofErr w:type="spellStart"/>
          <w:r w:rsidRPr="00B1065A">
            <w:rPr>
              <w:rFonts w:eastAsia="Times New Roman"/>
              <w:sz w:val="24"/>
              <w:szCs w:val="24"/>
            </w:rPr>
            <w:t>Manry</w:t>
          </w:r>
          <w:proofErr w:type="spellEnd"/>
          <w:r w:rsidRPr="00B1065A">
            <w:rPr>
              <w:rFonts w:eastAsia="Times New Roman"/>
              <w:sz w:val="24"/>
              <w:szCs w:val="24"/>
            </w:rPr>
            <w:t xml:space="preserve">, D., et al. (2021). SERINC2 increases the risk of bipolar disorder in the Chinese population. Depression and Anxiety </w:t>
          </w:r>
          <w:r w:rsidRPr="00B1065A">
            <w:rPr>
              <w:rFonts w:eastAsia="Times New Roman"/>
              <w:i/>
              <w:iCs/>
              <w:sz w:val="24"/>
              <w:szCs w:val="24"/>
            </w:rPr>
            <w:t>38</w:t>
          </w:r>
          <w:r w:rsidRPr="00B1065A">
            <w:rPr>
              <w:rFonts w:eastAsia="Times New Roman"/>
              <w:sz w:val="24"/>
              <w:szCs w:val="24"/>
            </w:rPr>
            <w:t>, 985–995.</w:t>
          </w:r>
        </w:p>
        <w:p w14:paraId="729141E3" w14:textId="72F8148F" w:rsidR="00902D20" w:rsidRPr="00902D20" w:rsidRDefault="008744B3" w:rsidP="00902D20">
          <w:pPr>
            <w:bidi w:val="0"/>
            <w:divId w:val="263880431"/>
            <w:rPr>
              <w:rFonts w:eastAsia="Times New Roman"/>
              <w:sz w:val="24"/>
              <w:szCs w:val="24"/>
              <w:rtl/>
            </w:rPr>
          </w:pPr>
          <w:r w:rsidRPr="00B1065A">
            <w:rPr>
              <w:rFonts w:eastAsia="Times New Roman"/>
              <w:sz w:val="24"/>
              <w:szCs w:val="24"/>
            </w:rPr>
            <w:t> </w:t>
          </w:r>
        </w:p>
      </w:sdtContent>
    </w:sdt>
    <w:bookmarkEnd w:id="16" w:displacedByCustomXml="prev"/>
    <w:sectPr w:rsidR="00902D20" w:rsidRPr="00902D20" w:rsidSect="00EF40AA">
      <w:headerReference w:type="default" r:id="rId47"/>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iv Cohen" w:date="2022-03-12T22:08:00Z" w:initials="ZC">
    <w:p w14:paraId="387C9EAC" w14:textId="1CF36F4A" w:rsidR="00DF6A93" w:rsidRDefault="00DF6A93">
      <w:pPr>
        <w:pStyle w:val="CommentText"/>
        <w:rPr>
          <w:rFonts w:hint="cs"/>
        </w:rPr>
      </w:pPr>
      <w:r>
        <w:rPr>
          <w:rStyle w:val="CommentReference"/>
        </w:rPr>
        <w:annotationRef/>
      </w:r>
      <w:r>
        <w:rPr>
          <w:rFonts w:hint="cs"/>
          <w:rtl/>
        </w:rPr>
        <w:t xml:space="preserve">חלופי: </w:t>
      </w:r>
      <w:r>
        <w:t>Genetic Profiling of Bipolar Disorder</w:t>
      </w:r>
    </w:p>
  </w:comment>
  <w:comment w:id="2" w:author="Ziv Cohen" w:date="2022-03-12T19:51:00Z" w:initials="ZC">
    <w:p w14:paraId="7DBE0C26" w14:textId="46E4C1BB" w:rsidR="00962400" w:rsidRDefault="00962400">
      <w:pPr>
        <w:pStyle w:val="CommentText"/>
        <w:rPr>
          <w:rtl/>
        </w:rPr>
      </w:pPr>
      <w:r>
        <w:rPr>
          <w:rStyle w:val="CommentReference"/>
        </w:rPr>
        <w:annotationRef/>
      </w:r>
      <w:r>
        <w:rPr>
          <w:rFonts w:hint="cs"/>
          <w:rtl/>
        </w:rPr>
        <w:t xml:space="preserve">אם זה עובד להוריד את </w:t>
      </w:r>
      <w:r>
        <w:t>tried</w:t>
      </w:r>
    </w:p>
  </w:comment>
  <w:comment w:id="3" w:author="Ziv Cohen" w:date="2022-03-13T00:32:00Z" w:initials="ZC">
    <w:p w14:paraId="40161A25" w14:textId="3C5F9C88" w:rsidR="00B87D8C" w:rsidRDefault="00B87D8C">
      <w:pPr>
        <w:pStyle w:val="CommentText"/>
        <w:rPr>
          <w:rFonts w:hint="cs"/>
          <w:rtl/>
        </w:rPr>
      </w:pPr>
      <w:r>
        <w:rPr>
          <w:rStyle w:val="CommentReference"/>
        </w:rPr>
        <w:annotationRef/>
      </w:r>
      <w:r>
        <w:rPr>
          <w:rFonts w:hint="cs"/>
          <w:rtl/>
        </w:rPr>
        <w:t>לשנות</w:t>
      </w:r>
    </w:p>
  </w:comment>
  <w:comment w:id="4" w:author="Ziv Cohen" w:date="2022-03-12T19:47:00Z" w:initials="ZC">
    <w:p w14:paraId="1FF36389" w14:textId="50C10359" w:rsidR="0076385E" w:rsidRDefault="0076385E">
      <w:pPr>
        <w:pStyle w:val="CommentText"/>
        <w:rPr>
          <w:rtl/>
        </w:rPr>
      </w:pPr>
      <w:r>
        <w:rPr>
          <w:rStyle w:val="CommentReference"/>
        </w:rPr>
        <w:annotationRef/>
      </w:r>
      <w:r>
        <w:rPr>
          <w:rFonts w:hint="cs"/>
          <w:rtl/>
        </w:rPr>
        <w:t xml:space="preserve">לתקן לפי </w:t>
      </w:r>
      <w:r>
        <w:rPr>
          <w:rFonts w:hint="cs"/>
        </w:rPr>
        <w:t>GSEA</w:t>
      </w:r>
      <w:r>
        <w:rPr>
          <w:rFonts w:hint="cs"/>
          <w:rtl/>
        </w:rPr>
        <w:t xml:space="preserve"> עדכני</w:t>
      </w:r>
    </w:p>
  </w:comment>
  <w:comment w:id="5" w:author="Ziv Cohen" w:date="2022-03-11T15:33:00Z" w:initials="ZC">
    <w:p w14:paraId="5681BF08" w14:textId="171F22DA" w:rsidR="00BF0604" w:rsidRPr="00BF0604" w:rsidRDefault="00BF0604" w:rsidP="00BF0604">
      <w:pPr>
        <w:pStyle w:val="CommentText"/>
        <w:rPr>
          <w:sz w:val="16"/>
          <w:szCs w:val="16"/>
        </w:rPr>
      </w:pPr>
      <w:r>
        <w:rPr>
          <w:rStyle w:val="CommentReference"/>
        </w:rPr>
        <w:annotationRef/>
      </w:r>
      <w:r>
        <w:rPr>
          <w:rStyle w:val="CommentReference"/>
          <w:rFonts w:hint="cs"/>
          <w:rtl/>
        </w:rPr>
        <w:t>לסיים בהתאם לתוצאות</w:t>
      </w:r>
    </w:p>
  </w:comment>
  <w:comment w:id="7" w:author="Ziv Cohen" w:date="2022-03-12T20:02:00Z" w:initials="ZC">
    <w:p w14:paraId="45D4BBE2" w14:textId="57964DE6" w:rsidR="00070A28" w:rsidRDefault="00070A28">
      <w:pPr>
        <w:pStyle w:val="CommentText"/>
        <w:rPr>
          <w:rtl/>
        </w:rPr>
      </w:pPr>
      <w:r>
        <w:rPr>
          <w:rStyle w:val="CommentReference"/>
        </w:rPr>
        <w:annotationRef/>
      </w:r>
      <w:r>
        <w:rPr>
          <w:rFonts w:hint="cs"/>
          <w:rtl/>
        </w:rPr>
        <w:t>להאריך ל-3 עמודים</w:t>
      </w:r>
    </w:p>
  </w:comment>
  <w:comment w:id="9" w:author="Ziv Cohen" w:date="2022-03-10T19:16:00Z" w:initials="ZC">
    <w:p w14:paraId="29B19621" w14:textId="3D89E183" w:rsidR="007D2E43" w:rsidRDefault="007D2E43">
      <w:pPr>
        <w:pStyle w:val="CommentText"/>
        <w:rPr>
          <w:rtl/>
        </w:rPr>
      </w:pPr>
      <w:r>
        <w:rPr>
          <w:rStyle w:val="CommentReference"/>
        </w:rPr>
        <w:annotationRef/>
      </w:r>
      <w:r>
        <w:rPr>
          <w:rFonts w:hint="cs"/>
          <w:rtl/>
        </w:rPr>
        <w:t>לפרט ולהוסיף</w:t>
      </w:r>
    </w:p>
  </w:comment>
  <w:comment w:id="10" w:author="Ziv Cohen" w:date="2022-03-11T23:54:00Z" w:initials="ZC">
    <w:p w14:paraId="4A2CB9D9" w14:textId="7B068308" w:rsidR="00C118FD" w:rsidRDefault="00C118FD" w:rsidP="00C118FD">
      <w:pPr>
        <w:pStyle w:val="CommentText"/>
        <w:rPr>
          <w:rtl/>
        </w:rPr>
      </w:pPr>
      <w:r>
        <w:rPr>
          <w:rStyle w:val="CommentReference"/>
        </w:rPr>
        <w:annotationRef/>
      </w:r>
      <w:r>
        <w:rPr>
          <w:rFonts w:hint="cs"/>
          <w:rtl/>
        </w:rPr>
        <w:t xml:space="preserve">זה באמת </w:t>
      </w:r>
      <w:r>
        <w:rPr>
          <w:rFonts w:hint="cs"/>
        </w:rPr>
        <w:t>GSEA</w:t>
      </w:r>
      <w:r>
        <w:rPr>
          <w:rFonts w:hint="cs"/>
          <w:rtl/>
        </w:rPr>
        <w:t>?</w:t>
      </w:r>
    </w:p>
  </w:comment>
  <w:comment w:id="11" w:author="Ziv Cohen" w:date="2022-03-12T13:08:00Z" w:initials="ZC">
    <w:p w14:paraId="1FC1ED60" w14:textId="77777777" w:rsidR="001D70B9" w:rsidRDefault="001D70B9" w:rsidP="001D70B9">
      <w:pPr>
        <w:pStyle w:val="CommentText"/>
        <w:rPr>
          <w:rtl/>
        </w:rPr>
      </w:pPr>
      <w:r>
        <w:rPr>
          <w:rStyle w:val="CommentReference"/>
        </w:rPr>
        <w:annotationRef/>
      </w:r>
      <w:r>
        <w:rPr>
          <w:rFonts w:hint="cs"/>
          <w:rtl/>
        </w:rPr>
        <w:t>להוסיף מקור</w:t>
      </w:r>
    </w:p>
  </w:comment>
  <w:comment w:id="12" w:author="Ziv Cohen" w:date="2022-03-12T19:45:00Z" w:initials="ZC">
    <w:p w14:paraId="6DBC3A23" w14:textId="77777777" w:rsidR="001D70B9" w:rsidRDefault="001D70B9" w:rsidP="001D70B9">
      <w:pPr>
        <w:pStyle w:val="CommentText"/>
        <w:rPr>
          <w:rtl/>
        </w:rPr>
      </w:pPr>
      <w:r>
        <w:rPr>
          <w:rStyle w:val="CommentReference"/>
        </w:rPr>
        <w:annotationRef/>
      </w:r>
      <w:r>
        <w:rPr>
          <w:rFonts w:hint="cs"/>
          <w:rtl/>
        </w:rPr>
        <w:t xml:space="preserve">לבדוק </w:t>
      </w:r>
      <w:r>
        <w:rPr>
          <w:rFonts w:hint="cs"/>
          <w:rtl/>
        </w:rPr>
        <w:t xml:space="preserve">איך מדווחים תוצאות </w:t>
      </w:r>
      <w:r>
        <w:rPr>
          <w:rFonts w:hint="cs"/>
        </w:rPr>
        <w:t>GSEA</w:t>
      </w:r>
    </w:p>
  </w:comment>
  <w:comment w:id="13" w:author="Ziv Cohen" w:date="2022-03-13T00:28:00Z" w:initials="ZC">
    <w:p w14:paraId="135A1959" w14:textId="396B3284" w:rsidR="00B1065A" w:rsidRDefault="00B1065A">
      <w:pPr>
        <w:pStyle w:val="CommentText"/>
        <w:rPr>
          <w:rFonts w:hint="cs"/>
          <w:rtl/>
        </w:rPr>
      </w:pPr>
      <w:r>
        <w:rPr>
          <w:rStyle w:val="CommentReference"/>
        </w:rPr>
        <w:annotationRef/>
      </w:r>
      <w:r>
        <w:rPr>
          <w:rFonts w:hint="cs"/>
          <w:rtl/>
        </w:rPr>
        <w:t xml:space="preserve">לצלילי </w:t>
      </w:r>
      <w:r>
        <w:t>let it go</w:t>
      </w:r>
      <w:r>
        <w:rPr>
          <w:rFonts w:hint="cs"/>
          <w:rtl/>
        </w:rPr>
        <w:t>:</w:t>
      </w:r>
    </w:p>
    <w:p w14:paraId="4830FEC0" w14:textId="39E7F977" w:rsidR="00B1065A" w:rsidRDefault="00B1065A">
      <w:pPr>
        <w:pStyle w:val="CommentText"/>
        <w:rPr>
          <w:rFonts w:hint="cs"/>
          <w:rtl/>
        </w:rPr>
      </w:pPr>
      <w:r>
        <w:rPr>
          <w:rFonts w:hint="cs"/>
          <w:rtl/>
        </w:rPr>
        <w:t>לשכתב! לערוך!</w:t>
      </w:r>
    </w:p>
    <w:p w14:paraId="4D2CCCD0" w14:textId="06C475CD" w:rsidR="00B1065A" w:rsidRDefault="00B1065A">
      <w:pPr>
        <w:pStyle w:val="CommentText"/>
      </w:pPr>
      <w:r>
        <w:rPr>
          <w:rFonts w:hint="cs"/>
          <w:rtl/>
        </w:rPr>
        <w:t>תכו אותי עם מערוך!</w:t>
      </w:r>
    </w:p>
  </w:comment>
  <w:comment w:id="14" w:author="Ziv Cohen" w:date="2022-03-12T23:16:00Z" w:initials="ZC">
    <w:p w14:paraId="2F58A8D0" w14:textId="52038981" w:rsidR="004A5211" w:rsidRDefault="004A5211" w:rsidP="004A5211">
      <w:pPr>
        <w:pStyle w:val="CommentText"/>
      </w:pPr>
      <w:r>
        <w:rPr>
          <w:rStyle w:val="CommentReference"/>
        </w:rPr>
        <w:annotationRef/>
      </w:r>
      <w:r>
        <w:rPr>
          <w:rFonts w:hint="cs"/>
          <w:rtl/>
        </w:rPr>
        <w:t>לתקן בהתאם לתוצאות ה-</w:t>
      </w:r>
      <w:r>
        <w:rPr>
          <w:rFonts w:hint="cs"/>
        </w:rPr>
        <w:t>GSEA</w:t>
      </w:r>
    </w:p>
  </w:comment>
  <w:comment w:id="15" w:author="Ziv Cohen" w:date="2022-03-12T23:06:00Z" w:initials="ZC">
    <w:p w14:paraId="3A665DF0" w14:textId="57667AAD" w:rsidR="00314785" w:rsidRDefault="00314785" w:rsidP="00314785">
      <w:pPr>
        <w:pStyle w:val="CommentText"/>
        <w:rPr>
          <w:rFonts w:hint="cs"/>
          <w:rtl/>
        </w:rPr>
      </w:pPr>
      <w:r>
        <w:rPr>
          <w:rStyle w:val="CommentReference"/>
        </w:rPr>
        <w:annotationRef/>
      </w:r>
      <w:r>
        <w:rPr>
          <w:rFonts w:hint="cs"/>
          <w:rtl/>
        </w:rPr>
        <w:t>לתקן בהתאם לתוצאות ה-</w:t>
      </w:r>
      <w:r>
        <w:rPr>
          <w:rFonts w:hint="cs"/>
        </w:rPr>
        <w:t>GSEA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7C9EAC" w15:done="0"/>
  <w15:commentEx w15:paraId="7DBE0C26" w15:done="0"/>
  <w15:commentEx w15:paraId="40161A25" w15:done="0"/>
  <w15:commentEx w15:paraId="1FF36389" w15:done="0"/>
  <w15:commentEx w15:paraId="5681BF08" w15:done="0"/>
  <w15:commentEx w15:paraId="45D4BBE2" w15:done="0"/>
  <w15:commentEx w15:paraId="29B19621" w15:done="0"/>
  <w15:commentEx w15:paraId="4A2CB9D9" w15:done="0"/>
  <w15:commentEx w15:paraId="1FC1ED60" w15:done="0"/>
  <w15:commentEx w15:paraId="6DBC3A23" w15:done="0"/>
  <w15:commentEx w15:paraId="4D2CCCD0" w15:done="0"/>
  <w15:commentEx w15:paraId="2F58A8D0" w15:done="0"/>
  <w15:commentEx w15:paraId="3A665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79855" w16cex:dateUtc="2022-03-12T20:08:00Z"/>
  <w16cex:commentExtensible w16cex:durableId="25D77834" w16cex:dateUtc="2022-03-12T17:51:00Z"/>
  <w16cex:commentExtensible w16cex:durableId="25D7BA33" w16cex:dateUtc="2022-03-12T22:32:00Z"/>
  <w16cex:commentExtensible w16cex:durableId="25D7774C" w16cex:dateUtc="2022-03-12T17:47:00Z"/>
  <w16cex:commentExtensible w16cex:durableId="25D5EA52" w16cex:dateUtc="2022-03-11T13:33:00Z"/>
  <w16cex:commentExtensible w16cex:durableId="25D77AC2" w16cex:dateUtc="2022-03-12T18:02:00Z"/>
  <w16cex:commentExtensible w16cex:durableId="25D4CD19" w16cex:dateUtc="2022-03-10T17:16:00Z"/>
  <w16cex:commentExtensible w16cex:durableId="25D65FB5" w16cex:dateUtc="2022-03-11T21:54:00Z"/>
  <w16cex:commentExtensible w16cex:durableId="25D719C9" w16cex:dateUtc="2022-03-12T11:08:00Z"/>
  <w16cex:commentExtensible w16cex:durableId="25D776BF" w16cex:dateUtc="2022-03-12T17:45:00Z"/>
  <w16cex:commentExtensible w16cex:durableId="25D7B94B" w16cex:dateUtc="2022-03-12T22:28:00Z"/>
  <w16cex:commentExtensible w16cex:durableId="25D7A839" w16cex:dateUtc="2022-03-12T21:16:00Z"/>
  <w16cex:commentExtensible w16cex:durableId="25D7A5E1" w16cex:dateUtc="2022-03-12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7C9EAC" w16cid:durableId="25D79855"/>
  <w16cid:commentId w16cid:paraId="7DBE0C26" w16cid:durableId="25D77834"/>
  <w16cid:commentId w16cid:paraId="40161A25" w16cid:durableId="25D7BA33"/>
  <w16cid:commentId w16cid:paraId="1FF36389" w16cid:durableId="25D7774C"/>
  <w16cid:commentId w16cid:paraId="5681BF08" w16cid:durableId="25D5EA52"/>
  <w16cid:commentId w16cid:paraId="45D4BBE2" w16cid:durableId="25D77AC2"/>
  <w16cid:commentId w16cid:paraId="29B19621" w16cid:durableId="25D4CD19"/>
  <w16cid:commentId w16cid:paraId="4A2CB9D9" w16cid:durableId="25D65FB5"/>
  <w16cid:commentId w16cid:paraId="1FC1ED60" w16cid:durableId="25D719C9"/>
  <w16cid:commentId w16cid:paraId="6DBC3A23" w16cid:durableId="25D776BF"/>
  <w16cid:commentId w16cid:paraId="4D2CCCD0" w16cid:durableId="25D7B94B"/>
  <w16cid:commentId w16cid:paraId="2F58A8D0" w16cid:durableId="25D7A839"/>
  <w16cid:commentId w16cid:paraId="3A665DF0" w16cid:durableId="25D7A5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6AF4D" w14:textId="77777777" w:rsidR="00507A5C" w:rsidRDefault="00507A5C" w:rsidP="00F45306">
      <w:pPr>
        <w:spacing w:after="0" w:line="240" w:lineRule="auto"/>
      </w:pPr>
      <w:r>
        <w:separator/>
      </w:r>
    </w:p>
  </w:endnote>
  <w:endnote w:type="continuationSeparator" w:id="0">
    <w:p w14:paraId="47C8A3B7" w14:textId="77777777" w:rsidR="00507A5C" w:rsidRDefault="00507A5C"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8723E" w14:textId="77777777" w:rsidR="00507A5C" w:rsidRDefault="00507A5C" w:rsidP="00F45306">
      <w:pPr>
        <w:spacing w:after="0" w:line="240" w:lineRule="auto"/>
      </w:pPr>
      <w:r>
        <w:separator/>
      </w:r>
    </w:p>
  </w:footnote>
  <w:footnote w:type="continuationSeparator" w:id="0">
    <w:p w14:paraId="702F728B" w14:textId="77777777" w:rsidR="00507A5C" w:rsidRDefault="00507A5C"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433B9"/>
    <w:rsid w:val="000629E2"/>
    <w:rsid w:val="00070A28"/>
    <w:rsid w:val="00074852"/>
    <w:rsid w:val="00080E0A"/>
    <w:rsid w:val="00081590"/>
    <w:rsid w:val="00093C17"/>
    <w:rsid w:val="000A253F"/>
    <w:rsid w:val="000A4425"/>
    <w:rsid w:val="000B726D"/>
    <w:rsid w:val="000C63FA"/>
    <w:rsid w:val="000D2D1E"/>
    <w:rsid w:val="000E2AE1"/>
    <w:rsid w:val="00103159"/>
    <w:rsid w:val="00105C8B"/>
    <w:rsid w:val="0011559E"/>
    <w:rsid w:val="00125E2B"/>
    <w:rsid w:val="00135D0D"/>
    <w:rsid w:val="00156F97"/>
    <w:rsid w:val="00160D8B"/>
    <w:rsid w:val="001617A1"/>
    <w:rsid w:val="00167D22"/>
    <w:rsid w:val="001700B4"/>
    <w:rsid w:val="001816F4"/>
    <w:rsid w:val="001872B2"/>
    <w:rsid w:val="001A2B5A"/>
    <w:rsid w:val="001B18CD"/>
    <w:rsid w:val="001B4109"/>
    <w:rsid w:val="001C2461"/>
    <w:rsid w:val="001C2703"/>
    <w:rsid w:val="001D1D9C"/>
    <w:rsid w:val="001D70B9"/>
    <w:rsid w:val="002125FE"/>
    <w:rsid w:val="00212C5A"/>
    <w:rsid w:val="002165DD"/>
    <w:rsid w:val="00224A59"/>
    <w:rsid w:val="002271EB"/>
    <w:rsid w:val="002474E7"/>
    <w:rsid w:val="002477D8"/>
    <w:rsid w:val="00254F4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14785"/>
    <w:rsid w:val="00320853"/>
    <w:rsid w:val="003364FD"/>
    <w:rsid w:val="003420B8"/>
    <w:rsid w:val="00343D97"/>
    <w:rsid w:val="00354BA7"/>
    <w:rsid w:val="00361137"/>
    <w:rsid w:val="00364AC6"/>
    <w:rsid w:val="00383827"/>
    <w:rsid w:val="00393525"/>
    <w:rsid w:val="003B0E0A"/>
    <w:rsid w:val="003B0F3F"/>
    <w:rsid w:val="003D4417"/>
    <w:rsid w:val="003D7774"/>
    <w:rsid w:val="003F0FE3"/>
    <w:rsid w:val="003F2A95"/>
    <w:rsid w:val="003F5071"/>
    <w:rsid w:val="00405466"/>
    <w:rsid w:val="00413216"/>
    <w:rsid w:val="004132B9"/>
    <w:rsid w:val="00421CD6"/>
    <w:rsid w:val="0042605C"/>
    <w:rsid w:val="004266A8"/>
    <w:rsid w:val="0043321A"/>
    <w:rsid w:val="004405EC"/>
    <w:rsid w:val="004528D2"/>
    <w:rsid w:val="004821CD"/>
    <w:rsid w:val="00483F65"/>
    <w:rsid w:val="00484818"/>
    <w:rsid w:val="00486EBF"/>
    <w:rsid w:val="00492902"/>
    <w:rsid w:val="00495344"/>
    <w:rsid w:val="004A5211"/>
    <w:rsid w:val="004B14A6"/>
    <w:rsid w:val="004D1F3C"/>
    <w:rsid w:val="004E0F1E"/>
    <w:rsid w:val="004E3876"/>
    <w:rsid w:val="004F16D1"/>
    <w:rsid w:val="00507A5C"/>
    <w:rsid w:val="00513068"/>
    <w:rsid w:val="005216BD"/>
    <w:rsid w:val="00531E38"/>
    <w:rsid w:val="00534BED"/>
    <w:rsid w:val="005635CF"/>
    <w:rsid w:val="00565C5A"/>
    <w:rsid w:val="00566A83"/>
    <w:rsid w:val="00566F9A"/>
    <w:rsid w:val="0057464E"/>
    <w:rsid w:val="005778A5"/>
    <w:rsid w:val="005812D5"/>
    <w:rsid w:val="0058441D"/>
    <w:rsid w:val="00590760"/>
    <w:rsid w:val="0059587D"/>
    <w:rsid w:val="005B4267"/>
    <w:rsid w:val="005D4099"/>
    <w:rsid w:val="005E3476"/>
    <w:rsid w:val="005F4250"/>
    <w:rsid w:val="00616BAE"/>
    <w:rsid w:val="00651A4B"/>
    <w:rsid w:val="00653CFB"/>
    <w:rsid w:val="00664245"/>
    <w:rsid w:val="00667AD9"/>
    <w:rsid w:val="006A05E3"/>
    <w:rsid w:val="006A1EAB"/>
    <w:rsid w:val="006B0F64"/>
    <w:rsid w:val="006C3024"/>
    <w:rsid w:val="006E19BD"/>
    <w:rsid w:val="006F2FF4"/>
    <w:rsid w:val="00712DFC"/>
    <w:rsid w:val="00722DAB"/>
    <w:rsid w:val="007300D7"/>
    <w:rsid w:val="007369DA"/>
    <w:rsid w:val="00743197"/>
    <w:rsid w:val="007470A7"/>
    <w:rsid w:val="00757968"/>
    <w:rsid w:val="0076385E"/>
    <w:rsid w:val="0077582F"/>
    <w:rsid w:val="0078107A"/>
    <w:rsid w:val="00782C41"/>
    <w:rsid w:val="00782F76"/>
    <w:rsid w:val="00782F99"/>
    <w:rsid w:val="0078516E"/>
    <w:rsid w:val="007B111A"/>
    <w:rsid w:val="007B65DE"/>
    <w:rsid w:val="007B7933"/>
    <w:rsid w:val="007C0C3C"/>
    <w:rsid w:val="007C16B5"/>
    <w:rsid w:val="007D0962"/>
    <w:rsid w:val="007D2E43"/>
    <w:rsid w:val="007D3240"/>
    <w:rsid w:val="007E4161"/>
    <w:rsid w:val="007E58B4"/>
    <w:rsid w:val="008047D4"/>
    <w:rsid w:val="00805960"/>
    <w:rsid w:val="00817085"/>
    <w:rsid w:val="00825829"/>
    <w:rsid w:val="008435CC"/>
    <w:rsid w:val="008506A1"/>
    <w:rsid w:val="00862854"/>
    <w:rsid w:val="008744B3"/>
    <w:rsid w:val="0089544D"/>
    <w:rsid w:val="008D4B7E"/>
    <w:rsid w:val="008E09B1"/>
    <w:rsid w:val="008F2E15"/>
    <w:rsid w:val="00902D20"/>
    <w:rsid w:val="009114BB"/>
    <w:rsid w:val="009140B4"/>
    <w:rsid w:val="00920C48"/>
    <w:rsid w:val="00927AE2"/>
    <w:rsid w:val="00930CAC"/>
    <w:rsid w:val="00932532"/>
    <w:rsid w:val="00945C29"/>
    <w:rsid w:val="0095177A"/>
    <w:rsid w:val="00962400"/>
    <w:rsid w:val="009661F5"/>
    <w:rsid w:val="00971C45"/>
    <w:rsid w:val="00973618"/>
    <w:rsid w:val="00993B17"/>
    <w:rsid w:val="00995D99"/>
    <w:rsid w:val="009C14BB"/>
    <w:rsid w:val="009D41FF"/>
    <w:rsid w:val="009E1304"/>
    <w:rsid w:val="009E5DA8"/>
    <w:rsid w:val="009F4060"/>
    <w:rsid w:val="009F648A"/>
    <w:rsid w:val="00A01F76"/>
    <w:rsid w:val="00A33565"/>
    <w:rsid w:val="00A36E60"/>
    <w:rsid w:val="00A426DE"/>
    <w:rsid w:val="00A44E49"/>
    <w:rsid w:val="00A50CCD"/>
    <w:rsid w:val="00A56C03"/>
    <w:rsid w:val="00A61A0E"/>
    <w:rsid w:val="00A64ADA"/>
    <w:rsid w:val="00A66D1A"/>
    <w:rsid w:val="00A67F88"/>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30D34"/>
    <w:rsid w:val="00B407E3"/>
    <w:rsid w:val="00B55097"/>
    <w:rsid w:val="00B558E9"/>
    <w:rsid w:val="00B64D44"/>
    <w:rsid w:val="00B66D5C"/>
    <w:rsid w:val="00B721B7"/>
    <w:rsid w:val="00B72F4E"/>
    <w:rsid w:val="00B87D8C"/>
    <w:rsid w:val="00B9051D"/>
    <w:rsid w:val="00B938D2"/>
    <w:rsid w:val="00B97C37"/>
    <w:rsid w:val="00BB2614"/>
    <w:rsid w:val="00BB4F88"/>
    <w:rsid w:val="00BD3B1E"/>
    <w:rsid w:val="00BD6692"/>
    <w:rsid w:val="00BE3874"/>
    <w:rsid w:val="00BE3AB3"/>
    <w:rsid w:val="00BF0604"/>
    <w:rsid w:val="00BF326F"/>
    <w:rsid w:val="00C108CA"/>
    <w:rsid w:val="00C118FD"/>
    <w:rsid w:val="00C350A2"/>
    <w:rsid w:val="00C53251"/>
    <w:rsid w:val="00C5703B"/>
    <w:rsid w:val="00C576FC"/>
    <w:rsid w:val="00C7268F"/>
    <w:rsid w:val="00C766F3"/>
    <w:rsid w:val="00C80C12"/>
    <w:rsid w:val="00C852FE"/>
    <w:rsid w:val="00CA0AD2"/>
    <w:rsid w:val="00CB2DBA"/>
    <w:rsid w:val="00CC2633"/>
    <w:rsid w:val="00CC27F2"/>
    <w:rsid w:val="00CE3574"/>
    <w:rsid w:val="00CE37E3"/>
    <w:rsid w:val="00D06D0C"/>
    <w:rsid w:val="00D21695"/>
    <w:rsid w:val="00D30724"/>
    <w:rsid w:val="00D36C09"/>
    <w:rsid w:val="00D53AE9"/>
    <w:rsid w:val="00D53F1A"/>
    <w:rsid w:val="00D53FD1"/>
    <w:rsid w:val="00D55598"/>
    <w:rsid w:val="00D64E6E"/>
    <w:rsid w:val="00DB4B81"/>
    <w:rsid w:val="00DD0014"/>
    <w:rsid w:val="00DD0BC3"/>
    <w:rsid w:val="00DD6DA5"/>
    <w:rsid w:val="00DF1F3C"/>
    <w:rsid w:val="00DF6A93"/>
    <w:rsid w:val="00E12440"/>
    <w:rsid w:val="00E42663"/>
    <w:rsid w:val="00E42E63"/>
    <w:rsid w:val="00E4459F"/>
    <w:rsid w:val="00E64D44"/>
    <w:rsid w:val="00E7321F"/>
    <w:rsid w:val="00E92F40"/>
    <w:rsid w:val="00EA1AB3"/>
    <w:rsid w:val="00EA1F62"/>
    <w:rsid w:val="00EB13C4"/>
    <w:rsid w:val="00EB1A86"/>
    <w:rsid w:val="00EB5ED7"/>
    <w:rsid w:val="00ED2ADE"/>
    <w:rsid w:val="00EF40AA"/>
    <w:rsid w:val="00F066AC"/>
    <w:rsid w:val="00F23523"/>
    <w:rsid w:val="00F31DD6"/>
    <w:rsid w:val="00F40DF0"/>
    <w:rsid w:val="00F45306"/>
    <w:rsid w:val="00F50FBD"/>
    <w:rsid w:val="00F6011E"/>
    <w:rsid w:val="00F64EAA"/>
    <w:rsid w:val="00F77E6B"/>
    <w:rsid w:val="00F8676B"/>
    <w:rsid w:val="00F90654"/>
    <w:rsid w:val="00F94D0B"/>
    <w:rsid w:val="00FA74EF"/>
    <w:rsid w:val="00FA7D56"/>
    <w:rsid w:val="00FB606D"/>
    <w:rsid w:val="00FD0507"/>
    <w:rsid w:val="00FE1080"/>
    <w:rsid w:val="00FE7D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oleObject" Target="embeddings/oleObject16.bin"/><Relationship Id="rId20" Type="http://schemas.openxmlformats.org/officeDocument/2006/relationships/image" Target="media/image6.png"/><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46EE0"/>
    <w:rsid w:val="003228A6"/>
    <w:rsid w:val="004613B7"/>
    <w:rsid w:val="005F4D2C"/>
    <w:rsid w:val="00630CF4"/>
    <w:rsid w:val="00655F2F"/>
    <w:rsid w:val="006D10B0"/>
    <w:rsid w:val="006E4AD7"/>
    <w:rsid w:val="00701BFD"/>
    <w:rsid w:val="00736216"/>
    <w:rsid w:val="007524B1"/>
    <w:rsid w:val="007E33C2"/>
    <w:rsid w:val="008C450E"/>
    <w:rsid w:val="00927AAE"/>
    <w:rsid w:val="00B4204A"/>
    <w:rsid w:val="00B72A69"/>
    <w:rsid w:val="00BC2057"/>
    <w:rsid w:val="00C13C12"/>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6EE0"/>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d2883c4c-1e49-4d71-ad6a-7771bdc07f2d&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263ecca-9e18-4996-8537-1e7e52e75a2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ID&quot;:&quot;MENDELEY_CITATION_82545c39-c2c8-4a95-aad4-261b53cdf4a9&quot;,&quot;properties&quot;:{&quot;noteIndex&quot;:0},&quot;isEdited&quot;:false,&quot;manualOverride&quot;:{&quot;isManuallyOverridden&quot;:false,&quot;citeprocText&quot;:&quot;(Hoirisch-Clapauch et al., 2014)&quot;,&quot;manualOverrideText&quot;:&quot;&quot;},&quot;citationItems&quot;:[{&quot;id&quot;:&quot;ba264182-ce66-3c68-893c-7e0c764ff0ac&quot;,&quot;itemData&quot;:{&quot;type&quot;:&quot;article-journal&quot;,&quot;id&quot;:&quot;ba264182-ce66-3c68-893c-7e0c764ff0ac&quot;,&quot;title&quot;:&quot;Coagulation and mental disorders&quot;,&quot;author&quot;:[{&quot;family&quot;:&quot;Hoirisch-Clapauch&quot;,&quot;given&quot;:&quot;Silvia&quot;,&quot;parse-names&quot;:false,&quot;dropping-particle&quot;:&quot;&quot;,&quot;non-dropping-particle&quot;:&quot;&quot;},{&quot;family&quot;:&quot;Nardi&quot;,&quot;given&quot;:&quot;Antonio Egidio&quot;,&quot;parse-names&quot;:false,&quot;dropping-particle&quot;:&quot;&quot;,&quot;non-dropping-particle&quot;:&quot;&quot;},{&quot;family&quot;:&quot;Gris&quot;,&quot;given&quot;:&quot;Jean-Christophe&quot;,&quot;parse-names&quot;:false,&quot;dropping-particle&quot;:&quot;&quot;,&quot;non-dropping-particle&quot;:&quot;&quot;},{&quot;family&quot;:&quot;Brenner&quot;,&quot;given&quot;:&quot;Benjamin&quot;,&quot;parse-names&quot;:false,&quot;dropping-particle&quot;:&quot;&quot;,&quot;non-dropping-particle&quot;:&quot;&quot;}],&quot;container-title&quot;:&quot;Rambam Maimonides medical journal&quot;,&quot;DOI&quot;:&quot;10.5041/RMMJ.10170&quot;,&quot;ISSN&quot;:&quot;2076-9172&quot;,&quot;PMID&quot;:&quot;25386352&quot;,&quot;URL&quot;:&quot;https://pubmed.ncbi.nlm.nih.gov/25386352&quot;,&quot;issued&quot;:{&quot;date-parts&quot;:[[2014,10,29]]},&quot;page&quot;:&quot;e0036-e0036&quot;,&quot;language&quot;:&quot;eng&quot;,&quot;abstract&quot;:&quot;The neurovascular unit is a key player in brain development, homeostasis, and pathology. Mental stress affects coagulation, while severe mental illnesses, such as recurrent depression and schizophrenia, are associated with an increased thrombotic risk and cardiovascular morbidity. Evidence indicates that the hemostatic system is involved to some extent in the pathogenesis, morbidity, and prognosis of a wide variety of psychiatric disorders. The current review focuses on emerging data linking coagulation and some psychiatric disorders.&quot;,&quot;publisher&quot;:&quot;Rambam Health Care Campus&quot;,&quot;issue&quot;:&quot;4&quot;,&quot;volume&quot;:&quot;5&quot;,&quot;expandedJournalTitle&quot;:&quot;Rambam Maimonides medical journal&quot;},&quot;isTemporary&quot;:false}],&quot;citationTag&quot;:&quot;MENDELEY_CITATION_v3_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&quot;},{&quot;citationID&quot;:&quot;MENDELEY_CITATION_495b86b8-57d4-4e7e-8692-aba0eceb910a&quot;,&quot;properties&quot;:{&quot;noteIndex&quot;:0},&quot;isEdited&quot;:false,&quot;manualOverride&quot;:{&quot;isManuallyOverridden&quot;:true,&quot;citeprocText&quot;:&quot;(Altaf-Ul-Amin et al., 2021)&quot;,&quot;manualOverrideText&quot;:&quot;(Altaf-Ul-Amin et al., 2021).&quot;},&quot;citationItems&quot;:[{&quot;id&quot;:&quot;5c8da96d-7fd3-320a-8589-6d5a8274e2d4&quot;,&quot;itemData&quot;:{&quot;type&quot;:&quot;article-journal&quot;,&quot;id&quot;:&quot;5c8da96d-7fd3-320a-8589-6d5a8274e2d4&quot;,&quot;title&quot;:&quot;A system biology approach based on metabolic biomarkers and protein–protein interactions for identifying pathways underlying schizophrenia and bipolar disorder&quot;,&quot;author&quot;:[{&quot;family&quot;:&quot;Altaf-Ul-Amin&quot;,&quot;given&quot;:&quot;Md.&quot;,&quot;parse-names&quot;:false,&quot;dropping-particle&quot;:&quot;&quot;,&quot;non-dropping-particle&quot;:&quot;&quot;},{&quot;family&quot;:&quot;Hirose&quot;,&quot;given&quot;:&quot;Kazuhisa&quot;,&quot;parse-names&quot;:false,&quot;dropping-particle&quot;:&quot;&quot;,&quot;non-dropping-particle&quot;:&quot;&quot;},{&quot;family&quot;:&quot;Nani&quot;,&quot;given&quot;:&quot;João&quot;,&quot;parse-names&quot;:false,&quot;dropping-particle&quot;:&quot;v&quot;,&quot;non-dropping-particle&quot;:&quot;&quot;},{&quot;family&quot;:&quot;Porta&quot;,&quot;given&quot;:&quot;Lucas C&quot;,&quot;parse-names&quot;:false,&quot;dropping-particle&quot;:&quot;&quot;,&quot;non-dropping-particle&quot;:&quot;&quot;},{&quot;family&quot;:&quot;Tasic&quot;,&quot;given&quot;:&quot;Ljubica&quot;,&quot;parse-names&quot;:false,&quot;dropping-particle&quot;:&quot;&quot;,&quot;non-dropping-particle&quot;:&quot;&quot;},{&quot;family&quot;:&quot;Hossain&quot;,&quot;given&quot;:&quot;Shaikh Farhad&quot;,&quot;parse-names&quot;:false,&quot;dropping-particle&quot;:&quot;&quot;,&quot;non-dropping-particle&quot;:&quot;&quot;},{&quot;family&quot;:&quot;Huang&quot;,&quot;given&quot;:&quot;Ming&quot;,&quot;parse-names&quot;:false,&quot;dropping-particle&quot;:&quot;&quot;,&quot;non-dropping-particle&quot;:&quot;&quot;},{&quot;family&quot;:&quot;Ono&quot;,&quot;given&quot;:&quot;Naoaki&quot;,&quot;parse-names&quot;:false,&quot;dropping-particle&quot;:&quot;&quot;,&quot;non-dropping-particle&quot;:&quot;&quot;},{&quot;family&quot;:&quot;Hayashi&quot;,&quot;given&quot;:&quot;Mirian A F&quot;,&quot;parse-names&quot;:false,&quot;dropping-particle&quot;:&quot;&quot;,&quot;non-dropping-particle&quot;:&quot;&quot;},{&quot;family&quot;:&quot;Kanaya&quot;,&quot;given&quot;:&quot;Shigehiko&quot;,&quot;parse-names&quot;:false,&quot;dropping-particle&quot;:&quot;&quot;,&quot;non-dropping-particle&quot;:&quot;&quot;}],&quot;container-title&quot;:&quot;Scientific Reports&quot;,&quot;DOI&quot;:&quot;10.1038/s41598-021-93653-3&quot;,&quot;ISSN&quot;:&quot;2045-2322&quot;,&quot;URL&quot;:&quot;https://doi.org/10.1038/s41598-021-93653-3&quot;,&quot;issued&quot;:{&quot;date-parts&quot;:[[2021]]},&quot;page&quot;:&quot;14450&quot;,&quot;abstract&quot;:&quot;Mental disorders (MDs), including schizophrenia (SCZ) and bipolar disorder (BD), have attracted special attention from scientists due to their high prevalence and significantly debilitating clinical features. The diagnosis of MDs is still essentially based on clinical interviews, and intensive efforts to introduce biochemical based diagnostic methods have faced several difficulties for implementation in clinics, due to the complexity and still limited knowledge in MDs. In this context, aiming for improving the knowledge in etiology and pathophysiology, many authors have reported several alterations in metabolites in MDs and other brain diseases. After potentially fishing all metabolite biomarkers reported up to now for SCZ and BD, we investigated here the proteins related to these metabolites in order to construct a protein–protein interaction (PPI) network associated with these diseases. We determined the statistically significant clusters in this PPI network and, based on these clusters, we identified 28 significant pathways for SCZ and BDs that essentially compose three groups representing three major systems, namely stress response, energy and neuron systems. By characterizing new pathways with potential to innovate the diagnosis and treatment of psychiatric diseases, the present data may also contribute to the proposal of new intervention for the treatment of still unmet aspects in MDs.&quot;,&quot;issue&quot;:&quot;1&quot;,&quot;volume&quot;:&quot;11&quot;,&quot;expandedJournalTitle&quot;:&quot;Scientific Reports&quot;},&quot;isTemporary&quot;:false}],&quot;citationTag&quot;:&quot;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quot;}]"/>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12541</TotalTime>
  <Pages>15</Pages>
  <Words>4179</Words>
  <Characters>20899</Characters>
  <Application>Microsoft Office Word</Application>
  <DocSecurity>0</DocSecurity>
  <Lines>174</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52</cp:revision>
  <cp:lastPrinted>2022-03-12T11:39:00Z</cp:lastPrinted>
  <dcterms:created xsi:type="dcterms:W3CDTF">2022-01-24T14:19:00Z</dcterms:created>
  <dcterms:modified xsi:type="dcterms:W3CDTF">2022-03-13T19:51:00Z</dcterms:modified>
</cp:coreProperties>
</file>