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commentRangeStart w:id="0"/>
      <w:commentRangeStart w:id="1"/>
      <w:r w:rsidRPr="00156F97">
        <w:rPr>
          <w:rFonts w:asciiTheme="majorBidi" w:hAnsiTheme="majorBidi" w:cstheme="majorBidi"/>
          <w:i/>
          <w:iCs/>
          <w:sz w:val="32"/>
          <w:szCs w:val="32"/>
        </w:rPr>
        <w:t>Studying the effects of bipolar disorder on the microenvironment of different areas in the brain</w:t>
      </w:r>
      <w:commentRangeEnd w:id="0"/>
      <w:r w:rsidR="00AC0779" w:rsidRPr="00156F97">
        <w:rPr>
          <w:rStyle w:val="CommentReference"/>
          <w:sz w:val="32"/>
          <w:szCs w:val="32"/>
        </w:rPr>
        <w:commentReference w:id="0"/>
      </w:r>
      <w:commentRangeEnd w:id="1"/>
      <w:r w:rsidR="002C2687">
        <w:rPr>
          <w:rStyle w:val="CommentReference"/>
          <w:rtl/>
        </w:rPr>
        <w:commentReference w:id="1"/>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2D9CD61" w14:textId="583AC62D"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 general overview of the disease (~1 page)</w:t>
      </w:r>
    </w:p>
    <w:p w14:paraId="1AB7AC95" w14:textId="45A29CF6"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 xml:space="preserve">Bipolar disorder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2"/>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C80C12" w:rsidRPr="00C80C12">
            <w:rPr>
              <w:rFonts w:asciiTheme="minorHAnsi" w:hAnsiTheme="minorHAnsi" w:cstheme="minorHAnsi"/>
              <w:color w:val="000000"/>
            </w:rPr>
            <w:t>(Rowland and Marwaha, 2018)</w:t>
          </w:r>
        </w:sdtContent>
      </w:sdt>
      <w:commentRangeEnd w:id="2"/>
      <w:r w:rsidR="00AC0779">
        <w:rPr>
          <w:rStyle w:val="CommentReference"/>
          <w:rFonts w:asciiTheme="minorHAnsi" w:eastAsiaTheme="minorHAnsi" w:hAnsiTheme="minorHAnsi" w:cstheme="minorBidi"/>
        </w:rPr>
        <w:commentReference w:id="2"/>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C80C12" w:rsidRPr="00C80C12">
            <w:rPr>
              <w:rFonts w:asciiTheme="minorHAnsi" w:hAnsiTheme="minorHAnsi" w:cstheme="minorHAnsi"/>
              <w:color w:val="000000"/>
            </w:rPr>
            <w:t>(Miklowitz, 2008; Müller-Oerlinghausen et al., 2002).</w:t>
          </w:r>
        </w:sdtContent>
      </w:sdt>
      <w:r w:rsidR="00817085">
        <w:rPr>
          <w:rFonts w:asciiTheme="minorHAnsi" w:hAnsiTheme="minorHAnsi" w:cstheme="minorHAnsi"/>
          <w:color w:val="000000"/>
        </w:rPr>
        <w:t xml:space="preserve"> We tend to classify bipolar disorder into 3 types: </w:t>
      </w:r>
      <w:r w:rsidR="00817085">
        <w:rPr>
          <w:rFonts w:asciiTheme="minorHAnsi" w:hAnsiTheme="minorHAnsi" w:cstheme="minorHAnsi"/>
        </w:rPr>
        <w:t xml:space="preserve">Bipolar Disorder I which includes manic episodes, Bipolar Disorder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proofErr w:type="spellStart"/>
      <w:r w:rsidR="00817085" w:rsidRPr="00817085">
        <w:rPr>
          <w:rFonts w:asciiTheme="minorHAnsi" w:hAnsiTheme="minorHAnsi" w:cstheme="minorHAnsi"/>
        </w:rPr>
        <w:t>hypomanias</w:t>
      </w:r>
      <w:proofErr w:type="spellEnd"/>
      <w:r w:rsidR="00817085" w:rsidRPr="00817085">
        <w:rPr>
          <w:rFonts w:asciiTheme="minorHAnsi" w:hAnsiTheme="minorHAnsi" w:cstheme="minorHAnsi"/>
        </w:rPr>
        <w:t xml:space="preserve">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C80C12" w:rsidRPr="00C80C12">
            <w:rPr>
              <w:rFonts w:asciiTheme="minorHAnsi" w:hAnsiTheme="minorHAnsi" w:cstheme="minorHAnsi"/>
              <w:color w:val="000000"/>
            </w:rPr>
            <w:t>(Cerimele et al., 2014).</w:t>
          </w:r>
        </w:sdtContent>
      </w:sdt>
    </w:p>
    <w:p w14:paraId="7D9BDABA" w14:textId="522785B9" w:rsidR="007B111A" w:rsidRPr="001D1D9C" w:rsidRDefault="00AB5E0C" w:rsidP="007B111A">
      <w:pPr>
        <w:pStyle w:val="NormalWeb"/>
        <w:spacing w:before="0" w:beforeAutospacing="0" w:after="0" w:afterAutospacing="0" w:line="360" w:lineRule="auto"/>
        <w:ind w:firstLine="720"/>
        <w:rPr>
          <w:rFonts w:asciiTheme="minorHAnsi" w:hAnsiTheme="minorHAnsi" w:cstheme="minorHAnsi"/>
          <w:color w:val="000000"/>
        </w:rPr>
      </w:pPr>
      <w:r w:rsidRPr="00AB5E0C">
        <w:rPr>
          <w:rFonts w:asciiTheme="minorHAnsi" w:hAnsiTheme="minorHAnsi" w:cstheme="minorHAnsi"/>
        </w:rPr>
        <w:t>Bipolar disorder affects</w:t>
      </w:r>
      <w:r w:rsidR="00383827">
        <w:rPr>
          <w:rFonts w:asciiTheme="minorHAnsi" w:hAnsiTheme="minorHAnsi" w:cstheme="minorHAnsi"/>
        </w:rPr>
        <w:t xml:space="preserve"> both</w:t>
      </w:r>
      <w:r w:rsidRPr="00AB5E0C">
        <w:rPr>
          <w:rFonts w:asciiTheme="minorHAnsi" w:hAnsiTheme="minorHAnsi" w:cstheme="minorHAnsi"/>
        </w:rPr>
        <w:t xml:space="preserve"> young and adult </w:t>
      </w:r>
      <w:r w:rsidR="00383827" w:rsidRPr="00AB5E0C">
        <w:rPr>
          <w:rFonts w:asciiTheme="minorHAnsi" w:hAnsiTheme="minorHAnsi" w:cstheme="minorHAnsi"/>
        </w:rPr>
        <w:t>people</w:t>
      </w:r>
      <w:r>
        <w:rPr>
          <w:rFonts w:asciiTheme="minorHAnsi" w:hAnsiTheme="minorHAnsi" w:cstheme="minorHAnsi"/>
        </w:rPr>
        <w:t xml:space="preserve">: recently, there have been some evidence that indicates an increase in the prevalence of bipolar disorder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C80C12" w:rsidRPr="00C80C12">
            <w:rPr>
              <w:rFonts w:asciiTheme="minorHAnsi" w:hAnsiTheme="minorHAnsi" w:cstheme="minorHAnsi"/>
              <w:color w:val="000000"/>
            </w:rPr>
            <w:t>(Moreno et al., 2007).</w:t>
          </w:r>
        </w:sdtContent>
      </w:sdt>
      <w:r>
        <w:rPr>
          <w:rFonts w:asciiTheme="minorHAnsi" w:hAnsiTheme="minorHAnsi" w:cstheme="minorHAnsi"/>
        </w:rPr>
        <w:t xml:space="preserve"> In </w:t>
      </w:r>
      <w:r w:rsidR="003131FB">
        <w:rPr>
          <w:rFonts w:asciiTheme="minorHAnsi" w:hAnsiTheme="minorHAnsi" w:cstheme="minorHAnsi"/>
        </w:rPr>
        <w:t xml:space="preserve">addition, in </w:t>
      </w:r>
      <w:r>
        <w:rPr>
          <w:rFonts w:asciiTheme="minorHAnsi" w:hAnsiTheme="minorHAnsi" w:cstheme="minorHAnsi"/>
        </w:rPr>
        <w:t xml:space="preserve">the United States, bipolar disorder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C80C12" w:rsidRPr="00C80C12">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C80C12" w:rsidRPr="00C80C12">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spectrum (suffer from one of the 3 bipolar 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B123EE" w:rsidRPr="00B123EE">
            <w:rPr>
              <w:rFonts w:asciiTheme="minorHAnsi" w:hAnsiTheme="minorHAnsi" w:cstheme="minorHAnsi"/>
              <w:color w:val="000000"/>
            </w:rPr>
            <w:t>(Cerimele et al., 2014).</w:t>
          </w:r>
        </w:sdtContent>
      </w:sdt>
    </w:p>
    <w:p w14:paraId="027D4416" w14:textId="59F2BEFF"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bipolar disorder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C80C12" w:rsidRPr="00C80C12">
            <w:rPr>
              <w:rFonts w:asciiTheme="minorHAnsi" w:hAnsiTheme="minorHAnsi" w:cstheme="minorHAnsi"/>
              <w:color w:val="000000"/>
            </w:rPr>
            <w:t>(Müller-Oerlinghausen et al., 2002)</w:t>
          </w:r>
        </w:sdtContent>
      </w:sdt>
      <w:r w:rsidR="003B0E0A">
        <w:rPr>
          <w:rFonts w:asciiTheme="minorHAnsi" w:hAnsiTheme="minorHAnsi" w:cstheme="minorHAnsi"/>
        </w:rPr>
        <w:t>.</w:t>
      </w:r>
      <w:r w:rsidR="00BD6692">
        <w:rPr>
          <w:rFonts w:asciiTheme="minorHAnsi" w:hAnsiTheme="minorHAnsi" w:cstheme="minorHAnsi"/>
        </w:rPr>
        <w:t xml:space="preserve"> </w:t>
      </w:r>
    </w:p>
    <w:p w14:paraId="21FEF63A" w14:textId="6CCA9E3C" w:rsidR="002A35EA" w:rsidRDefault="002A35EA"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As we have established before, the bipolar disorder portrays a threat on people of all kinds. It is of great importance for us to develop new ways of identifying patients before they experience an outbreak.</w:t>
      </w:r>
    </w:p>
    <w:p w14:paraId="1704D598" w14:textId="77777777" w:rsidR="002A35EA" w:rsidRPr="007C16B5" w:rsidRDefault="002A35EA" w:rsidP="00156F97">
      <w:pPr>
        <w:pStyle w:val="NormalWeb"/>
        <w:spacing w:before="0" w:beforeAutospacing="0" w:after="0" w:afterAutospacing="0" w:line="360" w:lineRule="auto"/>
        <w:rPr>
          <w:rFonts w:asciiTheme="minorHAnsi" w:hAnsiTheme="minorHAnsi" w:cstheme="minorHAnsi"/>
        </w:rPr>
      </w:pPr>
    </w:p>
    <w:p w14:paraId="49CA7B3D" w14:textId="36839308"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about what is still unknown, what main challenges do we face in the context of this disease? (~1 page)</w:t>
      </w:r>
    </w:p>
    <w:p w14:paraId="607719DB" w14:textId="5427BED3" w:rsidR="00C5703B" w:rsidRDefault="00C5703B" w:rsidP="00156F97">
      <w:pPr>
        <w:pStyle w:val="NormalWeb"/>
        <w:spacing w:before="0" w:beforeAutospacing="0" w:after="0" w:afterAutospacing="0" w:line="360" w:lineRule="auto"/>
        <w:rPr>
          <w:rFonts w:asciiTheme="minorHAnsi" w:hAnsiTheme="minorHAnsi" w:cstheme="minorHAnsi"/>
        </w:rPr>
      </w:pPr>
    </w:p>
    <w:p w14:paraId="13D07D72" w14:textId="77777777" w:rsidR="00C5703B" w:rsidRPr="007C16B5" w:rsidRDefault="00C5703B" w:rsidP="00156F97">
      <w:pPr>
        <w:pStyle w:val="NormalWeb"/>
        <w:spacing w:before="0" w:beforeAutospacing="0" w:after="0" w:afterAutospacing="0" w:line="360" w:lineRule="auto"/>
        <w:rPr>
          <w:rFonts w:asciiTheme="minorHAnsi" w:hAnsiTheme="minorHAnsi" w:cstheme="minorHAnsi"/>
        </w:rPr>
      </w:pPr>
    </w:p>
    <w:p w14:paraId="1E5CA729" w14:textId="218E0752"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lastRenderedPageBreak/>
        <w:t>How analyzing genomic data can help to overcome those challenges? (Give examples based on results of the studies you collected) (~0.5 pages)</w:t>
      </w:r>
    </w:p>
    <w:p w14:paraId="40CB7014" w14:textId="1069A0F9" w:rsidR="00C5703B" w:rsidRDefault="00156F97" w:rsidP="00156F97">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C80C12" w:rsidRPr="00C80C12">
            <w:rPr>
              <w:rFonts w:asciiTheme="minorHAnsi" w:hAnsiTheme="minorHAnsi" w:cstheme="minorHAnsi"/>
              <w:color w:val="000000"/>
            </w:rPr>
            <w:t>(Rowland and Marwaha, 2018)</w:t>
          </w:r>
        </w:sdtContent>
      </w:sdt>
      <w:r w:rsidRPr="00C5703B">
        <w:rPr>
          <w:rFonts w:asciiTheme="minorHAnsi" w:hAnsiTheme="minorHAnsi" w:cstheme="minorHAnsi"/>
        </w:rPr>
        <w:t>.</w:t>
      </w:r>
    </w:p>
    <w:p w14:paraId="2DE860CC" w14:textId="77777777" w:rsidR="00C5703B" w:rsidRDefault="00C5703B" w:rsidP="00156F97">
      <w:pPr>
        <w:pStyle w:val="NormalWeb"/>
        <w:spacing w:before="0" w:beforeAutospacing="0" w:after="0" w:afterAutospacing="0" w:line="360" w:lineRule="auto"/>
        <w:rPr>
          <w:rFonts w:asciiTheme="minorHAnsi" w:hAnsiTheme="minorHAnsi" w:cstheme="minorHAnsi"/>
        </w:rPr>
      </w:pPr>
    </w:p>
    <w:p w14:paraId="0088DA39" w14:textId="2C3D2544"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Finish by writing about the biological question you are about to address. What are you looking for? How is it going to help address those challenges? (~0.5 pages)</w:t>
      </w:r>
    </w:p>
    <w:p w14:paraId="46F4397A" w14:textId="7EB1643E" w:rsidR="0011559E" w:rsidRPr="007369DA" w:rsidRDefault="0011559E" w:rsidP="00156F97">
      <w:pPr>
        <w:pStyle w:val="NormalWeb"/>
        <w:spacing w:before="0" w:beforeAutospacing="0" w:after="0" w:afterAutospacing="0" w:line="360" w:lineRule="auto"/>
        <w:rPr>
          <w:rFonts w:asciiTheme="minorHAnsi" w:hAnsiTheme="minorHAnsi" w:cstheme="minorHAnsi"/>
          <w:rtl/>
        </w:rPr>
      </w:pPr>
    </w:p>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42A5B0C9"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C80C12" w:rsidRPr="00C80C12">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sz w:val="22"/>
          <w:szCs w:val="22"/>
        </w:rPr>
      </w:sdtEndPr>
      <w:sdtContent>
        <w:p w14:paraId="473B8871" w14:textId="77777777" w:rsidR="007E4161" w:rsidRDefault="007E4161">
          <w:pPr>
            <w:bidi w:val="0"/>
            <w:divId w:val="1781298401"/>
            <w:rPr>
              <w:rFonts w:eastAsia="Times New Roman"/>
              <w:sz w:val="24"/>
              <w:szCs w:val="24"/>
            </w:rPr>
          </w:pPr>
          <w:r>
            <w:rPr>
              <w:rFonts w:eastAsia="Times New Roman"/>
            </w:rPr>
            <w:t xml:space="preserve">Aziz, R., Lorberg, B., and Tampi, R.R. (2006). Treatments for late-life bipolar disorder. The American Journal of Geriatric Pharmacotherapy </w:t>
          </w:r>
          <w:r>
            <w:rPr>
              <w:rFonts w:eastAsia="Times New Roman"/>
              <w:i/>
              <w:iCs/>
            </w:rPr>
            <w:t>4</w:t>
          </w:r>
          <w:r>
            <w:rPr>
              <w:rFonts w:eastAsia="Times New Roman"/>
            </w:rPr>
            <w:t>, 347–364.</w:t>
          </w:r>
        </w:p>
        <w:p w14:paraId="51EE250D" w14:textId="77777777" w:rsidR="007E4161" w:rsidRDefault="007E4161">
          <w:pPr>
            <w:bidi w:val="0"/>
            <w:divId w:val="2142185807"/>
            <w:rPr>
              <w:rFonts w:eastAsia="Times New Roman"/>
            </w:rPr>
          </w:pPr>
          <w:r>
            <w:rPr>
              <w:rFonts w:eastAsia="Times New Roman"/>
            </w:rPr>
            <w:t xml:space="preserve">Cerimele, J.M., Chwastiak, L.A., Dodson, S., and Katon, W.J. (2014). The prevalence of bipolar disorder in general primary care samples: a systematic review. General Hospital Psychiatry </w:t>
          </w:r>
          <w:r>
            <w:rPr>
              <w:rFonts w:eastAsia="Times New Roman"/>
              <w:i/>
              <w:iCs/>
            </w:rPr>
            <w:t>36</w:t>
          </w:r>
          <w:r>
            <w:rPr>
              <w:rFonts w:eastAsia="Times New Roman"/>
            </w:rPr>
            <w:t>, 19–25.</w:t>
          </w:r>
        </w:p>
        <w:p w14:paraId="381040EF" w14:textId="77777777" w:rsidR="007E4161" w:rsidRDefault="007E4161">
          <w:pPr>
            <w:bidi w:val="0"/>
            <w:divId w:val="1237395827"/>
            <w:rPr>
              <w:rFonts w:eastAsia="Times New Roman"/>
            </w:rPr>
          </w:pPr>
          <w:r>
            <w:rPr>
              <w:rFonts w:eastAsia="Times New Roman"/>
            </w:rPr>
            <w:t>Horn, A.K.E., and Leigh, R.J. (2011). Chapter 2 - The anatomy and physiology of the ocular motor system. In Handbook of Clinical Neurology, C. Kennard, and R.J. Leigh, eds. (Elsevier), pp. 21–69.</w:t>
          </w:r>
        </w:p>
        <w:p w14:paraId="6297E92A" w14:textId="77777777" w:rsidR="007E4161" w:rsidRDefault="007E4161">
          <w:pPr>
            <w:bidi w:val="0"/>
            <w:divId w:val="798884307"/>
            <w:rPr>
              <w:rFonts w:eastAsia="Times New Roman"/>
            </w:rPr>
          </w:pPr>
          <w:r>
            <w:rPr>
              <w:rFonts w:eastAsia="Times New Roman"/>
            </w:rPr>
            <w:t>Miklowitz, D.J. (2008). Bipolar disorder : a family-focused treatment approach (Guilford Press).</w:t>
          </w:r>
        </w:p>
        <w:p w14:paraId="78D8D003" w14:textId="77777777" w:rsidR="007E4161" w:rsidRDefault="007E4161">
          <w:pPr>
            <w:bidi w:val="0"/>
            <w:divId w:val="1947690457"/>
            <w:rPr>
              <w:rFonts w:eastAsia="Times New Roman"/>
            </w:rPr>
          </w:pPr>
          <w:r>
            <w:rPr>
              <w:rFonts w:eastAsia="Times New Roman"/>
            </w:rPr>
            <w:t xml:space="preserve">Miller, J., and Black, D. (2020). Bipolar Disorder and Suicide: a Review. Current Psychiatry Reports </w:t>
          </w:r>
          <w:r>
            <w:rPr>
              <w:rFonts w:eastAsia="Times New Roman"/>
              <w:i/>
              <w:iCs/>
            </w:rPr>
            <w:t>22</w:t>
          </w:r>
          <w:r>
            <w:rPr>
              <w:rFonts w:eastAsia="Times New Roman"/>
            </w:rPr>
            <w:t>.</w:t>
          </w:r>
        </w:p>
        <w:p w14:paraId="30B1088A" w14:textId="77777777" w:rsidR="007E4161" w:rsidRDefault="007E4161">
          <w:pPr>
            <w:bidi w:val="0"/>
            <w:divId w:val="1226986202"/>
            <w:rPr>
              <w:rFonts w:eastAsia="Times New Roman"/>
            </w:rPr>
          </w:pPr>
          <w:r>
            <w:rPr>
              <w:rFonts w:eastAsia="Times New Roman"/>
            </w:rPr>
            <w:t xml:space="preserve">Moreno, C., Laje, G., Blanco, C., Jiang, H., Schmidt, A.B., and Olfson, M. (2007). National Trends in the Outpatient Diagnosis and Treatment of Bipolar Disorder in Youth. Archives of General Psychiatry </w:t>
          </w:r>
          <w:r>
            <w:rPr>
              <w:rFonts w:eastAsia="Times New Roman"/>
              <w:i/>
              <w:iCs/>
            </w:rPr>
            <w:t>64</w:t>
          </w:r>
          <w:r>
            <w:rPr>
              <w:rFonts w:eastAsia="Times New Roman"/>
            </w:rPr>
            <w:t>, 1032–1039.</w:t>
          </w:r>
        </w:p>
        <w:p w14:paraId="12A15CF1" w14:textId="77777777" w:rsidR="007E4161" w:rsidRDefault="007E4161">
          <w:pPr>
            <w:bidi w:val="0"/>
            <w:divId w:val="624963560"/>
            <w:rPr>
              <w:rFonts w:eastAsia="Times New Roman"/>
            </w:rPr>
          </w:pPr>
          <w:r>
            <w:rPr>
              <w:rFonts w:eastAsia="Times New Roman"/>
            </w:rPr>
            <w:t xml:space="preserve">Müller-Oerlinghausen, B., Berghöfer, A., and Bauer, M. (2002). Bipolar disorder. The Lancet </w:t>
          </w:r>
          <w:r>
            <w:rPr>
              <w:rFonts w:eastAsia="Times New Roman"/>
              <w:i/>
              <w:iCs/>
            </w:rPr>
            <w:t>359</w:t>
          </w:r>
          <w:r>
            <w:rPr>
              <w:rFonts w:eastAsia="Times New Roman"/>
            </w:rPr>
            <w:t>, 241–247.</w:t>
          </w:r>
        </w:p>
        <w:p w14:paraId="537755FA" w14:textId="77777777" w:rsidR="007E4161" w:rsidRDefault="007E4161">
          <w:pPr>
            <w:bidi w:val="0"/>
            <w:divId w:val="1833790255"/>
            <w:rPr>
              <w:rFonts w:eastAsia="Times New Roman"/>
            </w:rPr>
          </w:pPr>
          <w:r>
            <w:rPr>
              <w:rFonts w:eastAsia="Times New Roman"/>
            </w:rPr>
            <w:t xml:space="preserve">Rowland, T.A., and Marwaha, S. (2018). Epidemiology and risk factors for bipolar disorder. Therapeutic Advances in Psychopharmacology </w:t>
          </w:r>
          <w:r>
            <w:rPr>
              <w:rFonts w:eastAsia="Times New Roman"/>
              <w:i/>
              <w:iCs/>
            </w:rPr>
            <w:t>8</w:t>
          </w:r>
          <w:r>
            <w:rPr>
              <w:rFonts w:eastAsia="Times New Roman"/>
            </w:rPr>
            <w:t>, 251–269.</w:t>
          </w:r>
        </w:p>
        <w:p w14:paraId="2305814D" w14:textId="242A3C27" w:rsidR="0011559E" w:rsidRPr="00C80C12" w:rsidRDefault="007E4161" w:rsidP="00C80C12">
          <w:pPr>
            <w:bidi w:val="0"/>
            <w:divId w:val="661858771"/>
            <w:rPr>
              <w:rFonts w:eastAsia="Times New Roman"/>
              <w:rtl/>
            </w:rPr>
          </w:pPr>
          <w:r>
            <w:rPr>
              <w:rFonts w:eastAsia="Times New Roman"/>
            </w:rPr>
            <w:t> </w:t>
          </w:r>
        </w:p>
      </w:sdtContent>
    </w:sdt>
    <w:sectPr w:rsidR="0011559E" w:rsidRPr="00C80C12" w:rsidSect="00BB2614">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1"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2"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FE69" w14:textId="77777777" w:rsidR="00FB606D" w:rsidRDefault="00FB606D" w:rsidP="00F45306">
      <w:pPr>
        <w:spacing w:after="0" w:line="240" w:lineRule="auto"/>
      </w:pPr>
      <w:r>
        <w:separator/>
      </w:r>
    </w:p>
  </w:endnote>
  <w:endnote w:type="continuationSeparator" w:id="0">
    <w:p w14:paraId="6707285B" w14:textId="77777777" w:rsidR="00FB606D" w:rsidRDefault="00FB606D"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33733" w14:textId="77777777" w:rsidR="00FB606D" w:rsidRDefault="00FB606D" w:rsidP="00F45306">
      <w:pPr>
        <w:spacing w:after="0" w:line="240" w:lineRule="auto"/>
      </w:pPr>
      <w:r>
        <w:separator/>
      </w:r>
    </w:p>
  </w:footnote>
  <w:footnote w:type="continuationSeparator" w:id="0">
    <w:p w14:paraId="225DED90" w14:textId="77777777" w:rsidR="00FB606D" w:rsidRDefault="00FB606D" w:rsidP="00F4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E2AE1"/>
    <w:rsid w:val="0011559E"/>
    <w:rsid w:val="00156F97"/>
    <w:rsid w:val="001B18CD"/>
    <w:rsid w:val="001D1D9C"/>
    <w:rsid w:val="00224A59"/>
    <w:rsid w:val="002474E7"/>
    <w:rsid w:val="002773A3"/>
    <w:rsid w:val="00283096"/>
    <w:rsid w:val="00295B41"/>
    <w:rsid w:val="002A35EA"/>
    <w:rsid w:val="002C2687"/>
    <w:rsid w:val="002E10F1"/>
    <w:rsid w:val="003131FB"/>
    <w:rsid w:val="00383827"/>
    <w:rsid w:val="003B0E0A"/>
    <w:rsid w:val="004132B9"/>
    <w:rsid w:val="004405EC"/>
    <w:rsid w:val="00565C5A"/>
    <w:rsid w:val="00566F9A"/>
    <w:rsid w:val="005812D5"/>
    <w:rsid w:val="00651A4B"/>
    <w:rsid w:val="007369DA"/>
    <w:rsid w:val="007B111A"/>
    <w:rsid w:val="007C0C3C"/>
    <w:rsid w:val="007C16B5"/>
    <w:rsid w:val="007E4161"/>
    <w:rsid w:val="007E58B4"/>
    <w:rsid w:val="00817085"/>
    <w:rsid w:val="00927AE2"/>
    <w:rsid w:val="009F4060"/>
    <w:rsid w:val="00A01F76"/>
    <w:rsid w:val="00A44E49"/>
    <w:rsid w:val="00A50CCD"/>
    <w:rsid w:val="00AB2045"/>
    <w:rsid w:val="00AB3461"/>
    <w:rsid w:val="00AB4AC0"/>
    <w:rsid w:val="00AB5E0C"/>
    <w:rsid w:val="00AC0779"/>
    <w:rsid w:val="00AE3331"/>
    <w:rsid w:val="00B123EE"/>
    <w:rsid w:val="00B30D34"/>
    <w:rsid w:val="00B407E3"/>
    <w:rsid w:val="00BB2614"/>
    <w:rsid w:val="00BB4F88"/>
    <w:rsid w:val="00BD6692"/>
    <w:rsid w:val="00C108CA"/>
    <w:rsid w:val="00C5703B"/>
    <w:rsid w:val="00C7268F"/>
    <w:rsid w:val="00C80C12"/>
    <w:rsid w:val="00CB2DBA"/>
    <w:rsid w:val="00D36C09"/>
    <w:rsid w:val="00D64E6E"/>
    <w:rsid w:val="00DB4B81"/>
    <w:rsid w:val="00DD0BC3"/>
    <w:rsid w:val="00E4459F"/>
    <w:rsid w:val="00E64D44"/>
    <w:rsid w:val="00EA1F62"/>
    <w:rsid w:val="00EB13C4"/>
    <w:rsid w:val="00F23523"/>
    <w:rsid w:val="00F45306"/>
    <w:rsid w:val="00F6011E"/>
    <w:rsid w:val="00F64EAA"/>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3615B"/>
    <w:rsid w:val="001A72A1"/>
    <w:rsid w:val="004613B7"/>
    <w:rsid w:val="005F4D2C"/>
    <w:rsid w:val="00630CF4"/>
    <w:rsid w:val="006D10B0"/>
    <w:rsid w:val="00B4204A"/>
    <w:rsid w:val="00B72A69"/>
    <w:rsid w:val="00BC2057"/>
    <w:rsid w:val="00C64E86"/>
    <w:rsid w:val="00CE53C9"/>
    <w:rsid w:val="00CF292B"/>
    <w:rsid w:val="00DF5F6E"/>
    <w:rsid w:val="00E016AF"/>
    <w:rsid w:val="00ED73C7"/>
    <w:rsid w:val="00F10459"/>
    <w:rsid w:val="00FB02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04A"/>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7</Pages>
  <Words>848</Words>
  <Characters>4241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13</cp:revision>
  <dcterms:created xsi:type="dcterms:W3CDTF">2022-01-24T14:19:00Z</dcterms:created>
  <dcterms:modified xsi:type="dcterms:W3CDTF">2022-02-20T12:36:00Z</dcterms:modified>
</cp:coreProperties>
</file>