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7E85D580"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DA598D">
        <w:rPr>
          <w:rFonts w:asciiTheme="minorHAnsi" w:hAnsiTheme="minorHAnsi" w:cstheme="minorHAnsi"/>
        </w:rPr>
        <w:t xml:space="preserve">, we used </w:t>
      </w:r>
      <w:proofErr w:type="spellStart"/>
      <w:r w:rsidR="00DA598D">
        <w:rPr>
          <w:rFonts w:asciiTheme="minorHAnsi" w:hAnsiTheme="minorHAnsi" w:cstheme="minorHAnsi"/>
        </w:rPr>
        <w:t>xCell</w:t>
      </w:r>
      <w:proofErr w:type="spellEnd"/>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8A32C8" w:rsidRPr="008A32C8">
        <w:rPr>
          <w:rFonts w:asciiTheme="minorHAnsi" w:hAnsiTheme="minorHAnsi" w:cstheme="minorHAnsi"/>
        </w:rPr>
        <w:t>a few</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 xml:space="preserve">he </w:t>
      </w:r>
      <w:r w:rsidR="008A32C8" w:rsidRPr="008A32C8">
        <w:rPr>
          <w:rFonts w:asciiTheme="minorHAnsi" w:hAnsiTheme="minorHAnsi" w:cstheme="minorHAnsi"/>
        </w:rPr>
        <w:t>interferon alpha/gamma</w:t>
      </w:r>
      <w:r w:rsidR="00FE7D64" w:rsidRPr="008A32C8">
        <w:rPr>
          <w:rFonts w:asciiTheme="minorHAnsi" w:hAnsiTheme="minorHAnsi" w:cstheme="minorHAnsi"/>
        </w:rPr>
        <w:t xml:space="preserve"> </w:t>
      </w:r>
      <w:r w:rsidR="008A32C8" w:rsidRPr="008A32C8">
        <w:rPr>
          <w:rFonts w:asciiTheme="minorHAnsi" w:hAnsiTheme="minorHAnsi" w:cstheme="minorHAnsi"/>
        </w:rPr>
        <w:t>proteins</w:t>
      </w:r>
      <w:r w:rsidR="00FE7D64" w:rsidRPr="008A32C8">
        <w:rPr>
          <w:rFonts w:asciiTheme="minorHAnsi" w:hAnsiTheme="minorHAnsi" w:cstheme="minorHAnsi"/>
        </w:rPr>
        <w:t xml:space="preserve"> and the </w:t>
      </w:r>
      <w:r w:rsidR="008A32C8" w:rsidRPr="008A32C8">
        <w:rPr>
          <w:rFonts w:asciiTheme="minorHAnsi" w:hAnsiTheme="minorHAnsi" w:cstheme="minorHAnsi"/>
        </w:rPr>
        <w:t>hypoxia pathway</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6680CE9D"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multicomponent</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Pr="00A64ADA">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Miklowitz</w:t>
          </w:r>
          <w:proofErr w:type="spellEnd"/>
          <w:r w:rsidRPr="00A64ADA">
            <w:rPr>
              <w:rFonts w:asciiTheme="minorHAnsi" w:hAnsiTheme="minorHAnsi" w:cstheme="minorHAnsi"/>
              <w:color w:val="000000"/>
            </w:rPr>
            <w:t>, 2008; Müller-</w:t>
          </w:r>
          <w:proofErr w:type="spellStart"/>
          <w:r w:rsidRPr="00A64ADA">
            <w:rPr>
              <w:rFonts w:asciiTheme="minorHAnsi" w:hAnsiTheme="minorHAnsi" w:cstheme="minorHAnsi"/>
              <w:color w:val="000000"/>
            </w:rPr>
            <w:t>Oerlinghausen</w:t>
          </w:r>
          <w:proofErr w:type="spellEnd"/>
          <w:r w:rsidRPr="00A64ADA">
            <w:rPr>
              <w:rFonts w:asciiTheme="minorHAnsi" w:hAnsiTheme="minorHAnsi" w:cstheme="minorHAnsi"/>
              <w:color w:val="000000"/>
            </w:rPr>
            <w:t xml:space="preserve"> et al., 2002).</w:t>
          </w:r>
        </w:sdtContent>
      </w:sdt>
      <w:r>
        <w:rPr>
          <w:rFonts w:asciiTheme="minorHAnsi" w:hAnsiTheme="minorHAnsi" w:cstheme="minorHAnsi"/>
          <w:color w:val="000000"/>
        </w:rPr>
        <w:t xml:space="preserve"> We tend to classify BD into 3 subtypes: </w:t>
      </w:r>
      <w:r>
        <w:rPr>
          <w:rFonts w:asciiTheme="minorHAnsi" w:hAnsiTheme="minorHAnsi" w:cstheme="minorHAnsi"/>
        </w:rPr>
        <w:t xml:space="preserve">BD I which includes manic episodes, BD II which includes 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which is consistent of </w:t>
      </w:r>
      <w:proofErr w:type="spellStart"/>
      <w:r w:rsidRPr="00817085">
        <w:rPr>
          <w:rFonts w:asciiTheme="minorHAnsi" w:hAnsiTheme="minorHAnsi" w:cstheme="minorHAnsi"/>
        </w:rPr>
        <w:t>hypomanias</w:t>
      </w:r>
      <w:proofErr w:type="spellEnd"/>
      <w:r w:rsidRPr="00817085">
        <w:rPr>
          <w:rFonts w:asciiTheme="minorHAnsi" w:hAnsiTheme="minorHAnsi" w:cstheme="minorHAnsi"/>
        </w:rPr>
        <w:t xml:space="preserve">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Cerimele</w:t>
          </w:r>
          <w:proofErr w:type="spellEnd"/>
          <w:r w:rsidRPr="00A64ADA">
            <w:rPr>
              <w:rFonts w:asciiTheme="minorHAnsi" w:hAnsiTheme="minorHAnsi" w:cstheme="minorHAnsi"/>
              <w:color w:val="000000"/>
            </w:rPr>
            <w:t xml:space="preserve"> et al., 2014).</w:t>
          </w:r>
        </w:sdtContent>
      </w:sdt>
    </w:p>
    <w:p w14:paraId="35ABF8F9" w14:textId="0023166A" w:rsidR="003F5A04" w:rsidRPr="001D1D9C" w:rsidRDefault="003F5A04"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recently,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t>
      </w:r>
      <w:sdt>
        <w:sdtPr>
          <w:rPr>
            <w:rFonts w:asciiTheme="minorHAnsi" w:hAnsiTheme="minorHAnsi" w:cstheme="minorHAnsi"/>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Pr="00B63F26">
            <w:rPr>
              <w:rFonts w:asciiTheme="minorHAnsi" w:hAnsiTheme="minorHAnsi" w:cstheme="minorHAnsi"/>
            </w:rPr>
            <w:t>(Moreno et al., 2007).</w:t>
          </w:r>
        </w:sdtContent>
      </w:sdt>
      <w:r>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Pr="00A64ADA">
            <w:rPr>
              <w:rFonts w:asciiTheme="minorHAnsi" w:hAnsiTheme="minorHAnsi" w:cstheme="minorHAnsi"/>
              <w:color w:val="000000"/>
            </w:rPr>
            <w:t>(Aziz et al., 2006).</w:t>
          </w:r>
        </w:sdtContent>
      </w:sdt>
      <w:r>
        <w:rPr>
          <w:rFonts w:asciiTheme="minorHAnsi" w:hAnsiTheme="minorHAnsi" w:cstheme="minorHAnsi"/>
          <w:color w:val="000000"/>
        </w:rPr>
        <w:t xml:space="preserve"> </w:t>
      </w:r>
      <w:r>
        <w:rPr>
          <w:rFonts w:asciiTheme="minorHAnsi" w:hAnsiTheme="minorHAnsi" w:cstheme="minorHAnsi" w:hint="cs"/>
          <w:color w:val="000000"/>
        </w:rPr>
        <w:t>W</w:t>
      </w:r>
      <w:r>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Pr="00A64ADA">
            <w:rPr>
              <w:rFonts w:asciiTheme="minorHAnsi" w:hAnsiTheme="minorHAnsi" w:cstheme="minorHAnsi"/>
              <w:color w:val="000000"/>
            </w:rPr>
            <w:t>(Miller and Black, 2020).</w:t>
          </w:r>
        </w:sdtContent>
      </w:sdt>
      <w:r>
        <w:rPr>
          <w:rFonts w:asciiTheme="minorHAnsi" w:hAnsiTheme="minorHAnsi" w:cstheme="minorHAnsi"/>
          <w:color w:val="000000"/>
        </w:rPr>
        <w:t xml:space="preserve"> It is unclear what is the lifetime prevalence of people who are on the bipolar spectrum (suffer from one of the 3 BD subtypes mentioned before)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Cerimele</w:t>
          </w:r>
          <w:proofErr w:type="spellEnd"/>
          <w:r w:rsidRPr="00A64ADA">
            <w:rPr>
              <w:rFonts w:asciiTheme="minorHAnsi" w:hAnsiTheme="minorHAnsi" w:cstheme="minorHAnsi"/>
              <w:color w:val="000000"/>
            </w:rPr>
            <w:t xml:space="preserve"> et al., 2014).</w:t>
          </w:r>
        </w:sdtContent>
      </w:sdt>
    </w:p>
    <w:p w14:paraId="217B42AC"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Pr="00A64ADA">
            <w:rPr>
              <w:rFonts w:asciiTheme="minorHAnsi" w:hAnsiTheme="minorHAnsi" w:cstheme="minorHAnsi"/>
              <w:color w:val="000000"/>
            </w:rPr>
            <w:t>(Müller-</w:t>
          </w:r>
          <w:proofErr w:type="spellStart"/>
          <w:r w:rsidRPr="00A64ADA">
            <w:rPr>
              <w:rFonts w:asciiTheme="minorHAnsi" w:hAnsiTheme="minorHAnsi" w:cstheme="minorHAnsi"/>
              <w:color w:val="000000"/>
            </w:rPr>
            <w:t>Oerlinghausen</w:t>
          </w:r>
          <w:proofErr w:type="spellEnd"/>
          <w:r w:rsidRPr="00A64ADA">
            <w:rPr>
              <w:rFonts w:asciiTheme="minorHAnsi" w:hAnsiTheme="minorHAnsi" w:cstheme="minorHAnsi"/>
              <w:color w:val="000000"/>
            </w:rPr>
            <w:t xml:space="preserve"> et al., 2002)</w:t>
          </w:r>
        </w:sdtContent>
      </w:sdt>
      <w:r>
        <w:rPr>
          <w:rFonts w:asciiTheme="minorHAnsi" w:hAnsiTheme="minorHAnsi" w:cstheme="minorHAnsi"/>
        </w:rPr>
        <w:t xml:space="preserve">. </w:t>
      </w:r>
    </w:p>
    <w:p w14:paraId="10B98EA3" w14:textId="77777777"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As we have established before, the BD portrays a real and severe threat on a variety of people in different ages, hence, it is of great importance for us to develop new ways of identifying patients before they experience an outbreak.</w:t>
      </w:r>
    </w:p>
    <w:p w14:paraId="39A1C800" w14:textId="77777777" w:rsidR="003F5A04" w:rsidRPr="007C16B5" w:rsidRDefault="003F5A04" w:rsidP="003F5A04">
      <w:pPr>
        <w:pStyle w:val="NormalWeb"/>
        <w:spacing w:before="0" w:beforeAutospacing="0" w:after="0" w:afterAutospacing="0" w:line="360" w:lineRule="auto"/>
        <w:rPr>
          <w:rFonts w:asciiTheme="minorHAnsi" w:hAnsiTheme="minorHAnsi" w:cstheme="minorHAnsi"/>
        </w:rPr>
      </w:pPr>
    </w:p>
    <w:p w14:paraId="0E82781A" w14:textId="73EE52EB"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 BD I is diagnosed based on one manic episode, BD II is diagnosed based on depressive and </w:t>
      </w:r>
      <w:r>
        <w:rPr>
          <w:rFonts w:asciiTheme="minorHAnsi" w:hAnsiTheme="minorHAnsi" w:cstheme="minorHAnsi"/>
        </w:rPr>
        <w:lastRenderedPageBreak/>
        <w:t>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 However, it is </w:t>
      </w:r>
      <w:r w:rsidR="007E6E1E">
        <w:rPr>
          <w:rFonts w:asciiTheme="minorHAnsi" w:hAnsiTheme="minorHAnsi" w:cstheme="minorHAnsi"/>
        </w:rPr>
        <w:t xml:space="preserve">also </w:t>
      </w:r>
      <w:r>
        <w:rPr>
          <w:rFonts w:asciiTheme="minorHAnsi" w:hAnsiTheme="minorHAnsi" w:cstheme="minorHAnsi"/>
        </w:rPr>
        <w:t xml:space="preserve">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also extremely challenging to come to proper findings because of the insufficient sample sizes of the 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Pr="00A64ADA">
            <w:rPr>
              <w:rFonts w:asciiTheme="minorHAnsi" w:hAnsiTheme="minorHAnsi" w:cstheme="minorHAnsi"/>
              <w:color w:val="000000"/>
            </w:rPr>
            <w:t>(Medeiros and Goes, 2022).</w:t>
          </w:r>
        </w:sdtContent>
      </w:sdt>
    </w:p>
    <w:p w14:paraId="3E463797" w14:textId="4A2AF168"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w:t>
      </w:r>
      <w:proofErr w:type="gramStart"/>
      <w:r>
        <w:rPr>
          <w:rFonts w:asciiTheme="minorHAnsi" w:hAnsiTheme="minorHAnsi" w:cstheme="minorHAnsi"/>
        </w:rPr>
        <w:t>first of all</w:t>
      </w:r>
      <w:proofErr w:type="gramEnd"/>
      <w:r>
        <w:rPr>
          <w:rFonts w:asciiTheme="minorHAnsi" w:hAnsiTheme="minorHAnsi" w:cstheme="minorHAnsi"/>
        </w:rPr>
        <w:t xml:space="preserve">, it is unknown how to diagnose patients with BD based on biological methods besides tracking down their family history in order to identify potential risks of having BD which is a tedious and inaccurate method. In addition,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Pr="00A64ADA">
            <w:rPr>
              <w:rFonts w:asciiTheme="minorHAnsi" w:hAnsiTheme="minorHAnsi" w:cstheme="minorHAnsi"/>
              <w:color w:val="000000"/>
            </w:rPr>
            <w:t xml:space="preserve">(Frey et al., 2013; </w:t>
          </w:r>
          <w:proofErr w:type="spellStart"/>
          <w:r w:rsidRPr="00A64ADA">
            <w:rPr>
              <w:rFonts w:asciiTheme="minorHAnsi" w:hAnsiTheme="minorHAnsi" w:cstheme="minorHAnsi"/>
              <w:color w:val="000000"/>
            </w:rPr>
            <w:t>Salagre</w:t>
          </w:r>
          <w:proofErr w:type="spellEnd"/>
          <w:r w:rsidRPr="00A64ADA">
            <w:rPr>
              <w:rFonts w:asciiTheme="minorHAnsi" w:hAnsiTheme="minorHAnsi" w:cstheme="minorHAnsi"/>
              <w:color w:val="000000"/>
            </w:rPr>
            <w:t xml:space="preserv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Salagre</w:t>
          </w:r>
          <w:proofErr w:type="spellEnd"/>
          <w:r w:rsidRPr="00A64ADA">
            <w:rPr>
              <w:rFonts w:asciiTheme="minorHAnsi" w:hAnsiTheme="minorHAnsi" w:cstheme="minorHAnsi"/>
              <w:color w:val="000000"/>
            </w:rPr>
            <w:t xml:space="preserve"> and Vieta, 2022)</w:t>
          </w:r>
        </w:sdtContent>
      </w:sdt>
      <w:r>
        <w:rPr>
          <w:rFonts w:asciiTheme="minorHAnsi" w:hAnsiTheme="minorHAnsi" w:cstheme="minorHAnsi"/>
        </w:rPr>
        <w:t>.</w:t>
      </w:r>
    </w:p>
    <w:p w14:paraId="26CF73E6"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 are the main reasons for the challenges we have been facing regarding BD.</w:t>
      </w:r>
    </w:p>
    <w:p w14:paraId="7F9E0270" w14:textId="77777777" w:rsidR="003F5A04" w:rsidRPr="007C16B5" w:rsidRDefault="003F5A04" w:rsidP="003F5A04">
      <w:pPr>
        <w:pStyle w:val="NormalWeb"/>
        <w:spacing w:before="0" w:beforeAutospacing="0" w:after="0" w:afterAutospacing="0" w:line="360" w:lineRule="auto"/>
        <w:rPr>
          <w:rFonts w:asciiTheme="minorHAnsi" w:hAnsiTheme="minorHAnsi" w:cstheme="minorHAnsi"/>
          <w:rtl/>
        </w:rPr>
      </w:pPr>
    </w:p>
    <w:p w14:paraId="6BD07241" w14:textId="23F2ACE8"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Pr="00A64ADA">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Pr="00A64ADA">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Pr="00A64ADA">
            <w:rPr>
              <w:rFonts w:asciiTheme="minorHAnsi" w:hAnsiTheme="minorHAnsi" w:cstheme="minorHAnsi"/>
              <w:color w:val="000000"/>
            </w:rPr>
            <w:t>(Kim et al., 2021; Yang et al., 2021).</w:t>
          </w:r>
        </w:sdtContent>
      </w:sdt>
    </w:p>
    <w:p w14:paraId="36BC1349" w14:textId="77777777"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helps identifying </w:t>
      </w:r>
      <w:r>
        <w:rPr>
          <w:rFonts w:asciiTheme="minorHAnsi" w:hAnsiTheme="minorHAnsi" w:cstheme="minorHAnsi"/>
        </w:rPr>
        <w:lastRenderedPageBreak/>
        <w:t xml:space="preserve">significant SNPs (Single Nucleotide Polymorphisms) that are associated with this illness. It is also common to use PRS (polygenic risk scores) – which, in general, are the summation of all the individual's alleles that are associated with the phenotype (in this context, the phenotype is bipolar disorder), weighted by the size of their effect on it – which provides a way to approximate how well a patient will respond to a clinical treatment. Another useful method is WES (whole-exome sequencing) which helps identifying rare variants in genes and brain-related pathways. Finally, there is WGS (whole-genome sequencing)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Pr="00A64ADA">
            <w:rPr>
              <w:rFonts w:asciiTheme="minorHAnsi" w:hAnsiTheme="minorHAnsi" w:cstheme="minorHAnsi"/>
              <w:color w:val="000000"/>
            </w:rPr>
            <w:t>(</w:t>
          </w:r>
          <w:proofErr w:type="spellStart"/>
          <w:r w:rsidRPr="00A64ADA">
            <w:rPr>
              <w:rFonts w:asciiTheme="minorHAnsi" w:hAnsiTheme="minorHAnsi" w:cstheme="minorHAnsi"/>
              <w:color w:val="000000"/>
            </w:rPr>
            <w:t>Oraki</w:t>
          </w:r>
          <w:proofErr w:type="spellEnd"/>
          <w:r w:rsidRPr="00A64ADA">
            <w:rPr>
              <w:rFonts w:asciiTheme="minorHAnsi" w:hAnsiTheme="minorHAnsi" w:cstheme="minorHAnsi"/>
              <w:color w:val="000000"/>
            </w:rPr>
            <w:t xml:space="preserve"> </w:t>
          </w:r>
          <w:proofErr w:type="spellStart"/>
          <w:r w:rsidRPr="00A64ADA">
            <w:rPr>
              <w:rFonts w:asciiTheme="minorHAnsi" w:hAnsiTheme="minorHAnsi" w:cstheme="minorHAnsi"/>
              <w:color w:val="000000"/>
            </w:rPr>
            <w:t>Kohshour</w:t>
          </w:r>
          <w:proofErr w:type="spellEnd"/>
          <w:r w:rsidRPr="00A64ADA">
            <w:rPr>
              <w:rFonts w:asciiTheme="minorHAnsi" w:hAnsiTheme="minorHAnsi" w:cstheme="minorHAnsi"/>
              <w:color w:val="000000"/>
            </w:rPr>
            <w:t xml:space="preserve">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w:t>
      </w:r>
      <w:proofErr w:type="spellStart"/>
      <w:r w:rsidRPr="00392995">
        <w:rPr>
          <w:rFonts w:asciiTheme="minorHAnsi" w:hAnsiTheme="minorHAnsi" w:cstheme="minorHAnsi"/>
        </w:rPr>
        <w:t>Akula</w:t>
      </w:r>
      <w:proofErr w:type="spellEnd"/>
      <w:r w:rsidRPr="00392995">
        <w:rPr>
          <w:rFonts w:asciiTheme="minorHAnsi" w:hAnsiTheme="minorHAnsi" w:cstheme="minorHAnsi"/>
        </w:rPr>
        <w:t xml:space="preserve"> et al., 2014; Hu et al., 2016)</w:t>
      </w:r>
      <w:r>
        <w:rPr>
          <w:rFonts w:asciiTheme="minorHAnsi" w:hAnsiTheme="minorHAnsi" w:cstheme="minorHAnsi"/>
        </w:rPr>
        <w:t xml:space="preserve"> </w:t>
      </w:r>
      <w:proofErr w:type="gramStart"/>
      <w:r>
        <w:rPr>
          <w:rFonts w:asciiTheme="minorHAnsi" w:hAnsiTheme="minorHAnsi" w:cstheme="minorHAnsi"/>
        </w:rPr>
        <w:t>in order to</w:t>
      </w:r>
      <w:proofErr w:type="gramEnd"/>
      <w:r>
        <w:rPr>
          <w:rFonts w:asciiTheme="minorHAnsi" w:hAnsiTheme="minorHAnsi" w:cstheme="minorHAnsi"/>
        </w:rPr>
        <w:t xml:space="preserve">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69BBB47F" w14:textId="73AA3991" w:rsidR="003F5A04" w:rsidRDefault="003F5A04" w:rsidP="003F5A04">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p>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02161C">
        <w:rPr>
          <w:rFonts w:asciiTheme="minorHAnsi" w:hAnsiTheme="minorHAnsi" w:cstheme="minorHAnsi"/>
          <w:highlight w:val="yellow"/>
        </w:rPr>
        <w:t>Those two findings show us very clearly that biomarkers for BD do exist and</w:t>
      </w:r>
      <w:r w:rsidR="00B66D5C" w:rsidRPr="0002161C">
        <w:rPr>
          <w:rFonts w:asciiTheme="minorHAnsi" w:hAnsiTheme="minorHAnsi" w:cstheme="minorHAnsi"/>
          <w:highlight w:val="yellow"/>
        </w:rPr>
        <w:t xml:space="preserve"> that</w:t>
      </w:r>
      <w:r w:rsidRPr="0002161C">
        <w:rPr>
          <w:rFonts w:asciiTheme="minorHAnsi" w:hAnsiTheme="minorHAnsi" w:cstheme="minorHAnsi"/>
          <w:highlight w:val="yellow"/>
        </w:rPr>
        <w:t xml:space="preserve"> they are not even hard to find</w:t>
      </w:r>
      <w:r>
        <w:rPr>
          <w:rFonts w:asciiTheme="minorHAnsi" w:hAnsiTheme="minorHAnsi" w:cstheme="minorHAnsi"/>
        </w:rPr>
        <w:t>.</w:t>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5" type="#_x0000_t75" style="width:218.55pt;height:133.7pt" o:ole="">
                  <v:imagedata r:id="rId10" o:title=""/>
                </v:shape>
                <o:OLEObject Type="Embed" ProgID="Paint.Picture" ShapeID="_x0000_i1865" DrawAspect="Content" ObjectID="_1709210066"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866" type="#_x0000_t75" style="width:215.15pt;height:132.85pt" o:ole="">
                  <v:imagedata r:id="rId12" o:title=""/>
                </v:shape>
                <o:OLEObject Type="Embed" ProgID="Paint.Picture" ShapeID="_x0000_i1866" DrawAspect="Content" ObjectID="_1709210067"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867" type="#_x0000_t75" style="width:3in;height:133.7pt" o:ole="">
                  <v:imagedata r:id="rId14" o:title=""/>
                </v:shape>
                <o:OLEObject Type="Embed" ProgID="Paint.Picture" ShapeID="_x0000_i1867" DrawAspect="Content" ObjectID="_1709210068"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868" type="#_x0000_t75" style="width:218.55pt;height:135.45pt" o:ole="">
                  <v:imagedata r:id="rId16" o:title=""/>
                </v:shape>
                <o:OLEObject Type="Embed" ProgID="Paint.Picture" ShapeID="_x0000_i1868" DrawAspect="Content" ObjectID="_1709210069"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869" type="#_x0000_t75" style="width:218.55pt;height:135.45pt" o:ole="">
                  <v:imagedata r:id="rId18" o:title=""/>
                </v:shape>
                <o:OLEObject Type="Embed" ProgID="Paint.Picture" ShapeID="_x0000_i1869" DrawAspect="Content" ObjectID="_1709210070"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870" type="#_x0000_t75" style="width:218.55pt;height:135.45pt" o:ole="">
                  <v:imagedata r:id="rId20" o:title=""/>
                </v:shape>
                <o:OLEObject Type="Embed" ProgID="Paint.Picture" ShapeID="_x0000_i1870" DrawAspect="Content" ObjectID="_1709210071"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871" type="#_x0000_t75" style="width:222pt;height:136.3pt" o:ole="">
                  <v:imagedata r:id="rId22" o:title=""/>
                </v:shape>
                <o:OLEObject Type="Embed" ProgID="Paint.Picture" ShapeID="_x0000_i1871" DrawAspect="Content" ObjectID="_1709210072"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872" type="#_x0000_t75" style="width:208.3pt;height:127.7pt" o:ole="">
                  <v:imagedata r:id="rId24" o:title=""/>
                </v:shape>
                <o:OLEObject Type="Embed" ProgID="Paint.Picture" ShapeID="_x0000_i1872" DrawAspect="Content" ObjectID="_1709210073"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873" type="#_x0000_t75" style="width:211.7pt;height:131.15pt" o:ole="">
                  <v:imagedata r:id="rId26" o:title=""/>
                </v:shape>
                <o:OLEObject Type="Embed" ProgID="Paint.Picture" ShapeID="_x0000_i1873" DrawAspect="Content" ObjectID="_1709210074"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874" type="#_x0000_t75" style="width:209.15pt;height:130.3pt" o:ole="">
                  <v:imagedata r:id="rId28" o:title=""/>
                </v:shape>
                <o:OLEObject Type="Embed" ProgID="Paint.Picture" ShapeID="_x0000_i1874" DrawAspect="Content" ObjectID="_1709210075"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875" type="#_x0000_t75" style="width:211.7pt;height:131.15pt" o:ole="">
                  <v:imagedata r:id="rId30" o:title=""/>
                </v:shape>
                <o:OLEObject Type="Embed" ProgID="Paint.Picture" ShapeID="_x0000_i1875" DrawAspect="Content" ObjectID="_1709210076"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876" type="#_x0000_t75" style="width:210pt;height:130.3pt" o:ole="">
                  <v:imagedata r:id="rId32" o:title=""/>
                </v:shape>
                <o:OLEObject Type="Embed" ProgID="Paint.Picture" ShapeID="_x0000_i1876" DrawAspect="Content" ObjectID="_1709210077"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877" type="#_x0000_t75" style="width:211.7pt;height:131.15pt" o:ole="">
                  <v:imagedata r:id="rId34" o:title=""/>
                </v:shape>
                <o:OLEObject Type="Embed" ProgID="Paint.Picture" ShapeID="_x0000_i1877" DrawAspect="Content" ObjectID="_1709210078"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878" type="#_x0000_t75" style="width:211.7pt;height:131.15pt" o:ole="">
                  <v:imagedata r:id="rId36" o:title=""/>
                </v:shape>
                <o:OLEObject Type="Embed" ProgID="Paint.Picture" ShapeID="_x0000_i1878" DrawAspect="Content" ObjectID="_1709210079"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879" type="#_x0000_t75" style="width:214.3pt;height:132pt" o:ole="">
                  <v:imagedata r:id="rId38" o:title=""/>
                </v:shape>
                <o:OLEObject Type="Embed" ProgID="Paint.Picture" ShapeID="_x0000_i1879" DrawAspect="Content" ObjectID="_1709210080" r:id="rId39"/>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037F8EC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 xml:space="preserve">(Aravind et al., 2005; </w:t>
          </w:r>
          <w:proofErr w:type="spellStart"/>
          <w:r w:rsidR="00BE5560" w:rsidRPr="00BE5560">
            <w:rPr>
              <w:rFonts w:asciiTheme="minorHAnsi" w:hAnsiTheme="minorHAnsi" w:cstheme="minorHAnsi"/>
              <w:color w:val="000000"/>
            </w:rPr>
            <w:t>Mootha</w:t>
          </w:r>
          <w:proofErr w:type="spellEnd"/>
          <w:r w:rsidR="00BE5560" w:rsidRPr="00BE5560">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0B6A1C5D"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p>
    <w:p w14:paraId="64647C3C" w14:textId="5F5B7043" w:rsidR="005D5832" w:rsidRDefault="005D5832">
      <w:pPr>
        <w:bidi w:val="0"/>
        <w:rPr>
          <w:rFonts w:eastAsia="Times New Roman" w:cstheme="minorHAnsi"/>
          <w:sz w:val="24"/>
          <w:szCs w:val="24"/>
        </w:rPr>
      </w:pPr>
      <w:r>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 xml:space="preserve">did not expect it to work out because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is trained by a reference which is made mostly by immune cells.</w:t>
      </w:r>
      <w:r w:rsidR="008226E3">
        <w:rPr>
          <w:rFonts w:asciiTheme="minorHAnsi" w:hAnsiTheme="minorHAnsi" w:cstheme="minorHAnsi"/>
        </w:rPr>
        <w:t xml:space="preserve"> To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46C42572"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cells are dividing the population according to an unknown factor (e.g. sex, age, ethnic</w:t>
      </w:r>
      <w:r w:rsidR="00D16327">
        <w:rPr>
          <w:rFonts w:asciiTheme="minorHAnsi" w:hAnsiTheme="minorHAnsi" w:cstheme="minorHAnsi"/>
        </w:rPr>
        <w:t>ity, etc.)</w:t>
      </w:r>
      <w:r w:rsidR="00E17213">
        <w:rPr>
          <w:rFonts w:asciiTheme="minorHAnsi" w:hAnsiTheme="minorHAnsi" w:cstheme="minorHAnsi"/>
        </w:rPr>
        <w:t>, that the division is successful but based on different parameters than we have expected hance seems wrong</w:t>
      </w:r>
      <w:r w:rsidR="00D16327">
        <w:rPr>
          <w:rFonts w:asciiTheme="minorHAnsi" w:hAnsiTheme="minorHAnsi" w:cstheme="minorHAnsi"/>
        </w:rPr>
        <w:t xml:space="preserve"> or perhaps that</w:t>
      </w:r>
      <w:r>
        <w:rPr>
          <w:rFonts w:asciiTheme="minorHAnsi" w:hAnsiTheme="minorHAnsi" w:cstheme="minorHAnsi"/>
        </w:rPr>
        <w:t xml:space="preserve">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w:t>
      </w:r>
      <w:r w:rsidRPr="00E30F64">
        <w:rPr>
          <w:rFonts w:asciiTheme="minorHAnsi" w:hAnsiTheme="minorHAnsi" w:cstheme="minorHAnsi"/>
        </w:rPr>
        <w:lastRenderedPageBreak/>
        <w:t xml:space="preserve">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40B994D6"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Haukvik</w:t>
          </w:r>
          <w:proofErr w:type="spellEnd"/>
          <w:r w:rsidR="00BE5560" w:rsidRPr="00BE556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Iancu</w:t>
          </w:r>
          <w:proofErr w:type="spellEnd"/>
          <w:r w:rsidR="00BE5560" w:rsidRPr="00BE5560">
            <w:rPr>
              <w:rFonts w:asciiTheme="minorHAnsi" w:hAnsiTheme="minorHAnsi" w:cstheme="minorHAnsi"/>
              <w:color w:val="000000"/>
            </w:rPr>
            <w:t xml:space="preserve">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0D245E56" w14:textId="728DB3A5" w:rsidR="00320853" w:rsidRDefault="00BE3AB3" w:rsidP="00BE5560">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2A479C" w14:textId="2F6C5D41" w:rsidR="005635CF" w:rsidRDefault="00BE5560"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 xml:space="preserve">we have used a limited number of samples and perhaps using a larger and wider range of samples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about both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w:t>
      </w:r>
      <w:r w:rsidR="00EB7305">
        <w:rPr>
          <w:rFonts w:asciiTheme="minorHAnsi" w:hAnsiTheme="minorHAnsi" w:cstheme="minorHAnsi"/>
        </w:rPr>
        <w:lastRenderedPageBreak/>
        <w:t xml:space="preserve">and about the rest of the specimens' phenotypes beside </w:t>
      </w:r>
      <w:r w:rsidR="00DB29B2">
        <w:rPr>
          <w:rFonts w:asciiTheme="minorHAnsi" w:hAnsiTheme="minorHAnsi" w:cstheme="minorHAnsi"/>
        </w:rPr>
        <w:t>their diagnosis.</w:t>
      </w:r>
      <w:r w:rsidR="005B4562">
        <w:rPr>
          <w:rFonts w:asciiTheme="minorHAnsi" w:hAnsiTheme="minorHAnsi" w:cstheme="minorHAnsi"/>
        </w:rPr>
        <w:t xml:space="preserve"> </w:t>
      </w:r>
      <w:proofErr w:type="gramStart"/>
      <w:r w:rsidR="005B4562">
        <w:rPr>
          <w:rFonts w:asciiTheme="minorHAnsi" w:hAnsiTheme="minorHAnsi" w:cstheme="minorHAnsi"/>
        </w:rPr>
        <w:t xml:space="preserve">Both of </w:t>
      </w:r>
      <w:r w:rsidR="002A3D9C">
        <w:rPr>
          <w:rFonts w:asciiTheme="minorHAnsi" w:hAnsiTheme="minorHAnsi" w:cstheme="minorHAnsi"/>
        </w:rPr>
        <w:t>these</w:t>
      </w:r>
      <w:proofErr w:type="gramEnd"/>
      <w:r w:rsidR="002A3D9C">
        <w:rPr>
          <w:rFonts w:asciiTheme="minorHAnsi" w:hAnsiTheme="minorHAnsi" w:cstheme="minorHAnsi"/>
        </w:rPr>
        <w:t xml:space="preserve"> 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w:t>
      </w:r>
      <w:proofErr w:type="gramStart"/>
      <w:r w:rsidR="00DB29B2">
        <w:rPr>
          <w:rFonts w:asciiTheme="minorHAnsi" w:hAnsiTheme="minorHAnsi" w:cstheme="minorHAnsi"/>
        </w:rPr>
        <w:t>all of</w:t>
      </w:r>
      <w:proofErr w:type="gramEnd"/>
      <w:r w:rsidR="00DB29B2">
        <w:rPr>
          <w:rFonts w:asciiTheme="minorHAnsi" w:hAnsiTheme="minorHAnsi" w:cstheme="minorHAnsi"/>
        </w:rPr>
        <w:t xml:space="preserve"> the samples have been accumulated from deceased </w:t>
      </w:r>
      <w:r w:rsidR="005B4562">
        <w:rPr>
          <w:rFonts w:asciiTheme="minorHAnsi" w:hAnsiTheme="minorHAnsi" w:cstheme="minorHAnsi"/>
        </w:rPr>
        <w:t>individuals so their cause of death and the death itself, might have affected their gene expressions.</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6967773F" w14:textId="77777777" w:rsidR="002A3D9C" w:rsidRDefault="00212C5A" w:rsidP="002A3D9C">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 xml:space="preserve">something we did not expect but could have a clinical value </w:t>
      </w:r>
      <w:proofErr w:type="gramStart"/>
      <w:r w:rsidR="00F47981">
        <w:rPr>
          <w:rFonts w:asciiTheme="minorHAnsi" w:hAnsiTheme="minorHAnsi" w:cstheme="minorHAnsi"/>
        </w:rPr>
        <w:t>in regard to</w:t>
      </w:r>
      <w:proofErr w:type="gramEnd"/>
      <w:r w:rsidR="00F47981">
        <w:rPr>
          <w:rFonts w:asciiTheme="minorHAnsi" w:hAnsiTheme="minorHAnsi" w:cstheme="minorHAnsi"/>
        </w:rPr>
        <w:t xml:space="preserve">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Moreover, when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proofErr w:type="spellStart"/>
          <w:r w:rsidRPr="00C364CD">
            <w:rPr>
              <w:rFonts w:eastAsia="Times New Roman"/>
              <w:sz w:val="24"/>
              <w:szCs w:val="24"/>
            </w:rPr>
            <w:t>Akula</w:t>
          </w:r>
          <w:proofErr w:type="spellEnd"/>
          <w:r w:rsidRPr="00C364CD">
            <w:rPr>
              <w:rFonts w:eastAsia="Times New Roman"/>
              <w:sz w:val="24"/>
              <w:szCs w:val="24"/>
            </w:rPr>
            <w:t xml:space="preserve">, N., Barb, J., Jiang, X., Wendland, J.R., Choi, K.H., Sen, S.K., Hou, L., Chen, D.T.W., </w:t>
          </w:r>
          <w:proofErr w:type="spellStart"/>
          <w:r w:rsidRPr="00C364CD">
            <w:rPr>
              <w:rFonts w:eastAsia="Times New Roman"/>
              <w:sz w:val="24"/>
              <w:szCs w:val="24"/>
            </w:rPr>
            <w:t>Laje</w:t>
          </w:r>
          <w:proofErr w:type="spellEnd"/>
          <w:r w:rsidRPr="00C364CD">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w:t>
          </w:r>
          <w:proofErr w:type="spellStart"/>
          <w:r w:rsidRPr="00C364CD">
            <w:rPr>
              <w:rFonts w:eastAsia="Times New Roman"/>
              <w:sz w:val="24"/>
              <w:szCs w:val="24"/>
            </w:rPr>
            <w:t>Gioia</w:t>
          </w:r>
          <w:proofErr w:type="spellEnd"/>
          <w:r w:rsidRPr="00C364CD">
            <w:rPr>
              <w:rFonts w:eastAsia="Times New Roman"/>
              <w:sz w:val="24"/>
              <w:szCs w:val="24"/>
            </w:rPr>
            <w:t xml:space="preserve">, D., </w:t>
          </w:r>
          <w:proofErr w:type="spellStart"/>
          <w:r w:rsidRPr="00C364CD">
            <w:rPr>
              <w:rFonts w:eastAsia="Times New Roman"/>
              <w:sz w:val="24"/>
              <w:szCs w:val="24"/>
            </w:rPr>
            <w:t>Gariglio</w:t>
          </w:r>
          <w:proofErr w:type="spellEnd"/>
          <w:r w:rsidRPr="00C364CD">
            <w:rPr>
              <w:rFonts w:eastAsia="Times New Roman"/>
              <w:sz w:val="24"/>
              <w:szCs w:val="24"/>
            </w:rPr>
            <w:t xml:space="preserve">, M., and </w:t>
          </w:r>
          <w:proofErr w:type="spellStart"/>
          <w:r w:rsidRPr="00C364CD">
            <w:rPr>
              <w:rFonts w:eastAsia="Times New Roman"/>
              <w:sz w:val="24"/>
              <w:szCs w:val="24"/>
            </w:rPr>
            <w:t>Landolfo</w:t>
          </w:r>
          <w:proofErr w:type="spellEnd"/>
          <w:r w:rsidRPr="00C364CD">
            <w:rPr>
              <w:rFonts w:eastAsia="Times New Roman"/>
              <w:sz w:val="24"/>
              <w:szCs w:val="24"/>
            </w:rPr>
            <w:t xml:space="preserve">, S. (2002). The interferon system: an overview. European Journal of </w:t>
          </w:r>
          <w:proofErr w:type="spellStart"/>
          <w:r w:rsidRPr="00C364CD">
            <w:rPr>
              <w:rFonts w:eastAsia="Times New Roman"/>
              <w:sz w:val="24"/>
              <w:szCs w:val="24"/>
            </w:rPr>
            <w:t>Paediatric</w:t>
          </w:r>
          <w:proofErr w:type="spellEnd"/>
          <w:r w:rsidRPr="00C364CD">
            <w:rPr>
              <w:rFonts w:eastAsia="Times New Roman"/>
              <w:sz w:val="24"/>
              <w:szCs w:val="24"/>
            </w:rPr>
            <w:t xml:space="preserve"> Neurology : EJPN : Official Journal of the European </w:t>
          </w:r>
          <w:proofErr w:type="spellStart"/>
          <w:r w:rsidRPr="00C364CD">
            <w:rPr>
              <w:rFonts w:eastAsia="Times New Roman"/>
              <w:sz w:val="24"/>
              <w:szCs w:val="24"/>
            </w:rPr>
            <w:t>Paediatric</w:t>
          </w:r>
          <w:proofErr w:type="spellEnd"/>
          <w:r w:rsidRPr="00C364CD">
            <w:rPr>
              <w:rFonts w:eastAsia="Times New Roman"/>
              <w:sz w:val="24"/>
              <w:szCs w:val="24"/>
            </w:rPr>
            <w:t xml:space="preserve">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w:t>
          </w:r>
          <w:proofErr w:type="spellStart"/>
          <w:r w:rsidRPr="00C364CD">
            <w:rPr>
              <w:rFonts w:eastAsia="Times New Roman"/>
              <w:sz w:val="24"/>
              <w:szCs w:val="24"/>
            </w:rPr>
            <w:t>xCell</w:t>
          </w:r>
          <w:proofErr w:type="spellEnd"/>
          <w:r w:rsidRPr="00C364CD">
            <w:rPr>
              <w:rFonts w:eastAsia="Times New Roman"/>
              <w:sz w:val="24"/>
              <w:szCs w:val="24"/>
            </w:rPr>
            <w:t xml:space="preserve">: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w:t>
          </w:r>
          <w:proofErr w:type="spellStart"/>
          <w:r w:rsidRPr="00C364CD">
            <w:rPr>
              <w:rFonts w:eastAsia="Times New Roman"/>
              <w:sz w:val="24"/>
              <w:szCs w:val="24"/>
            </w:rPr>
            <w:t>Sayan</w:t>
          </w:r>
          <w:proofErr w:type="spellEnd"/>
          <w:r w:rsidRPr="00C364CD">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w:t>
          </w:r>
          <w:proofErr w:type="spellStart"/>
          <w:r w:rsidRPr="00C364CD">
            <w:rPr>
              <w:rFonts w:eastAsia="Times New Roman"/>
              <w:sz w:val="24"/>
              <w:szCs w:val="24"/>
            </w:rPr>
            <w:t>Lorberg</w:t>
          </w:r>
          <w:proofErr w:type="spellEnd"/>
          <w:r w:rsidRPr="00C364CD">
            <w:rPr>
              <w:rFonts w:eastAsia="Times New Roman"/>
              <w:sz w:val="24"/>
              <w:szCs w:val="24"/>
            </w:rPr>
            <w:t xml:space="preserve">, B., and </w:t>
          </w:r>
          <w:proofErr w:type="spellStart"/>
          <w:r w:rsidRPr="00C364CD">
            <w:rPr>
              <w:rFonts w:eastAsia="Times New Roman"/>
              <w:sz w:val="24"/>
              <w:szCs w:val="24"/>
            </w:rPr>
            <w:t>Tampi</w:t>
          </w:r>
          <w:proofErr w:type="spellEnd"/>
          <w:r w:rsidRPr="00C364CD">
            <w:rPr>
              <w:rFonts w:eastAsia="Times New Roman"/>
              <w:sz w:val="24"/>
              <w:szCs w:val="24"/>
            </w:rPr>
            <w:t xml:space="preserve">,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 xml:space="preserve">Brodmann, K. (1909).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xml:space="preserve">. In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p. 324.</w:t>
          </w:r>
        </w:p>
        <w:p w14:paraId="26773B1E" w14:textId="77777777" w:rsidR="00BE5560" w:rsidRPr="00C364CD" w:rsidRDefault="00BE5560">
          <w:pPr>
            <w:bidi w:val="0"/>
            <w:divId w:val="1541212662"/>
            <w:rPr>
              <w:rFonts w:eastAsia="Times New Roman"/>
              <w:sz w:val="24"/>
              <w:szCs w:val="24"/>
            </w:rPr>
          </w:pPr>
          <w:proofErr w:type="spellStart"/>
          <w:r w:rsidRPr="00C364CD">
            <w:rPr>
              <w:rFonts w:eastAsia="Times New Roman"/>
              <w:sz w:val="24"/>
              <w:szCs w:val="24"/>
            </w:rPr>
            <w:t>Cerimele</w:t>
          </w:r>
          <w:proofErr w:type="spellEnd"/>
          <w:r w:rsidRPr="00C364CD">
            <w:rPr>
              <w:rFonts w:eastAsia="Times New Roman"/>
              <w:sz w:val="24"/>
              <w:szCs w:val="24"/>
            </w:rPr>
            <w:t xml:space="preserve">, J.M., </w:t>
          </w:r>
          <w:proofErr w:type="spellStart"/>
          <w:r w:rsidRPr="00C364CD">
            <w:rPr>
              <w:rFonts w:eastAsia="Times New Roman"/>
              <w:sz w:val="24"/>
              <w:szCs w:val="24"/>
            </w:rPr>
            <w:t>Chwastiak</w:t>
          </w:r>
          <w:proofErr w:type="spellEnd"/>
          <w:r w:rsidRPr="00C364CD">
            <w:rPr>
              <w:rFonts w:eastAsia="Times New Roman"/>
              <w:sz w:val="24"/>
              <w:szCs w:val="24"/>
            </w:rPr>
            <w:t xml:space="preserve">, L.A., Dodson, S., and </w:t>
          </w:r>
          <w:proofErr w:type="spellStart"/>
          <w:r w:rsidRPr="00C364CD">
            <w:rPr>
              <w:rFonts w:eastAsia="Times New Roman"/>
              <w:sz w:val="24"/>
              <w:szCs w:val="24"/>
            </w:rPr>
            <w:t>Katon</w:t>
          </w:r>
          <w:proofErr w:type="spellEnd"/>
          <w:r w:rsidRPr="00C364CD">
            <w:rPr>
              <w:rFonts w:eastAsia="Times New Roman"/>
              <w:sz w:val="24"/>
              <w:szCs w:val="24"/>
            </w:rPr>
            <w:t xml:space="preserve">,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w:t>
          </w:r>
          <w:proofErr w:type="spellStart"/>
          <w:r w:rsidRPr="00C364CD">
            <w:rPr>
              <w:rFonts w:eastAsia="Times New Roman"/>
              <w:sz w:val="24"/>
              <w:szCs w:val="24"/>
            </w:rPr>
            <w:t>Andreazza</w:t>
          </w:r>
          <w:proofErr w:type="spellEnd"/>
          <w:r w:rsidRPr="00C364CD">
            <w:rPr>
              <w:rFonts w:eastAsia="Times New Roman"/>
              <w:sz w:val="24"/>
              <w:szCs w:val="24"/>
            </w:rPr>
            <w:t xml:space="preserve">, A.C., </w:t>
          </w:r>
          <w:proofErr w:type="spellStart"/>
          <w:r w:rsidRPr="00C364CD">
            <w:rPr>
              <w:rFonts w:eastAsia="Times New Roman"/>
              <w:sz w:val="24"/>
              <w:szCs w:val="24"/>
            </w:rPr>
            <w:t>Houenou</w:t>
          </w:r>
          <w:proofErr w:type="spellEnd"/>
          <w:r w:rsidRPr="00C364CD">
            <w:rPr>
              <w:rFonts w:eastAsia="Times New Roman"/>
              <w:sz w:val="24"/>
              <w:szCs w:val="24"/>
            </w:rPr>
            <w:t xml:space="preserve">, J., </w:t>
          </w:r>
          <w:proofErr w:type="spellStart"/>
          <w:r w:rsidRPr="00C364CD">
            <w:rPr>
              <w:rFonts w:eastAsia="Times New Roman"/>
              <w:sz w:val="24"/>
              <w:szCs w:val="24"/>
            </w:rPr>
            <w:t>Jamain</w:t>
          </w:r>
          <w:proofErr w:type="spellEnd"/>
          <w:r w:rsidRPr="00C364CD">
            <w:rPr>
              <w:rFonts w:eastAsia="Times New Roman"/>
              <w:sz w:val="24"/>
              <w:szCs w:val="24"/>
            </w:rPr>
            <w:t xml:space="preserve">, S., Goldstein, B.I., Frye, M.A., Leboyer, M., Berk, M., </w:t>
          </w:r>
          <w:proofErr w:type="spellStart"/>
          <w:r w:rsidRPr="00C364CD">
            <w:rPr>
              <w:rFonts w:eastAsia="Times New Roman"/>
              <w:sz w:val="24"/>
              <w:szCs w:val="24"/>
            </w:rPr>
            <w:t>Malhi</w:t>
          </w:r>
          <w:proofErr w:type="spellEnd"/>
          <w:r w:rsidRPr="00C364CD">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proofErr w:type="spellStart"/>
          <w:r w:rsidRPr="00C364CD">
            <w:rPr>
              <w:rFonts w:eastAsia="Times New Roman"/>
              <w:sz w:val="24"/>
              <w:szCs w:val="24"/>
            </w:rPr>
            <w:t>Haukvik</w:t>
          </w:r>
          <w:proofErr w:type="spellEnd"/>
          <w:r w:rsidRPr="00C364CD">
            <w:rPr>
              <w:rFonts w:eastAsia="Times New Roman"/>
              <w:sz w:val="24"/>
              <w:szCs w:val="24"/>
            </w:rPr>
            <w:t xml:space="preserve">, U.K., McNeil, T., Lange, E.H., </w:t>
          </w:r>
          <w:proofErr w:type="spellStart"/>
          <w:r w:rsidRPr="00C364CD">
            <w:rPr>
              <w:rFonts w:eastAsia="Times New Roman"/>
              <w:sz w:val="24"/>
              <w:szCs w:val="24"/>
            </w:rPr>
            <w:t>Melle</w:t>
          </w:r>
          <w:proofErr w:type="spellEnd"/>
          <w:r w:rsidRPr="00C364CD">
            <w:rPr>
              <w:rFonts w:eastAsia="Times New Roman"/>
              <w:sz w:val="24"/>
              <w:szCs w:val="24"/>
            </w:rPr>
            <w:t xml:space="preserve">, I., Dale, A.M., </w:t>
          </w:r>
          <w:proofErr w:type="spellStart"/>
          <w:r w:rsidRPr="00C364CD">
            <w:rPr>
              <w:rFonts w:eastAsia="Times New Roman"/>
              <w:sz w:val="24"/>
              <w:szCs w:val="24"/>
            </w:rPr>
            <w:t>Andreassen</w:t>
          </w:r>
          <w:proofErr w:type="spellEnd"/>
          <w:r w:rsidRPr="00C364CD">
            <w:rPr>
              <w:rFonts w:eastAsia="Times New Roman"/>
              <w:sz w:val="24"/>
              <w:szCs w:val="24"/>
            </w:rPr>
            <w:t xml:space="preserve">, O.A., and </w:t>
          </w:r>
          <w:proofErr w:type="spellStart"/>
          <w:r w:rsidRPr="00C364CD">
            <w:rPr>
              <w:rFonts w:eastAsia="Times New Roman"/>
              <w:sz w:val="24"/>
              <w:szCs w:val="24"/>
            </w:rPr>
            <w:t>Agartz</w:t>
          </w:r>
          <w:proofErr w:type="spellEnd"/>
          <w:r w:rsidRPr="00C364CD">
            <w:rPr>
              <w:rFonts w:eastAsia="Times New Roman"/>
              <w:sz w:val="24"/>
              <w:szCs w:val="24"/>
            </w:rPr>
            <w:t xml:space="preserve">,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C364CD">
            <w:rPr>
              <w:rFonts w:eastAsia="Times New Roman"/>
              <w:sz w:val="24"/>
              <w:szCs w:val="24"/>
            </w:rPr>
            <w:t>Oncotarget</w:t>
          </w:r>
          <w:proofErr w:type="spellEnd"/>
          <w:r w:rsidRPr="00C364CD">
            <w:rPr>
              <w:rFonts w:eastAsia="Times New Roman"/>
              <w:sz w:val="24"/>
              <w:szCs w:val="24"/>
            </w:rPr>
            <w:t xml:space="preserve">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proofErr w:type="spellStart"/>
          <w:r w:rsidRPr="00C364CD">
            <w:rPr>
              <w:rFonts w:eastAsia="Times New Roman"/>
              <w:sz w:val="24"/>
              <w:szCs w:val="24"/>
            </w:rPr>
            <w:t>Iancu</w:t>
          </w:r>
          <w:proofErr w:type="spellEnd"/>
          <w:r w:rsidRPr="00C364CD">
            <w:rPr>
              <w:rFonts w:eastAsia="Times New Roman"/>
              <w:sz w:val="24"/>
              <w:szCs w:val="24"/>
            </w:rPr>
            <w:t xml:space="preserve">, I., </w:t>
          </w:r>
          <w:proofErr w:type="spellStart"/>
          <w:r w:rsidRPr="00C364CD">
            <w:rPr>
              <w:rFonts w:eastAsia="Times New Roman"/>
              <w:sz w:val="24"/>
              <w:szCs w:val="24"/>
            </w:rPr>
            <w:t>Sverdlik</w:t>
          </w:r>
          <w:proofErr w:type="spellEnd"/>
          <w:r w:rsidRPr="00C364CD">
            <w:rPr>
              <w:rFonts w:eastAsia="Times New Roman"/>
              <w:sz w:val="24"/>
              <w:szCs w:val="24"/>
            </w:rPr>
            <w:t xml:space="preserve">, A., Dannon, P.N., and </w:t>
          </w:r>
          <w:proofErr w:type="spellStart"/>
          <w:r w:rsidRPr="00C364CD">
            <w:rPr>
              <w:rFonts w:eastAsia="Times New Roman"/>
              <w:sz w:val="24"/>
              <w:szCs w:val="24"/>
            </w:rPr>
            <w:t>Lepkifker</w:t>
          </w:r>
          <w:proofErr w:type="spellEnd"/>
          <w:r w:rsidRPr="00C364CD">
            <w:rPr>
              <w:rFonts w:eastAsia="Times New Roman"/>
              <w:sz w:val="24"/>
              <w:szCs w:val="24"/>
            </w:rPr>
            <w:t xml:space="preserve">,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proofErr w:type="spellStart"/>
          <w:r w:rsidRPr="00C364CD">
            <w:rPr>
              <w:rFonts w:eastAsia="Times New Roman"/>
              <w:sz w:val="24"/>
              <w:szCs w:val="24"/>
            </w:rPr>
            <w:t>Miklowitz</w:t>
          </w:r>
          <w:proofErr w:type="spellEnd"/>
          <w:r w:rsidRPr="00C364CD">
            <w:rPr>
              <w:rFonts w:eastAsia="Times New Roman"/>
              <w:sz w:val="24"/>
              <w:szCs w:val="24"/>
            </w:rPr>
            <w:t>,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proofErr w:type="spellStart"/>
          <w:r w:rsidRPr="00C364CD">
            <w:rPr>
              <w:rFonts w:eastAsia="Times New Roman"/>
              <w:sz w:val="24"/>
              <w:szCs w:val="24"/>
            </w:rPr>
            <w:t>Mootha</w:t>
          </w:r>
          <w:proofErr w:type="spellEnd"/>
          <w:r w:rsidRPr="00C364CD">
            <w:rPr>
              <w:rFonts w:eastAsia="Times New Roman"/>
              <w:sz w:val="24"/>
              <w:szCs w:val="24"/>
            </w:rPr>
            <w:t xml:space="preserve">, V.K., Lindgren, C.M., Eriksson, K.-F., Subramanian, A., </w:t>
          </w:r>
          <w:proofErr w:type="spellStart"/>
          <w:r w:rsidRPr="00C364CD">
            <w:rPr>
              <w:rFonts w:eastAsia="Times New Roman"/>
              <w:sz w:val="24"/>
              <w:szCs w:val="24"/>
            </w:rPr>
            <w:t>Sihag</w:t>
          </w:r>
          <w:proofErr w:type="spellEnd"/>
          <w:r w:rsidRPr="00C364CD">
            <w:rPr>
              <w:rFonts w:eastAsia="Times New Roman"/>
              <w:sz w:val="24"/>
              <w:szCs w:val="24"/>
            </w:rPr>
            <w:t xml:space="preserve">, S., Lehar, J., </w:t>
          </w:r>
          <w:proofErr w:type="spellStart"/>
          <w:r w:rsidRPr="00C364CD">
            <w:rPr>
              <w:rFonts w:eastAsia="Times New Roman"/>
              <w:sz w:val="24"/>
              <w:szCs w:val="24"/>
            </w:rPr>
            <w:t>Puigserver</w:t>
          </w:r>
          <w:proofErr w:type="spellEnd"/>
          <w:r w:rsidRPr="00C364CD">
            <w:rPr>
              <w:rFonts w:eastAsia="Times New Roman"/>
              <w:sz w:val="24"/>
              <w:szCs w:val="24"/>
            </w:rPr>
            <w:t xml:space="preserve">, P., Carlsson, E., </w:t>
          </w:r>
          <w:proofErr w:type="spellStart"/>
          <w:r w:rsidRPr="00C364CD">
            <w:rPr>
              <w:rFonts w:eastAsia="Times New Roman"/>
              <w:sz w:val="24"/>
              <w:szCs w:val="24"/>
            </w:rPr>
            <w:t>Ridderstråle</w:t>
          </w:r>
          <w:proofErr w:type="spellEnd"/>
          <w:r w:rsidRPr="00C364CD">
            <w:rPr>
              <w:rFonts w:eastAsia="Times New Roman"/>
              <w:sz w:val="24"/>
              <w:szCs w:val="24"/>
            </w:rPr>
            <w:t xml:space="preserve">, M., </w:t>
          </w:r>
          <w:proofErr w:type="spellStart"/>
          <w:r w:rsidRPr="00C364CD">
            <w:rPr>
              <w:rFonts w:eastAsia="Times New Roman"/>
              <w:sz w:val="24"/>
              <w:szCs w:val="24"/>
            </w:rPr>
            <w:t>Laurila</w:t>
          </w:r>
          <w:proofErr w:type="spellEnd"/>
          <w:r w:rsidRPr="00C364CD">
            <w:rPr>
              <w:rFonts w:eastAsia="Times New Roman"/>
              <w:sz w:val="24"/>
              <w:szCs w:val="24"/>
            </w:rPr>
            <w:t xml:space="preserve">,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w:t>
          </w:r>
          <w:proofErr w:type="spellStart"/>
          <w:r w:rsidRPr="00C364CD">
            <w:rPr>
              <w:rFonts w:eastAsia="Times New Roman"/>
              <w:sz w:val="24"/>
              <w:szCs w:val="24"/>
            </w:rPr>
            <w:t>Laje</w:t>
          </w:r>
          <w:proofErr w:type="spellEnd"/>
          <w:r w:rsidRPr="00C364CD">
            <w:rPr>
              <w:rFonts w:eastAsia="Times New Roman"/>
              <w:sz w:val="24"/>
              <w:szCs w:val="24"/>
            </w:rPr>
            <w:t xml:space="preserve">, G., Blanco, C., Jiang, H., Schmidt, A.B., and </w:t>
          </w:r>
          <w:proofErr w:type="spellStart"/>
          <w:r w:rsidRPr="00C364CD">
            <w:rPr>
              <w:rFonts w:eastAsia="Times New Roman"/>
              <w:sz w:val="24"/>
              <w:szCs w:val="24"/>
            </w:rPr>
            <w:t>Olfson</w:t>
          </w:r>
          <w:proofErr w:type="spellEnd"/>
          <w:r w:rsidRPr="00C364CD">
            <w:rPr>
              <w:rFonts w:eastAsia="Times New Roman"/>
              <w:sz w:val="24"/>
              <w:szCs w:val="24"/>
            </w:rPr>
            <w:t xml:space="preserve">,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Müller-</w:t>
          </w:r>
          <w:proofErr w:type="spellStart"/>
          <w:r w:rsidRPr="00C364CD">
            <w:rPr>
              <w:rFonts w:eastAsia="Times New Roman"/>
              <w:sz w:val="24"/>
              <w:szCs w:val="24"/>
            </w:rPr>
            <w:t>Oerlinghausen</w:t>
          </w:r>
          <w:proofErr w:type="spellEnd"/>
          <w:r w:rsidRPr="00C364CD">
            <w:rPr>
              <w:rFonts w:eastAsia="Times New Roman"/>
              <w:sz w:val="24"/>
              <w:szCs w:val="24"/>
            </w:rPr>
            <w:t xml:space="preserve">, B., </w:t>
          </w:r>
          <w:proofErr w:type="spellStart"/>
          <w:r w:rsidRPr="00C364CD">
            <w:rPr>
              <w:rFonts w:eastAsia="Times New Roman"/>
              <w:sz w:val="24"/>
              <w:szCs w:val="24"/>
            </w:rPr>
            <w:t>Berghöfer</w:t>
          </w:r>
          <w:proofErr w:type="spellEnd"/>
          <w:r w:rsidRPr="00C364CD">
            <w:rPr>
              <w:rFonts w:eastAsia="Times New Roman"/>
              <w:sz w:val="24"/>
              <w:szCs w:val="24"/>
            </w:rPr>
            <w:t xml:space="preserve">,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proofErr w:type="spellStart"/>
          <w:r w:rsidRPr="00C364CD">
            <w:rPr>
              <w:rFonts w:eastAsia="Times New Roman"/>
              <w:sz w:val="24"/>
              <w:szCs w:val="24"/>
            </w:rPr>
            <w:t>Oraki</w:t>
          </w:r>
          <w:proofErr w:type="spellEnd"/>
          <w:r w:rsidRPr="00C364CD">
            <w:rPr>
              <w:rFonts w:eastAsia="Times New Roman"/>
              <w:sz w:val="24"/>
              <w:szCs w:val="24"/>
            </w:rPr>
            <w:t xml:space="preserve"> </w:t>
          </w:r>
          <w:proofErr w:type="spellStart"/>
          <w:r w:rsidRPr="00C364CD">
            <w:rPr>
              <w:rFonts w:eastAsia="Times New Roman"/>
              <w:sz w:val="24"/>
              <w:szCs w:val="24"/>
            </w:rPr>
            <w:t>Kohshour</w:t>
          </w:r>
          <w:proofErr w:type="spellEnd"/>
          <w:r w:rsidRPr="00C364CD">
            <w:rPr>
              <w:rFonts w:eastAsia="Times New Roman"/>
              <w:sz w:val="24"/>
              <w:szCs w:val="24"/>
            </w:rPr>
            <w:t xml:space="preserve">, M., </w:t>
          </w:r>
          <w:proofErr w:type="spellStart"/>
          <w:r w:rsidRPr="00C364CD">
            <w:rPr>
              <w:rFonts w:eastAsia="Times New Roman"/>
              <w:sz w:val="24"/>
              <w:szCs w:val="24"/>
            </w:rPr>
            <w:t>Papiol</w:t>
          </w:r>
          <w:proofErr w:type="spellEnd"/>
          <w:r w:rsidRPr="00C364CD">
            <w:rPr>
              <w:rFonts w:eastAsia="Times New Roman"/>
              <w:sz w:val="24"/>
              <w:szCs w:val="24"/>
            </w:rPr>
            <w:t xml:space="preserve">, S., Ching, C.R.K., and Schulze, T.G. (2022). Genomic and neuroimaging approaches to bipolar disorder. </w:t>
          </w:r>
          <w:proofErr w:type="spellStart"/>
          <w:r w:rsidRPr="00C364CD">
            <w:rPr>
              <w:rFonts w:eastAsia="Times New Roman"/>
              <w:sz w:val="24"/>
              <w:szCs w:val="24"/>
            </w:rPr>
            <w:t>BJPsych</w:t>
          </w:r>
          <w:proofErr w:type="spellEnd"/>
          <w:r w:rsidRPr="00C364CD">
            <w:rPr>
              <w:rFonts w:eastAsia="Times New Roman"/>
              <w:sz w:val="24"/>
              <w:szCs w:val="24"/>
            </w:rPr>
            <w:t xml:space="preserve">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proofErr w:type="spellStart"/>
          <w:r w:rsidRPr="00C364CD">
            <w:rPr>
              <w:rFonts w:eastAsia="Times New Roman"/>
              <w:sz w:val="24"/>
              <w:szCs w:val="24"/>
            </w:rPr>
            <w:t>Salagre</w:t>
          </w:r>
          <w:proofErr w:type="spellEnd"/>
          <w:r w:rsidRPr="00C364CD">
            <w:rPr>
              <w:rFonts w:eastAsia="Times New Roman"/>
              <w:sz w:val="24"/>
              <w:szCs w:val="24"/>
            </w:rPr>
            <w:t>,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w:t>
          </w:r>
          <w:proofErr w:type="spellStart"/>
          <w:r w:rsidRPr="00C364CD">
            <w:rPr>
              <w:rFonts w:eastAsia="Times New Roman"/>
              <w:sz w:val="24"/>
              <w:szCs w:val="24"/>
            </w:rPr>
            <w:t>Manry</w:t>
          </w:r>
          <w:proofErr w:type="spellEnd"/>
          <w:r w:rsidRPr="00C364CD">
            <w:rPr>
              <w:rFonts w:eastAsia="Times New Roman"/>
              <w:sz w:val="24"/>
              <w:szCs w:val="24"/>
            </w:rPr>
            <w:t xml:space="preserve">,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E5AD" w14:textId="77777777" w:rsidR="00431913" w:rsidRDefault="00431913" w:rsidP="00F45306">
      <w:pPr>
        <w:spacing w:after="0" w:line="240" w:lineRule="auto"/>
      </w:pPr>
      <w:r>
        <w:separator/>
      </w:r>
    </w:p>
  </w:endnote>
  <w:endnote w:type="continuationSeparator" w:id="0">
    <w:p w14:paraId="435A6803" w14:textId="77777777" w:rsidR="00431913" w:rsidRDefault="00431913"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0811" w14:textId="77777777" w:rsidR="00431913" w:rsidRDefault="00431913" w:rsidP="00F45306">
      <w:pPr>
        <w:spacing w:after="0" w:line="240" w:lineRule="auto"/>
      </w:pPr>
      <w:r>
        <w:separator/>
      </w:r>
    </w:p>
  </w:footnote>
  <w:footnote w:type="continuationSeparator" w:id="0">
    <w:p w14:paraId="390FFD30" w14:textId="77777777" w:rsidR="00431913" w:rsidRDefault="00431913"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24A59"/>
    <w:rsid w:val="002271EB"/>
    <w:rsid w:val="0024434B"/>
    <w:rsid w:val="002474E7"/>
    <w:rsid w:val="002477D8"/>
    <w:rsid w:val="00254F4A"/>
    <w:rsid w:val="00267FAA"/>
    <w:rsid w:val="002773A3"/>
    <w:rsid w:val="00283096"/>
    <w:rsid w:val="00287243"/>
    <w:rsid w:val="00292DE8"/>
    <w:rsid w:val="00295A0A"/>
    <w:rsid w:val="00295B41"/>
    <w:rsid w:val="002A35EA"/>
    <w:rsid w:val="002A3D9C"/>
    <w:rsid w:val="002C2687"/>
    <w:rsid w:val="002C3D90"/>
    <w:rsid w:val="002C3DFD"/>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1EAC"/>
    <w:rsid w:val="005B4267"/>
    <w:rsid w:val="005B4562"/>
    <w:rsid w:val="005D4099"/>
    <w:rsid w:val="005D5832"/>
    <w:rsid w:val="005E340C"/>
    <w:rsid w:val="005E3476"/>
    <w:rsid w:val="005F4250"/>
    <w:rsid w:val="00616BAE"/>
    <w:rsid w:val="00624045"/>
    <w:rsid w:val="00651A4B"/>
    <w:rsid w:val="00653CFB"/>
    <w:rsid w:val="00654BC6"/>
    <w:rsid w:val="00664245"/>
    <w:rsid w:val="00667AD9"/>
    <w:rsid w:val="006733FB"/>
    <w:rsid w:val="00694463"/>
    <w:rsid w:val="006A05E3"/>
    <w:rsid w:val="006A1EAB"/>
    <w:rsid w:val="006B0F64"/>
    <w:rsid w:val="006C3024"/>
    <w:rsid w:val="006C7C97"/>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944B3"/>
    <w:rsid w:val="007B111A"/>
    <w:rsid w:val="007B65DE"/>
    <w:rsid w:val="007B7933"/>
    <w:rsid w:val="007C0C3C"/>
    <w:rsid w:val="007C16B5"/>
    <w:rsid w:val="007C75F1"/>
    <w:rsid w:val="007D0962"/>
    <w:rsid w:val="007D2E43"/>
    <w:rsid w:val="007D3240"/>
    <w:rsid w:val="007D7D1B"/>
    <w:rsid w:val="007E4161"/>
    <w:rsid w:val="007E58B4"/>
    <w:rsid w:val="007E6E1E"/>
    <w:rsid w:val="007F505C"/>
    <w:rsid w:val="008047D4"/>
    <w:rsid w:val="00805960"/>
    <w:rsid w:val="00817085"/>
    <w:rsid w:val="008226E3"/>
    <w:rsid w:val="00825829"/>
    <w:rsid w:val="008435CC"/>
    <w:rsid w:val="008506A1"/>
    <w:rsid w:val="00862854"/>
    <w:rsid w:val="008744B3"/>
    <w:rsid w:val="0089544D"/>
    <w:rsid w:val="008A32C8"/>
    <w:rsid w:val="008B4FBE"/>
    <w:rsid w:val="008D4B7E"/>
    <w:rsid w:val="008E09B1"/>
    <w:rsid w:val="008E4824"/>
    <w:rsid w:val="008F136C"/>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32B8D"/>
    <w:rsid w:val="00B407E3"/>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6692"/>
    <w:rsid w:val="00BE3874"/>
    <w:rsid w:val="00BE3AB3"/>
    <w:rsid w:val="00BE5560"/>
    <w:rsid w:val="00BF0604"/>
    <w:rsid w:val="00BF1D54"/>
    <w:rsid w:val="00BF326F"/>
    <w:rsid w:val="00BF4CE6"/>
    <w:rsid w:val="00C108CA"/>
    <w:rsid w:val="00C118FD"/>
    <w:rsid w:val="00C350A2"/>
    <w:rsid w:val="00C35640"/>
    <w:rsid w:val="00C364CD"/>
    <w:rsid w:val="00C53251"/>
    <w:rsid w:val="00C5703B"/>
    <w:rsid w:val="00C576FC"/>
    <w:rsid w:val="00C7268F"/>
    <w:rsid w:val="00C766F3"/>
    <w:rsid w:val="00C80C12"/>
    <w:rsid w:val="00C852FE"/>
    <w:rsid w:val="00CA0AD2"/>
    <w:rsid w:val="00CB2DBA"/>
    <w:rsid w:val="00CC2633"/>
    <w:rsid w:val="00CC27F2"/>
    <w:rsid w:val="00CD61C9"/>
    <w:rsid w:val="00CE3574"/>
    <w:rsid w:val="00CE37E3"/>
    <w:rsid w:val="00CF02E6"/>
    <w:rsid w:val="00D06D0C"/>
    <w:rsid w:val="00D16327"/>
    <w:rsid w:val="00D21695"/>
    <w:rsid w:val="00D30724"/>
    <w:rsid w:val="00D36C09"/>
    <w:rsid w:val="00D53AE9"/>
    <w:rsid w:val="00D53F1A"/>
    <w:rsid w:val="00D53FD1"/>
    <w:rsid w:val="00D55598"/>
    <w:rsid w:val="00D61E12"/>
    <w:rsid w:val="00D64E6E"/>
    <w:rsid w:val="00D75472"/>
    <w:rsid w:val="00D8325C"/>
    <w:rsid w:val="00DA598D"/>
    <w:rsid w:val="00DB29B2"/>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F40AA"/>
    <w:rsid w:val="00F066AC"/>
    <w:rsid w:val="00F23523"/>
    <w:rsid w:val="00F31DD6"/>
    <w:rsid w:val="00F40DF0"/>
    <w:rsid w:val="00F45306"/>
    <w:rsid w:val="00F47981"/>
    <w:rsid w:val="00F50FBD"/>
    <w:rsid w:val="00F6011E"/>
    <w:rsid w:val="00F64EAA"/>
    <w:rsid w:val="00F77E6B"/>
    <w:rsid w:val="00F8676B"/>
    <w:rsid w:val="00F90654"/>
    <w:rsid w:val="00F94D0B"/>
    <w:rsid w:val="00FA74EF"/>
    <w:rsid w:val="00FA7D56"/>
    <w:rsid w:val="00FB5C50"/>
    <w:rsid w:val="00FB606D"/>
    <w:rsid w:val="00FB75AC"/>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2A6DF3"/>
    <w:rsid w:val="003228A6"/>
    <w:rsid w:val="003935B8"/>
    <w:rsid w:val="00435CC4"/>
    <w:rsid w:val="004613B7"/>
    <w:rsid w:val="00541EB1"/>
    <w:rsid w:val="0058224E"/>
    <w:rsid w:val="005F4D2C"/>
    <w:rsid w:val="00630CF4"/>
    <w:rsid w:val="00655F2F"/>
    <w:rsid w:val="006D10B0"/>
    <w:rsid w:val="006D38DD"/>
    <w:rsid w:val="006E4AD7"/>
    <w:rsid w:val="00701BFD"/>
    <w:rsid w:val="00736216"/>
    <w:rsid w:val="007524B1"/>
    <w:rsid w:val="007A31F8"/>
    <w:rsid w:val="007E33C2"/>
    <w:rsid w:val="00810367"/>
    <w:rsid w:val="008C450E"/>
    <w:rsid w:val="00927AAE"/>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13072</TotalTime>
  <Pages>17</Pages>
  <Words>4722</Words>
  <Characters>23611</Characters>
  <Application>Microsoft Office Word</Application>
  <DocSecurity>0</DocSecurity>
  <Lines>196</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72</cp:revision>
  <cp:lastPrinted>2022-03-18T22:42:00Z</cp:lastPrinted>
  <dcterms:created xsi:type="dcterms:W3CDTF">2022-01-24T14:19:00Z</dcterms:created>
  <dcterms:modified xsi:type="dcterms:W3CDTF">2022-03-19T13:48:00Z</dcterms:modified>
</cp:coreProperties>
</file>