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r>
              <w:rPr>
                <w:rFonts w:ascii="Arial" w:hAnsi="Arial" w:cs="Arial" w:eastAsia="微软雅黑"/>
                <w:color w:val="BDD7EE"/>
                <w:sz w:val="18"/>
              </w:rPr>
              <w:t>行业专题研究 · 人形机器人 · 六维力传感器</w:t>
            </w:r>
          </w:p>
          <w:p>
            <w:pPr>
              <w:spacing w:after="120"/>
            </w:pPr>
            <w:r>
              <w:rPr>
                <w:rFonts w:ascii="Arial" w:hAnsi="Arial" w:cs="Arial" w:eastAsia="微软雅黑"/>
                <w:b/>
                <w:color w:val="FFFFFF"/>
                <w:sz w:val="36"/>
              </w:rPr>
              <w:t>人形机器人六维力传感器专题：需求增长与降价并行，上市公司兑现取决于客户突破</w:t>
            </w:r>
          </w:p>
        </w:tc>
      </w:tr>
    </w:tbl>
    <w:p>
      <w:pPr>
        <w:spacing w:after="0"/>
      </w:pPr>
    </w:p>
    <w:p>
      <w:r>
        <w:rPr>
          <w:rFonts w:ascii="Arial" w:hAnsi="Arial" w:cs="Arial" w:eastAsia="微软雅黑"/>
          <w:b/>
          <w:color w:val="595959"/>
          <w:sz w:val="17"/>
        </w:rPr>
        <w:t>报告日期：</w:t>
      </w:r>
      <w:r>
        <w:rPr>
          <w:rFonts w:ascii="Arial" w:hAnsi="Arial" w:cs="Arial" w:eastAsia="微软雅黑"/>
          <w:color w:val="595959"/>
          <w:sz w:val="17"/>
        </w:rPr>
        <w:t xml:space="preserve"> 2026-10-20｜</w:t>
      </w:r>
      <w:r>
        <w:rPr>
          <w:rFonts w:ascii="Arial" w:hAnsi="Arial" w:cs="Arial" w:eastAsia="微软雅黑"/>
          <w:b/>
          <w:color w:val="595959"/>
          <w:sz w:val="17"/>
        </w:rPr>
        <w:t>数据截止：</w:t>
      </w:r>
      <w:r>
        <w:rPr>
          <w:rFonts w:ascii="Arial" w:hAnsi="Arial" w:cs="Arial" w:eastAsia="微软雅黑"/>
          <w:color w:val="595959"/>
          <w:sz w:val="17"/>
        </w:rPr>
        <w:t xml:space="preserve"> 2026-10-19｜</w:t>
      </w:r>
      <w:r>
        <w:rPr>
          <w:rFonts w:ascii="Arial" w:hAnsi="Arial" w:cs="Arial" w:eastAsia="微软雅黑"/>
          <w:b/>
          <w:color w:val="595959"/>
          <w:sz w:val="17"/>
        </w:rPr>
        <w:t>作者：邓兴华</w:t>
      </w:r>
      <w:r>
        <w:rPr>
          <w:rFonts w:ascii="Arial" w:hAnsi="Arial" w:cs="Arial" w:eastAsia="微软雅黑"/>
          <w:color w:val="595959"/>
          <w:sz w:val="17"/>
        </w:rPr>
        <w:br/>
      </w:r>
      <w:r>
        <w:rPr>
          <w:rFonts w:ascii="Arial" w:hAnsi="Arial" w:cs="Arial" w:eastAsia="微软雅黑"/>
          <w:color w:val="595959"/>
          <w:sz w:val="17"/>
        </w:rPr>
      </w:r>
      <w:r>
        <w:rPr>
          <w:rFonts w:ascii="Arial" w:hAnsi="Arial" w:cs="Arial" w:eastAsia="微软雅黑"/>
          <w:b/>
          <w:color w:val="595959"/>
          <w:sz w:val="17"/>
        </w:rPr>
        <w:t>配套文件：</w:t>
      </w:r>
      <w:r>
        <w:rPr>
          <w:rFonts w:ascii="Arial" w:hAnsi="Arial" w:cs="Arial" w:eastAsia="微软雅黑"/>
          <w:color w:val="595959"/>
          <w:sz w:val="17"/>
        </w:rPr>
        <w:t xml:space="preserve"> </w:t>
      </w:r>
      <w:r>
        <w:rPr>
          <w:rFonts w:ascii="Arial" w:hAnsi="Arial" w:cs="Arial" w:eastAsia="微软雅黑"/>
          <w:color w:val="595959"/>
          <w:sz w:val="17"/>
        </w:rPr>
        <w:t>六维力传感器_模型.xlsx</w:t>
      </w:r>
      <w:r>
        <w:rPr>
          <w:rFonts w:ascii="Arial" w:hAnsi="Arial" w:cs="Arial" w:eastAsia="微软雅黑"/>
          <w:color w:val="595959"/>
          <w:sz w:val="17"/>
        </w:rPr>
        <w:t>（假设、ROI、需求情景、收入桥、利润与估值、敏感性、数据底稿）；</w:t>
      </w:r>
      <w:r>
        <w:rPr>
          <w:rFonts w:ascii="Arial" w:hAnsi="Arial" w:cs="Arial" w:eastAsia="微软雅黑"/>
          <w:color w:val="595959"/>
          <w:sz w:val="17"/>
        </w:rPr>
        <w:t>图表/</w:t>
      </w:r>
    </w:p>
    <w:p>
      <w:pPr>
        <w:pStyle w:val="Heading1"/>
      </w:pPr>
      <w:r>
        <w:rPr>
          <w:rFonts w:ascii="Arial" w:hAnsi="Arial" w:cs="Arial" w:eastAsia="微软雅黑"/>
          <w:b/>
          <w:color w:val="1F3864"/>
          <w:sz w:val="28"/>
        </w:rPr>
        <w:t>核心观点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国内人形六维力市场 2030 年基准约 42 亿元，规模主要取决于每台平均用量。</w:t>
      </w:r>
      <w:r>
        <w:rPr>
          <w:rFonts w:ascii="Arial" w:hAnsi="Arial" w:cs="Arial" w:eastAsia="微软雅黑"/>
        </w:rPr>
        <w:t xml:space="preserve"> 本文按"整机出货 × 搭载率 × 单机用量 × 单价"测算。基准情景下，2030 年中国人形机器人出货 44.6 万台，搭载率 55%，搭载机型每台 3 颗，对应需求约 73.6 万颗；单价从 2025 年约 2 万元/颗降至 5,760 元/颗，市场规模约 42.4 亿元（悲观 11.1 亿元，乐观 72.9 亿元）。GGII 与赛迪对 2030 年的预测相差 3.3 倍，分歧同样集中在每台平均用量。需求还受客户经济性约束：以汽车工厂料箱搬运为例，中性参数下人形机器人尚不能回本，2026–2027 年采购仍以示范和战略采购为主。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价值量高，不等于上市供应商利润高。</w:t>
      </w:r>
      <w:r>
        <w:rPr>
          <w:rFonts w:ascii="Arial" w:hAnsi="Arial" w:cs="Arial" w:eastAsia="微软雅黑"/>
        </w:rPr>
        <w:t xml:space="preserve"> 据赛迪统计，2025 年人形六维力前三名合计份额 92.8%，蓝点触控、坤维科技、宇立仪器均未上市，上市公司与其他厂商合计约 7.2%。头部厂商规划产能扩张较快，整机厂持续压降 BOM，部分整机厂已开始自研。若相关业务要维持 40% 的毛利率，2030 年单颗成本需降至约 3,460 元，比头部厂商目前宣传的量产成本低约 30%–65%。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柯力传感进度领先，但当前市值要求的份额明显高于本文基准。</w:t>
      </w:r>
      <w:r>
        <w:rPr>
          <w:rFonts w:ascii="Arial" w:hAnsi="Arial" w:cs="Arial" w:eastAsia="微软雅黑"/>
        </w:rPr>
        <w:t xml:space="preserve"> 柯力 2026 年上半年机器人力学传感器销量超过 2,000 只，但该口径包含关节力矩传感器和非人形应用；已披露的人形批量客户开普勒为其参股公司。基准情景下，柯力 2030 年人形六维力相关收入约 3.39 亿元，净利润约 0.81 亿元。按 2026-10-19 收盘市值反推，扣除原有业务价值和投资资产后，市场隐含的新业务价值约 56.5 亿元，对应 2030 年约 25% 的份额，高于本文基准的 8%，介于基准与乐观情景之间。能否兑现，关键看柯力能否在独立的头部整机厂取得批量订单。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1253"/>
        <w:gridCol w:w="2258"/>
        <w:gridCol w:w="1514"/>
        <w:gridCol w:w="2097"/>
        <w:gridCol w:w="727"/>
        <w:gridCol w:w="2016"/>
      </w:tblGrid>
      <w:tr>
        <w:trPr>
          <w:tblHeader w:val="true"/>
          <w:cantSplit/>
        </w:trPr>
        <w:tc>
          <w:tcPr>
            <w:tcW w:type="dxa" w:w="1253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公司</w:t>
            </w:r>
          </w:p>
        </w:tc>
        <w:tc>
          <w:tcPr>
            <w:tcW w:type="dxa" w:w="2258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业务进展</w:t>
            </w:r>
          </w:p>
        </w:tc>
        <w:tc>
          <w:tcPr>
            <w:tcW w:type="dxa" w:w="1514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2030E 基准净利润（亿元）</w:t>
            </w:r>
          </w:p>
        </w:tc>
        <w:tc>
          <w:tcPr>
            <w:tcW w:type="dxa" w:w="2097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当前市值隐含 2030E 份额 / 本文基准</w:t>
            </w:r>
          </w:p>
        </w:tc>
        <w:tc>
          <w:tcPr>
            <w:tcW w:type="dxa" w:w="727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跟踪优先级</w:t>
            </w:r>
          </w:p>
        </w:tc>
        <w:tc>
          <w:tcPr>
            <w:tcW w:type="dxa" w:w="2016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下一个验证点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柯力传感（603662）</w:t>
            </w:r>
          </w:p>
        </w:tc>
        <w:tc>
          <w:tcPr>
            <w:tcW w:type="dxa" w:w="225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小批量向批量过渡；人形批量客户为参股公司</w:t>
            </w:r>
          </w:p>
        </w:tc>
        <w:tc>
          <w:tcPr>
            <w:tcW w:type="dxa" w:w="151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0.81</w:t>
            </w:r>
          </w:p>
        </w:tc>
        <w:tc>
          <w:tcPr>
            <w:tcW w:type="dxa" w:w="209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25% / 8%</w:t>
            </w:r>
          </w:p>
        </w:tc>
        <w:tc>
          <w:tcPr>
            <w:tcW w:type="dxa" w:w="72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重点研究</w:t>
            </w:r>
          </w:p>
        </w:tc>
        <w:tc>
          <w:tcPr>
            <w:tcW w:type="dxa" w:w="2016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独立头部整机厂批量订单；六维力出货单独披露</w:t>
            </w:r>
          </w:p>
        </w:tc>
      </w:tr>
      <w:tr>
        <w:trPr>
          <w:cantSplit/>
        </w:trPr>
        <w:tc>
          <w:tcPr>
            <w:tcW w:type="dxa" w:w="125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安培龙（301413）</w:t>
            </w:r>
          </w:p>
        </w:tc>
        <w:tc>
          <w:tcPr>
            <w:tcW w:type="dxa" w:w="2258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2026-09 披露部分客户批量交付，规模未披露</w:t>
            </w:r>
          </w:p>
        </w:tc>
        <w:tc>
          <w:tcPr>
            <w:tcW w:type="dxa" w:w="151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0.50</w:t>
            </w:r>
          </w:p>
        </w:tc>
        <w:tc>
          <w:tcPr>
            <w:tcW w:type="dxa" w:w="209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20% / 5%</w:t>
            </w:r>
          </w:p>
        </w:tc>
        <w:tc>
          <w:tcPr>
            <w:tcW w:type="dxa" w:w="72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持续跟踪</w:t>
            </w:r>
          </w:p>
        </w:tc>
        <w:tc>
          <w:tcPr>
            <w:tcW w:type="dxa" w:w="2016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年报是否拆分力传感器收入；定增产线投产</w:t>
            </w:r>
          </w:p>
        </w:tc>
      </w:tr>
      <w:tr>
        <w:trPr>
          <w:cantSplit/>
        </w:trPr>
        <w:tc>
          <w:tcPr>
            <w:tcW w:type="dxa" w:w="125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东华测试（300354）</w:t>
            </w:r>
          </w:p>
        </w:tc>
        <w:tc>
          <w:tcPr>
            <w:tcW w:type="dxa" w:w="225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小批量试制，尚无人形订单</w:t>
            </w:r>
          </w:p>
        </w:tc>
        <w:tc>
          <w:tcPr>
            <w:tcW w:type="dxa" w:w="151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0.10</w:t>
            </w:r>
          </w:p>
        </w:tc>
        <w:tc>
          <w:tcPr>
            <w:tcW w:type="dxa" w:w="209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1% / 1%</w:t>
            </w:r>
          </w:p>
        </w:tc>
        <w:tc>
          <w:tcPr>
            <w:tcW w:type="dxa" w:w="72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证据不足</w:t>
            </w:r>
          </w:p>
        </w:tc>
        <w:tc>
          <w:tcPr>
            <w:tcW w:type="dxa" w:w="2016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首个人形客户订单</w:t>
            </w:r>
          </w:p>
        </w:tc>
      </w:tr>
    </w:tbl>
    <w:p>
      <w:pPr>
        <w:spacing w:after="160"/>
      </w:pPr>
      <w:r>
        <w:rPr>
          <w:rFonts w:ascii="Arial" w:hAnsi="Arial" w:cs="Arial" w:eastAsia="微软雅黑"/>
          <w:color w:val="595959"/>
          <w:sz w:val="15"/>
        </w:rPr>
        <w:t>资料来源：公司公告、赛迪、GGII、iFinD，作者测算。注：隐含份额按基准情景的估值倍数、折现率和市场规模计算，方法见第 4 部分。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主要风险：</w:t>
      </w:r>
      <w:r>
        <w:rPr>
          <w:rFonts w:ascii="Arial" w:hAnsi="Arial" w:cs="Arial" w:eastAsia="微软雅黑"/>
        </w:rPr>
        <w:t xml:space="preserve"> 主流机型改用电流估计或足底传感，搭载率低于预期；价格下降快于成本下降；整机厂自研六维力；估值倍数和折现率假设变化。</w:t>
      </w:r>
    </w:p>
    <w:p>
      <w:pPr>
        <w:pStyle w:val="Heading1"/>
        <w:pageBreakBefore/>
      </w:pPr>
      <w:r>
        <w:rPr>
          <w:rFonts w:ascii="Arial" w:hAnsi="Arial" w:cs="Arial" w:eastAsia="微软雅黑"/>
          <w:b/>
          <w:color w:val="1F3864"/>
          <w:sz w:val="28"/>
        </w:rPr>
        <w:t>1. 需求：市场规模取决于每台用量，客户经济性仍待改善</w:t>
      </w:r>
    </w:p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1.1 研究范围</w:t>
      </w:r>
    </w:p>
    <w:p>
      <w:pPr>
        <w:jc w:val="both"/>
      </w:pPr>
      <w:r>
        <w:rPr>
          <w:rFonts w:ascii="Arial" w:hAnsi="Arial" w:cs="Arial" w:eastAsia="微软雅黑"/>
        </w:rPr>
        <w:t>本文研究中国市场的人形机器人末端六维力传感器，即装在腕部或踝部、同时测量三个方向的力和三个方向的力矩的传感器模组，按"颗"计量。机器人形态包括双足和轮式底盘的全尺寸人形机器人：目前明确搭载六维力的工业机型中，优必选 Walker S2 为双足，智元 A2-W 和银河通用 G1 为轮式，只统计双足会漏掉相当一部分需求，也与第三方出货统计口径不一致。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912"/>
        <w:gridCol w:w="4535"/>
        <w:gridCol w:w="4418"/>
      </w:tblGrid>
      <w:tr>
        <w:trPr>
          <w:tblHeader w:val="true"/>
          <w:cantSplit/>
        </w:trPr>
        <w:tc>
          <w:tcPr>
            <w:tcW w:type="dxa" w:w="912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本文口径</w:t>
            </w:r>
          </w:p>
        </w:tc>
        <w:tc>
          <w:tcPr>
            <w:tcW w:type="dxa" w:w="4418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不包含</w:t>
            </w:r>
          </w:p>
        </w:tc>
      </w:tr>
      <w:tr>
        <w:trPr>
          <w:cantSplit/>
        </w:trPr>
        <w:tc>
          <w:tcPr>
            <w:tcW w:type="dxa" w:w="9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机器人形态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全尺寸人形机器人（双足、轮式），出货口径跟随 GGII / IDC</w:t>
            </w:r>
          </w:p>
        </w:tc>
        <w:tc>
          <w:tcPr>
            <w:tcW w:type="dxa" w:w="441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 米以下消费级人形、四足、协作机器人、工业机器人</w:t>
            </w:r>
          </w:p>
        </w:tc>
      </w:tr>
      <w:tr>
        <w:trPr>
          <w:cantSplit/>
        </w:trPr>
        <w:tc>
          <w:tcPr>
            <w:tcW w:type="dxa" w:w="9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产品</w:t>
            </w:r>
          </w:p>
        </w:tc>
        <w:tc>
          <w:tcPr>
            <w:tcW w:type="dxa" w:w="453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腕部、踝部六维力/力矩传感器</w:t>
            </w:r>
          </w:p>
        </w:tc>
        <w:tc>
          <w:tcPr>
            <w:tcW w:type="dxa" w:w="4418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关节扭矩传感器、触觉阵列、一维/三维力传感器、灵巧手指尖力传感器</w:t>
            </w:r>
          </w:p>
        </w:tc>
      </w:tr>
      <w:tr>
        <w:trPr>
          <w:cantSplit/>
        </w:trPr>
        <w:tc>
          <w:tcPr>
            <w:tcW w:type="dxa" w:w="9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地域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国内整机厂需求、国内供应商、A 股/港股上市公司</w:t>
            </w:r>
          </w:p>
        </w:tc>
        <w:tc>
          <w:tcPr>
            <w:tcW w:type="dxa" w:w="441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海外整机厂与海外供应商（进口价格只作对照）</w:t>
            </w:r>
          </w:p>
        </w:tc>
      </w:tr>
      <w:tr>
        <w:trPr>
          <w:cantSplit/>
        </w:trPr>
        <w:tc>
          <w:tcPr>
            <w:tcW w:type="dxa" w:w="9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时间</w:t>
            </w:r>
          </w:p>
        </w:tc>
        <w:tc>
          <w:tcPr>
            <w:tcW w:type="dxa" w:w="453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2025 年实际，2026–2030 年预测</w:t>
            </w:r>
          </w:p>
        </w:tc>
        <w:tc>
          <w:tcPr>
            <w:tcW w:type="dxa" w:w="4418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2030 年以后的远期空间</w:t>
            </w:r>
          </w:p>
        </w:tc>
      </w:tr>
    </w:tbl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1.2 客户经济性：汽车工厂搬运在中性参数下尚不能回本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在中性参数下，汽车工厂料箱搬运的年运维成本已超过可节省的人工成本。</w:t>
      </w:r>
      <w:r>
        <w:rPr>
          <w:rFonts w:ascii="Arial" w:hAnsi="Arial" w:cs="Arial" w:eastAsia="微软雅黑"/>
        </w:rPr>
        <w:t xml:space="preserve"> 本文选取国内汽车整车和零部件工厂的线边料箱搬运、上下料作为样本任务。这是国内人形机器人工业实训最集中的场景，优必选、小米、乐聚等均有公开案例，也是需要腕部六维力完成力控抓放的任务。按初始投入 50 万元、两班运行、速度为人工的 45%、成功率 98%、一名工程师照看四台计算，一台机器人每年等效替代约 0.75 名工人，节省人工约 7.87 万元；维保、工程师照看和能耗每年新增约 8.97 万元，年净节省为负，无法回本。在其他参数不变的情况下，要在 5 年内回本，速度需达到人工的 108%。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7901"/>
        <w:gridCol w:w="1964"/>
      </w:tblGrid>
      <w:tr>
        <w:trPr>
          <w:tblHeader w:val="true"/>
          <w:cantSplit/>
        </w:trPr>
        <w:tc>
          <w:tcPr>
            <w:tcW w:type="dxa" w:w="7901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情形（其他参数取中性值）</w:t>
            </w:r>
          </w:p>
        </w:tc>
        <w:tc>
          <w:tcPr>
            <w:tcW w:type="dxa" w:w="1964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回本期</w:t>
            </w:r>
          </w:p>
        </w:tc>
      </w:tr>
      <w:tr>
        <w:trPr>
          <w:cantSplit/>
        </w:trPr>
        <w:tc>
          <w:tcPr>
            <w:tcW w:type="dxa" w:w="790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中性参数</w:t>
            </w:r>
          </w:p>
        </w:tc>
        <w:tc>
          <w:tcPr>
            <w:tcW w:type="dxa" w:w="19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无法回本</w:t>
            </w:r>
          </w:p>
        </w:tc>
      </w:tr>
      <w:tr>
        <w:trPr>
          <w:cantSplit/>
        </w:trPr>
        <w:tc>
          <w:tcPr>
            <w:tcW w:type="dxa" w:w="790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只把初始投入降到车企期望的 25 万元</w:t>
            </w:r>
          </w:p>
        </w:tc>
        <w:tc>
          <w:tcPr>
            <w:tcW w:type="dxa" w:w="196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约 18 年</w:t>
            </w:r>
          </w:p>
        </w:tc>
      </w:tr>
      <w:tr>
        <w:trPr>
          <w:cantSplit/>
        </w:trPr>
        <w:tc>
          <w:tcPr>
            <w:tcW w:type="dxa" w:w="790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只把速度提高到优必选 2027 年目标的 80%</w:t>
            </w:r>
          </w:p>
        </w:tc>
        <w:tc>
          <w:tcPr>
            <w:tcW w:type="dxa" w:w="19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约 10 年</w:t>
            </w:r>
          </w:p>
        </w:tc>
      </w:tr>
      <w:tr>
        <w:trPr>
          <w:cantSplit/>
        </w:trPr>
        <w:tc>
          <w:tcPr>
            <w:tcW w:type="dxa" w:w="790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投入降到 25 万元，同时速度提高到 80%</w:t>
            </w:r>
          </w:p>
        </w:tc>
        <w:tc>
          <w:tcPr>
            <w:tcW w:type="dxa" w:w="196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约 3.3 年</w:t>
            </w:r>
          </w:p>
        </w:tc>
      </w:tr>
      <w:tr>
        <w:trPr>
          <w:cantSplit/>
        </w:trPr>
        <w:tc>
          <w:tcPr>
            <w:tcW w:type="dxa" w:w="790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全部取乐观值（宇树 H2 价格、三班运行、70% 速度、1:10 照看比）</w:t>
            </w:r>
          </w:p>
        </w:tc>
        <w:tc>
          <w:tcPr>
            <w:tcW w:type="dxa" w:w="19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约 1 年</w:t>
            </w:r>
          </w:p>
        </w:tc>
      </w:tr>
    </w:tbl>
    <w:p>
      <w:pPr>
        <w:spacing w:after="160"/>
      </w:pPr>
      <w:r>
        <w:rPr>
          <w:rFonts w:ascii="Arial" w:hAnsi="Arial" w:cs="Arial" w:eastAsia="微软雅黑"/>
          <w:color w:val="595959"/>
          <w:sz w:val="15"/>
        </w:rPr>
        <w:t>资料来源：优必选、东风柳汽、小米、乐聚等公开案例，国家统计局，作者测算。完整参数见附录 A。</w:t>
      </w:r>
    </w:p>
    <w:p>
      <w:pPr>
        <w:jc w:val="both"/>
      </w:pPr>
      <w:r>
        <w:rPr>
          <w:rFonts w:ascii="Arial" w:hAnsi="Arial" w:cs="Arial" w:eastAsia="微软雅黑"/>
        </w:rPr>
        <w:t>降价和提效需要同时发生，才能让这类任务进入 5 年以内的回本区间。乐观情形是各项参数同时取最好值的结果，其中宇树 H2 在汽车工厂的搬运能力尚未得到验证。外部测算普遍更乐观：伯恩斯坦估算中国工厂搬运约 6.7 年回本；乐聚测算约 2 年与人工成本持平，但未计维保费；兆丰自测 2–3 年，但其董事长表示最初未计采购成本。本文中性结果更保守，主要是因为计入了采购成本、维保和工程师照看。</w:t>
      </w:r>
    </w:p>
    <w:p>
      <w:pPr>
        <w:jc w:val="both"/>
      </w:pPr>
      <w:r>
        <w:rPr>
          <w:rFonts w:ascii="Arial" w:hAnsi="Arial" w:cs="Arial" w:eastAsia="微软雅黑"/>
        </w:rPr>
        <w:t>我们认为，2026–2027 年的工业采购仍以实训、示范和战略采购为主，还不是由 ROI 驱动的规模替代。本文基准情景隐含效率和运维成本在 2027–2028 年逐步改善；若改善不及预期，需求更接近悲观情景。需要说明的是，以上结论只适用于汽车工厂搬运类任务；3C 上下料、物流分拣的节拍和人工成本不同，不能直接外推。</w:t>
      </w:r>
    </w:p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1.3 需求测算：基准 2030 年约 42 亿元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需求（颗）= 整机出货 × 搭载率 × 单机用量；市场规模 = 需求 × 单价。</w:t>
      </w:r>
      <w:r>
        <w:rPr>
          <w:rFonts w:ascii="Arial" w:hAnsi="Arial" w:cs="Arial" w:eastAsia="微软雅黑"/>
        </w:rPr>
        <w:t xml:space="preserve"> 本文的搭载率定义为"搭载六维力的整机出货台数 ÷ 总出货台数"，按出货加权，而不是按型号数量计算。2025 年的 23%–34% 由 GGII、赛迪的传感器用量除以整机出货、再按搭载机型每台 2.7–3 颗折算得到，本身就是出货加权口径。中金给出的 2030 年 55% 原文称为"渗透率"，未说明按型号还是按出货台数统计，本文按出货台数口径使用，有待核对原文。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2588"/>
        <w:gridCol w:w="871"/>
        <w:gridCol w:w="871"/>
        <w:gridCol w:w="871"/>
        <w:gridCol w:w="4664"/>
      </w:tblGrid>
      <w:tr>
        <w:trPr>
          <w:tblHeader w:val="true"/>
          <w:cantSplit/>
        </w:trPr>
        <w:tc>
          <w:tcPr>
            <w:tcW w:type="dxa" w:w="2588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871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悲观</w:t>
            </w:r>
          </w:p>
        </w:tc>
        <w:tc>
          <w:tcPr>
            <w:tcW w:type="dxa" w:w="871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基准</w:t>
            </w:r>
          </w:p>
        </w:tc>
        <w:tc>
          <w:tcPr>
            <w:tcW w:type="dxa" w:w="871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乐观</w:t>
            </w:r>
          </w:p>
        </w:tc>
        <w:tc>
          <w:tcPr>
            <w:tcW w:type="dxa" w:w="4664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依据</w:t>
            </w:r>
          </w:p>
        </w:tc>
      </w:tr>
      <w:tr>
        <w:trPr>
          <w:cantSplit/>
        </w:trPr>
        <w:tc>
          <w:tcPr>
            <w:tcW w:type="dxa" w:w="258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2030 年中国人形整机出货（万台）</w:t>
            </w:r>
          </w:p>
        </w:tc>
        <w:tc>
          <w:tcPr>
            <w:tcW w:type="dxa" w:w="8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25</w:t>
            </w:r>
          </w:p>
        </w:tc>
        <w:tc>
          <w:tcPr>
            <w:tcW w:type="dxa" w:w="8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44.6</w:t>
            </w:r>
          </w:p>
        </w:tc>
        <w:tc>
          <w:tcPr>
            <w:tcW w:type="dxa" w:w="8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58.4</w:t>
            </w:r>
          </w:p>
        </w:tc>
        <w:tc>
          <w:tcPr>
            <w:tcW w:type="dxa" w:w="46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基准取摩根士丹利；乐观按 IDC 2030 年全球 75 万台以上 × 2026H1 中国占比 77.9%；悲观为作者假设</w:t>
            </w:r>
          </w:p>
        </w:tc>
      </w:tr>
      <w:tr>
        <w:trPr>
          <w:cantSplit/>
        </w:trPr>
        <w:tc>
          <w:tcPr>
            <w:tcW w:type="dxa" w:w="2588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搭载率（按出货台数）</w:t>
            </w:r>
          </w:p>
        </w:tc>
        <w:tc>
          <w:tcPr>
            <w:tcW w:type="dxa" w:w="87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35%</w:t>
            </w:r>
          </w:p>
        </w:tc>
        <w:tc>
          <w:tcPr>
            <w:tcW w:type="dxa" w:w="87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55%</w:t>
            </w:r>
          </w:p>
        </w:tc>
        <w:tc>
          <w:tcPr>
            <w:tcW w:type="dxa" w:w="87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70%</w:t>
            </w:r>
          </w:p>
        </w:tc>
        <w:tc>
          <w:tcPr>
            <w:tcW w:type="dxa" w:w="466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中金 2030 年 55%；2025 年反推约 23%–34%</w:t>
            </w:r>
          </w:p>
        </w:tc>
      </w:tr>
      <w:tr>
        <w:trPr>
          <w:cantSplit/>
        </w:trPr>
        <w:tc>
          <w:tcPr>
            <w:tcW w:type="dxa" w:w="258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单机用量（颗/搭载机型）</w:t>
            </w:r>
          </w:p>
        </w:tc>
        <w:tc>
          <w:tcPr>
            <w:tcW w:type="dxa" w:w="8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</w:t>
            </w:r>
          </w:p>
        </w:tc>
        <w:tc>
          <w:tcPr>
            <w:tcW w:type="dxa" w:w="8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3</w:t>
            </w:r>
          </w:p>
        </w:tc>
        <w:tc>
          <w:tcPr>
            <w:tcW w:type="dxa" w:w="8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4</w:t>
            </w:r>
          </w:p>
        </w:tc>
        <w:tc>
          <w:tcPr>
            <w:tcW w:type="dxa" w:w="46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只配腕部 2 颗，腕 + 踝 4 颗；赛迪称 2–4 颗</w:t>
            </w:r>
          </w:p>
        </w:tc>
      </w:tr>
      <w:tr>
        <w:trPr>
          <w:cantSplit/>
        </w:trPr>
        <w:tc>
          <w:tcPr>
            <w:tcW w:type="dxa" w:w="2588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有效颗/台（搭载率 × 单机用量）</w:t>
            </w:r>
          </w:p>
        </w:tc>
        <w:tc>
          <w:tcPr>
            <w:tcW w:type="dxa" w:w="87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0.70</w:t>
            </w:r>
          </w:p>
        </w:tc>
        <w:tc>
          <w:tcPr>
            <w:tcW w:type="dxa" w:w="87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1.65</w:t>
            </w:r>
          </w:p>
        </w:tc>
        <w:tc>
          <w:tcPr>
            <w:tcW w:type="dxa" w:w="87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2.80</w:t>
            </w:r>
          </w:p>
        </w:tc>
        <w:tc>
          <w:tcPr>
            <w:tcW w:type="dxa" w:w="466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计算</w:t>
            </w:r>
          </w:p>
        </w:tc>
      </w:tr>
      <w:tr>
        <w:trPr>
          <w:cantSplit/>
        </w:trPr>
        <w:tc>
          <w:tcPr>
            <w:tcW w:type="dxa" w:w="258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2030 年单价（元/颗）</w:t>
            </w:r>
          </w:p>
        </w:tc>
        <w:tc>
          <w:tcPr>
            <w:tcW w:type="dxa" w:w="8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6,320</w:t>
            </w:r>
          </w:p>
        </w:tc>
        <w:tc>
          <w:tcPr>
            <w:tcW w:type="dxa" w:w="8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5,760</w:t>
            </w:r>
          </w:p>
        </w:tc>
        <w:tc>
          <w:tcPr>
            <w:tcW w:type="dxa" w:w="8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4,456</w:t>
            </w:r>
          </w:p>
        </w:tc>
        <w:tc>
          <w:tcPr>
            <w:tcW w:type="dxa" w:w="46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2025 年 1.2 / 2.0 / 2.5 万元起，逐年降价</w:t>
            </w:r>
          </w:p>
        </w:tc>
      </w:tr>
      <w:tr>
        <w:trPr>
          <w:cantSplit/>
        </w:trPr>
        <w:tc>
          <w:tcPr>
            <w:tcW w:type="dxa" w:w="2588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2030 年需求（万颗）</w:t>
            </w:r>
          </w:p>
        </w:tc>
        <w:tc>
          <w:tcPr>
            <w:tcW w:type="dxa" w:w="87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17.5</w:t>
            </w:r>
          </w:p>
        </w:tc>
        <w:tc>
          <w:tcPr>
            <w:tcW w:type="dxa" w:w="87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73.6</w:t>
            </w:r>
          </w:p>
        </w:tc>
        <w:tc>
          <w:tcPr>
            <w:tcW w:type="dxa" w:w="87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163.5</w:t>
            </w:r>
          </w:p>
        </w:tc>
        <w:tc>
          <w:tcPr>
            <w:tcW w:type="dxa" w:w="466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计算</w:t>
            </w:r>
          </w:p>
        </w:tc>
      </w:tr>
      <w:tr>
        <w:trPr>
          <w:cantSplit/>
        </w:trPr>
        <w:tc>
          <w:tcPr>
            <w:tcW w:type="dxa" w:w="258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2030 年市场规模（亿元）</w:t>
            </w:r>
          </w:p>
        </w:tc>
        <w:tc>
          <w:tcPr>
            <w:tcW w:type="dxa" w:w="8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11.1</w:t>
            </w:r>
          </w:p>
        </w:tc>
        <w:tc>
          <w:tcPr>
            <w:tcW w:type="dxa" w:w="8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42.4</w:t>
            </w:r>
          </w:p>
        </w:tc>
        <w:tc>
          <w:tcPr>
            <w:tcW w:type="dxa" w:w="8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72.9</w:t>
            </w:r>
          </w:p>
        </w:tc>
        <w:tc>
          <w:tcPr>
            <w:tcW w:type="dxa" w:w="46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计算</w:t>
            </w:r>
          </w:p>
        </w:tc>
      </w:tr>
    </w:tbl>
    <w:p>
      <w:pPr>
        <w:spacing w:after="160"/>
      </w:pPr>
      <w:r>
        <w:rPr>
          <w:rFonts w:ascii="Arial" w:hAnsi="Arial" w:cs="Arial" w:eastAsia="微软雅黑"/>
          <w:color w:val="595959"/>
          <w:sz w:val="15"/>
        </w:rPr>
        <w:t>资料来源：摩根士丹利、IDC、中金、赛迪、GGII、国信证券，作者测算。注：单价与搭载率反向搭配，搭载率越高，规模效应越大，降价越快。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23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市场规模与单价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2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模型 2025 年数值与第三方统计基本吻合。</w:t>
      </w:r>
      <w:r>
        <w:rPr>
          <w:rFonts w:ascii="Arial" w:hAnsi="Arial" w:cs="Arial" w:eastAsia="微软雅黑"/>
        </w:rPr>
        <w:t xml:space="preserve"> 模型 2025 年需求 1.51 万颗、市场规模 3.0 亿元，金额介于 GGII（2.46 亿元）和赛迪（3.3 亿元）之间；用量略高，原因是整机出货采用 GGII 的 1.8 万台，而赛迪为 1.44 万台。IDC 统计 2026 年上半年中国人形机器人出货 1.9 万台，约为基准全年 6.25 万台的 30%；同期科研教育、表演展示和数据采集仍占出货的 69%，这些机型多数不搭载六维力，因此 2026 年搭载率只取 33%。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单机用量的依据来自主流机型的公开配置。</w:t>
      </w:r>
      <w:r>
        <w:rPr>
          <w:rFonts w:ascii="Arial" w:hAnsi="Arial" w:cs="Arial" w:eastAsia="微软雅黑"/>
        </w:rPr>
        <w:t xml:space="preserve"> 需要力控抓放的工业机型普遍在腕部配置六维力；踝部配置较少，部分机型以足底传感替代。宇树和智元双足版的公开规格尚未列出六维力，但"未列出"不等于"未搭载"。本文没有将这些机型直接按零计入，而是用行业总量反推平均搭载率。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2768"/>
        <w:gridCol w:w="719"/>
        <w:gridCol w:w="2471"/>
        <w:gridCol w:w="3907"/>
      </w:tblGrid>
      <w:tr>
        <w:trPr>
          <w:tblHeader w:val="true"/>
          <w:cantSplit/>
        </w:trPr>
        <w:tc>
          <w:tcPr>
            <w:tcW w:type="dxa" w:w="2768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机型</w:t>
            </w:r>
          </w:p>
        </w:tc>
        <w:tc>
          <w:tcPr>
            <w:tcW w:type="dxa" w:w="719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形态</w:t>
            </w:r>
          </w:p>
        </w:tc>
        <w:tc>
          <w:tcPr>
            <w:tcW w:type="dxa" w:w="2471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公开配置中的六维力</w:t>
            </w:r>
          </w:p>
        </w:tc>
        <w:tc>
          <w:tcPr>
            <w:tcW w:type="dxa" w:w="3907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资料来源</w:t>
            </w:r>
          </w:p>
        </w:tc>
      </w:tr>
      <w:tr>
        <w:trPr>
          <w:cantSplit/>
        </w:trPr>
        <w:tc>
          <w:tcPr>
            <w:tcW w:type="dxa" w:w="276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优必选 Walker S2（主力量产）</w:t>
            </w:r>
          </w:p>
        </w:tc>
        <w:tc>
          <w:tcPr>
            <w:tcW w:type="dxa" w:w="71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双足</w:t>
            </w:r>
          </w:p>
        </w:tc>
        <w:tc>
          <w:tcPr>
            <w:tcW w:type="dxa" w:w="24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 颗</w:t>
            </w:r>
          </w:p>
        </w:tc>
        <w:tc>
          <w:tcPr>
            <w:tcW w:type="dxa" w:w="390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国信证券据官网参数整理（与同报告"均配 4 颗"的表述冲突，以分机型数据为准）</w:t>
            </w:r>
          </w:p>
        </w:tc>
      </w:tr>
      <w:tr>
        <w:trPr>
          <w:cantSplit/>
        </w:trPr>
        <w:tc>
          <w:tcPr>
            <w:tcW w:type="dxa" w:w="2768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优必选 Walker S1 / Walker X</w:t>
            </w:r>
          </w:p>
        </w:tc>
        <w:tc>
          <w:tcPr>
            <w:tcW w:type="dxa" w:w="71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双足</w:t>
            </w:r>
          </w:p>
        </w:tc>
        <w:tc>
          <w:tcPr>
            <w:tcW w:type="dxa" w:w="247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4 颗（腕 2 + 踝 2）</w:t>
            </w:r>
          </w:p>
        </w:tc>
        <w:tc>
          <w:tcPr>
            <w:tcW w:type="dxa" w:w="390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国信证券、华宝证券</w:t>
            </w:r>
          </w:p>
        </w:tc>
      </w:tr>
      <w:tr>
        <w:trPr>
          <w:cantSplit/>
        </w:trPr>
        <w:tc>
          <w:tcPr>
            <w:tcW w:type="dxa" w:w="276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智元 远征 A2-W</w:t>
            </w:r>
          </w:p>
        </w:tc>
        <w:tc>
          <w:tcPr>
            <w:tcW w:type="dxa" w:w="71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轮式</w:t>
            </w:r>
          </w:p>
        </w:tc>
        <w:tc>
          <w:tcPr>
            <w:tcW w:type="dxa" w:w="24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 颗</w:t>
            </w:r>
          </w:p>
        </w:tc>
        <w:tc>
          <w:tcPr>
            <w:tcW w:type="dxa" w:w="390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智元官网（转述）</w:t>
            </w:r>
          </w:p>
        </w:tc>
      </w:tr>
      <w:tr>
        <w:trPr>
          <w:cantSplit/>
        </w:trPr>
        <w:tc>
          <w:tcPr>
            <w:tcW w:type="dxa" w:w="2768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智元 远征 A2（交互服务版）</w:t>
            </w:r>
          </w:p>
        </w:tc>
        <w:tc>
          <w:tcPr>
            <w:tcW w:type="dxa" w:w="71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双足</w:t>
            </w:r>
          </w:p>
        </w:tc>
        <w:tc>
          <w:tcPr>
            <w:tcW w:type="dxa" w:w="247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未列出（列有足底传感器）</w:t>
            </w:r>
          </w:p>
        </w:tc>
        <w:tc>
          <w:tcPr>
            <w:tcW w:type="dxa" w:w="390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智元官网</w:t>
            </w:r>
          </w:p>
        </w:tc>
      </w:tr>
      <w:tr>
        <w:trPr>
          <w:cantSplit/>
        </w:trPr>
        <w:tc>
          <w:tcPr>
            <w:tcW w:type="dxa" w:w="276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银河通用 Galbot G1</w:t>
            </w:r>
          </w:p>
        </w:tc>
        <w:tc>
          <w:tcPr>
            <w:tcW w:type="dxa" w:w="71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轮式</w:t>
            </w:r>
          </w:p>
        </w:tc>
        <w:tc>
          <w:tcPr>
            <w:tcW w:type="dxa" w:w="24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腕部 2 颗</w:t>
            </w:r>
          </w:p>
        </w:tc>
        <w:tc>
          <w:tcPr>
            <w:tcW w:type="dxa" w:w="390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银河通用官方开发者文档</w:t>
            </w:r>
          </w:p>
        </w:tc>
      </w:tr>
      <w:tr>
        <w:trPr>
          <w:cantSplit/>
        </w:trPr>
        <w:tc>
          <w:tcPr>
            <w:tcW w:type="dxa" w:w="2768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宇树 H1 / H2 / G1</w:t>
            </w:r>
          </w:p>
        </w:tc>
        <w:tc>
          <w:tcPr>
            <w:tcW w:type="dxa" w:w="71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双足</w:t>
            </w:r>
          </w:p>
        </w:tc>
        <w:tc>
          <w:tcPr>
            <w:tcW w:type="dxa" w:w="247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未列出（第三方推断以电机电流估计力矩为主）</w:t>
            </w:r>
          </w:p>
        </w:tc>
        <w:tc>
          <w:tcPr>
            <w:tcW w:type="dxa" w:w="390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宇树官网</w:t>
            </w:r>
          </w:p>
        </w:tc>
      </w:tr>
      <w:tr>
        <w:trPr>
          <w:cantSplit/>
        </w:trPr>
        <w:tc>
          <w:tcPr>
            <w:tcW w:type="dxa" w:w="276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小鹏 IRON、傅利叶 GR-1/GR-2</w:t>
            </w:r>
          </w:p>
        </w:tc>
        <w:tc>
          <w:tcPr>
            <w:tcW w:type="dxa" w:w="71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双足</w:t>
            </w:r>
          </w:p>
        </w:tc>
        <w:tc>
          <w:tcPr>
            <w:tcW w:type="dxa" w:w="247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未披露数量</w:t>
            </w:r>
          </w:p>
        </w:tc>
        <w:tc>
          <w:tcPr>
            <w:tcW w:type="dxa" w:w="390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媒体报道</w:t>
            </w:r>
          </w:p>
        </w:tc>
      </w:tr>
    </w:tbl>
    <w:p>
      <w:pPr>
        <w:spacing w:after="160"/>
      </w:pPr>
      <w:r>
        <w:rPr>
          <w:rFonts w:ascii="Arial" w:hAnsi="Arial" w:cs="Arial" w:eastAsia="微软雅黑"/>
          <w:color w:val="595959"/>
          <w:sz w:val="15"/>
        </w:rPr>
        <w:t>资料来源：公司官网、国信证券、华宝证券，作者整理。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02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2030市场规模对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第三方预测的分歧主要在每台用量，不在单价。</w:t>
      </w:r>
      <w:r>
        <w:rPr>
          <w:rFonts w:ascii="Arial" w:hAnsi="Arial" w:cs="Arial" w:eastAsia="微软雅黑"/>
        </w:rPr>
        <w:t xml:space="preserve"> GGII 预计 2030 年中国人形六维力出货 46 万台、规模 18 亿元；赛迪预计 120 万颗、60 亿元，隐含 40 万台整机全部搭载、每台约 3 颗。两者相差 3.3 倍，每台平均用量约为 1.0 颗与 3.0 颗之别，而隐含单价只是 3,900 元与 5,000 元之别。模型敏感性表也显示：单价 5,800 元时，有效颗/台从 1.0 升到 2.8，市场规模从 25.9 亿元升到 72.4 亿元；有效颗/台固定在 1.65 时，单价在 3,600–6,300 元之间变动，市场规模只在 26.5–46.4 亿元之间。因此，最值得跟踪的是</w:t>
      </w:r>
      <w:r>
        <w:rPr>
          <w:rFonts w:ascii="Arial" w:hAnsi="Arial" w:cs="Arial" w:eastAsia="微软雅黑"/>
          <w:b/>
          <w:color w:val="1F3864"/>
        </w:rPr>
        <w:t>主流量产机型是否搭载六维力</w:t>
      </w:r>
      <w:r>
        <w:rPr>
          <w:rFonts w:ascii="Arial" w:hAnsi="Arial" w:cs="Arial" w:eastAsia="微软雅黑"/>
        </w:rPr>
        <w:t>，其次才是价格。</w:t>
      </w:r>
    </w:p>
    <w:p>
      <w:pPr>
        <w:pStyle w:val="Heading1"/>
      </w:pPr>
      <w:r>
        <w:rPr>
          <w:rFonts w:ascii="Arial" w:hAnsi="Arial" w:cs="Arial" w:eastAsia="微软雅黑"/>
          <w:b/>
          <w:color w:val="1F3864"/>
          <w:sz w:val="28"/>
        </w:rPr>
        <w:t>2. 产业链与竞争：价值量高，但份额集中于未上市厂商</w:t>
      </w:r>
    </w:p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2.1 六维力在整机 BOM 中的位置（示意测算）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按示意测算，六维力约占 Walker S2 整机 BOM 的 17%，是单机价值最高的传感器之一。</w:t>
      </w:r>
      <w:r>
        <w:rPr>
          <w:rFonts w:ascii="Arial" w:hAnsi="Arial" w:cs="Arial" w:eastAsia="微软雅黑"/>
        </w:rPr>
        <w:t xml:space="preserve"> 按 Walker S2 两颗、2026 年基准单价 1.5 万元/颗计算，六维力约 3.0 万元；以大和证券估计的 S2 BOM 约 18 万元为分母，占比约 17%。这一数值的分子是本文的单价假设，分母是第三方估计，并非整机厂披露的实际采购成本占比。它与赛迪、华宝"约 15%"的说法接近，但高于 Counterpoint 对特斯拉 Optimus V3 的估计（全部传感器合计 13.2%）。差异可能来自两方面：Optimus 的力觉方案和量产单价不同（国信按 2,000 元/颗测算），优必选的实际采购价也可能低于 1.5 万元。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2250"/>
        <w:gridCol w:w="2549"/>
        <w:gridCol w:w="3874"/>
        <w:gridCol w:w="1192"/>
      </w:tblGrid>
      <w:tr>
        <w:trPr>
          <w:tblHeader w:val="true"/>
          <w:cantSplit/>
        </w:trPr>
        <w:tc>
          <w:tcPr>
            <w:tcW w:type="dxa" w:w="2250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一级模块</w:t>
            </w:r>
          </w:p>
        </w:tc>
        <w:tc>
          <w:tcPr>
            <w:tcW w:type="dxa" w:w="2549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占整机 BOM（Optimus V3 参照）</w:t>
            </w:r>
          </w:p>
        </w:tc>
        <w:tc>
          <w:tcPr>
            <w:tcW w:type="dxa" w:w="3874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国产机型：数量 × 单价</w:t>
            </w:r>
          </w:p>
        </w:tc>
        <w:tc>
          <w:tcPr>
            <w:tcW w:type="dxa" w:w="1192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是否含在上级模块中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旋转执行器</w:t>
            </w:r>
          </w:p>
        </w:tc>
        <w:tc>
          <w:tcPr>
            <w:tcW w:type="dxa" w:w="254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16.1%</w:t>
            </w:r>
          </w:p>
        </w:tc>
        <w:tc>
          <w:tcPr>
            <w:tcW w:type="dxa" w:w="387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未披露</w:t>
            </w:r>
          </w:p>
        </w:tc>
        <w:tc>
          <w:tcPr>
            <w:tcW w:type="dxa" w:w="119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5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直线执行器</w:t>
            </w:r>
          </w:p>
        </w:tc>
        <w:tc>
          <w:tcPr>
            <w:tcW w:type="dxa" w:w="254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23.0%</w:t>
            </w:r>
          </w:p>
        </w:tc>
        <w:tc>
          <w:tcPr>
            <w:tcW w:type="dxa" w:w="387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未披露</w:t>
            </w:r>
          </w:p>
        </w:tc>
        <w:tc>
          <w:tcPr>
            <w:tcW w:type="dxa" w:w="119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灵巧手（完整模块）</w:t>
            </w:r>
          </w:p>
        </w:tc>
        <w:tc>
          <w:tcPr>
            <w:tcW w:type="dxa" w:w="254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19.7%</w:t>
            </w:r>
          </w:p>
        </w:tc>
        <w:tc>
          <w:tcPr>
            <w:tcW w:type="dxa" w:w="387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 只 × 约 1.86 万元（中国 2025 年隐含均价）</w:t>
            </w:r>
          </w:p>
        </w:tc>
        <w:tc>
          <w:tcPr>
            <w:tcW w:type="dxa" w:w="119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5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└ 其中：手部力/触觉传感器</w:t>
            </w:r>
          </w:p>
        </w:tc>
        <w:tc>
          <w:tcPr>
            <w:tcW w:type="dxa" w:w="254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—</w:t>
            </w:r>
          </w:p>
        </w:tc>
        <w:tc>
          <w:tcPr>
            <w:tcW w:type="dxa" w:w="387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未披露</w:t>
            </w:r>
          </w:p>
        </w:tc>
        <w:tc>
          <w:tcPr>
            <w:tcW w:type="dxa" w:w="119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是（不重复计入）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传感器合计（六维力、视觉、IMU 等）</w:t>
            </w:r>
          </w:p>
        </w:tc>
        <w:tc>
          <w:tcPr>
            <w:tcW w:type="dxa" w:w="254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13.2%</w:t>
            </w:r>
          </w:p>
        </w:tc>
        <w:tc>
          <w:tcPr>
            <w:tcW w:type="dxa" w:w="387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未披露</w:t>
            </w:r>
          </w:p>
        </w:tc>
        <w:tc>
          <w:tcPr>
            <w:tcW w:type="dxa" w:w="119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5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└ 其中：腕部/踝部六维力</w:t>
            </w:r>
          </w:p>
        </w:tc>
        <w:tc>
          <w:tcPr>
            <w:tcW w:type="dxa" w:w="254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未单列</w:t>
            </w:r>
          </w:p>
        </w:tc>
        <w:tc>
          <w:tcPr>
            <w:tcW w:type="dxa" w:w="387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 颗 × 1.5 万元 = 3.0 万元（示意）</w:t>
            </w:r>
          </w:p>
        </w:tc>
        <w:tc>
          <w:tcPr>
            <w:tcW w:type="dxa" w:w="119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是（属传感器模块）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计算与控制、电池、结构件等</w:t>
            </w:r>
          </w:p>
        </w:tc>
        <w:tc>
          <w:tcPr>
            <w:tcW w:type="dxa" w:w="254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28.0%</w:t>
            </w:r>
          </w:p>
        </w:tc>
        <w:tc>
          <w:tcPr>
            <w:tcW w:type="dxa" w:w="387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未披露</w:t>
            </w:r>
          </w:p>
        </w:tc>
        <w:tc>
          <w:tcPr>
            <w:tcW w:type="dxa" w:w="119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25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整机 BOM 合计</w:t>
            </w:r>
          </w:p>
        </w:tc>
        <w:tc>
          <w:tcPr>
            <w:tcW w:type="dxa" w:w="254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100%</w:t>
            </w:r>
          </w:p>
        </w:tc>
        <w:tc>
          <w:tcPr>
            <w:tcW w:type="dxa" w:w="387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Walker S2 约 18 万元（2026，大和）；中国造人形约 3.5 万美元（2025，美银）</w:t>
            </w:r>
          </w:p>
        </w:tc>
        <w:tc>
          <w:tcPr>
            <w:tcW w:type="dxa" w:w="119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单列：训练算力、数据采集、年运维</w:t>
            </w:r>
          </w:p>
        </w:tc>
        <w:tc>
          <w:tcPr>
            <w:tcW w:type="dxa" w:w="254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不计入 BOM</w:t>
            </w:r>
          </w:p>
        </w:tc>
        <w:tc>
          <w:tcPr>
            <w:tcW w:type="dxa" w:w="387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年运维见 1.2 节（中性约 8.97 万元/年）</w:t>
            </w:r>
          </w:p>
        </w:tc>
        <w:tc>
          <w:tcPr>
            <w:tcW w:type="dxa" w:w="119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使用成本</w:t>
            </w:r>
          </w:p>
        </w:tc>
      </w:tr>
    </w:tbl>
    <w:p>
      <w:pPr>
        <w:spacing w:after="160"/>
      </w:pPr>
      <w:r>
        <w:rPr>
          <w:rFonts w:ascii="Arial" w:hAnsi="Arial" w:cs="Arial" w:eastAsia="微软雅黑"/>
          <w:color w:val="595959"/>
          <w:sz w:val="15"/>
        </w:rPr>
        <w:t>资料来源：Counterpoint（中银证券转引）、大和证券、美银研究院、前瞻、GGII，作者整理及测算。</w:t>
      </w:r>
    </w:p>
    <w:p>
      <w:pPr>
        <w:jc w:val="both"/>
      </w:pPr>
      <w:r>
        <w:rPr>
          <w:rFonts w:ascii="Arial" w:hAnsi="Arial" w:cs="Arial" w:eastAsia="微软雅黑"/>
        </w:rPr>
        <w:t>两颗六维力的价值已超过一只灵巧手的隐含均价。据大和证券估计，Walker S2 的 BOM 已从约 35 万元降至约 18 万元。整机厂降本时，六维力必然是重点压价对象。</w:t>
      </w:r>
    </w:p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2.2 技术路线：腕部需求较稳，踝部存在替代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1004"/>
        <w:gridCol w:w="1570"/>
        <w:gridCol w:w="2385"/>
        <w:gridCol w:w="1197"/>
        <w:gridCol w:w="2385"/>
        <w:gridCol w:w="1323"/>
      </w:tblGrid>
      <w:tr>
        <w:trPr>
          <w:tblHeader w:val="true"/>
          <w:cantSplit/>
        </w:trPr>
        <w:tc>
          <w:tcPr>
            <w:tcW w:type="dxa" w:w="1004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1570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原理</w:t>
            </w:r>
          </w:p>
        </w:tc>
        <w:tc>
          <w:tcPr>
            <w:tcW w:type="dxa" w:w="2385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精度</w:t>
            </w:r>
          </w:p>
        </w:tc>
        <w:tc>
          <w:tcPr>
            <w:tcW w:type="dxa" w:w="1197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单价</w:t>
            </w:r>
          </w:p>
        </w:tc>
        <w:tc>
          <w:tcPr>
            <w:tcW w:type="dxa" w:w="2385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应用情况</w:t>
            </w:r>
          </w:p>
        </w:tc>
        <w:tc>
          <w:tcPr>
            <w:tcW w:type="dxa" w:w="1323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对六维力需求的影响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末端六维力传感器</w:t>
            </w:r>
          </w:p>
        </w:tc>
        <w:tc>
          <w:tcPr>
            <w:tcW w:type="dxa" w:w="157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弹性体 + 应变片，测三向力和三向力矩后解耦</w:t>
            </w:r>
          </w:p>
        </w:tc>
        <w:tc>
          <w:tcPr>
            <w:tcW w:type="dxa" w:w="238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政策门槛 0.5%FS；国产精度接近外资，灵敏度、抗过载、维间耦合仍有差距</w:t>
            </w:r>
          </w:p>
        </w:tc>
        <w:tc>
          <w:tcPr>
            <w:tcW w:type="dxa" w:w="119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2025 年 1–3 万元/颗</w:t>
            </w:r>
          </w:p>
        </w:tc>
        <w:tc>
          <w:tcPr>
            <w:tcW w:type="dxa" w:w="238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优必选、智元 A2-W、银河通用 G1</w:t>
            </w:r>
          </w:p>
        </w:tc>
        <w:tc>
          <w:tcPr>
            <w:tcW w:type="dxa" w:w="132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00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关节扭矩传感器</w:t>
            </w:r>
          </w:p>
        </w:tc>
        <w:tc>
          <w:tcPr>
            <w:tcW w:type="dxa" w:w="157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每个关节测单轴扭矩</w:t>
            </w:r>
          </w:p>
        </w:tc>
        <w:tc>
          <w:tcPr>
            <w:tcW w:type="dxa" w:w="238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未找到与六维力的量化对比</w:t>
            </w:r>
          </w:p>
        </w:tc>
        <w:tc>
          <w:tcPr>
            <w:tcW w:type="dxa" w:w="119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量产测算 200–400 元/个</w:t>
            </w:r>
          </w:p>
        </w:tc>
        <w:tc>
          <w:tcPr>
            <w:tcW w:type="dxa" w:w="238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国信按 Optimus 方案测算：14 个旋转关节力矩 + 14 个直线关节力传感器</w:t>
            </w:r>
          </w:p>
        </w:tc>
        <w:tc>
          <w:tcPr>
            <w:tcW w:type="dxa" w:w="132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以互补为主，不能直接测末端接触力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电流环力矩估计</w:t>
            </w:r>
          </w:p>
        </w:tc>
        <w:tc>
          <w:tcPr>
            <w:tcW w:type="dxa" w:w="157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用电机电流推算力矩</w:t>
            </w:r>
          </w:p>
        </w:tc>
        <w:tc>
          <w:tcPr>
            <w:tcW w:type="dxa" w:w="238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精度一般，受摩擦影响</w:t>
            </w:r>
          </w:p>
        </w:tc>
        <w:tc>
          <w:tcPr>
            <w:tcW w:type="dxa" w:w="119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无需额外传感器</w:t>
            </w:r>
          </w:p>
        </w:tc>
        <w:tc>
          <w:tcPr>
            <w:tcW w:type="dxa" w:w="238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宇树 H1/H2/G1 公开规格未列六维力，第三方推断以此为主</w:t>
            </w:r>
          </w:p>
        </w:tc>
        <w:tc>
          <w:tcPr>
            <w:tcW w:type="dxa" w:w="132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若低价机型普遍采用，搭载率将低于基准</w:t>
            </w:r>
          </w:p>
        </w:tc>
      </w:tr>
      <w:tr>
        <w:trPr>
          <w:cantSplit/>
        </w:trPr>
        <w:tc>
          <w:tcPr>
            <w:tcW w:type="dxa" w:w="100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一维/三维力 + 解耦算法</w:t>
            </w:r>
          </w:p>
        </w:tc>
        <w:tc>
          <w:tcPr>
            <w:tcW w:type="dxa" w:w="157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多个低维传感器组合</w:t>
            </w:r>
          </w:p>
        </w:tc>
        <w:tc>
          <w:tcPr>
            <w:tcW w:type="dxa" w:w="238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无公开对比</w:t>
            </w:r>
          </w:p>
        </w:tc>
        <w:tc>
          <w:tcPr>
            <w:tcW w:type="dxa" w:w="119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未找到</w:t>
            </w:r>
          </w:p>
        </w:tc>
        <w:tc>
          <w:tcPr>
            <w:tcW w:type="dxa" w:w="238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未找到量产案例</w:t>
            </w:r>
          </w:p>
        </w:tc>
        <w:tc>
          <w:tcPr>
            <w:tcW w:type="dxa" w:w="132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腕踝位置的潜在降本方案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足底压力传感</w:t>
            </w:r>
          </w:p>
        </w:tc>
        <w:tc>
          <w:tcPr>
            <w:tcW w:type="dxa" w:w="157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测足底压力分布</w:t>
            </w:r>
          </w:p>
        </w:tc>
        <w:tc>
          <w:tcPr>
            <w:tcW w:type="dxa" w:w="238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60℃ 以上误差由 0.5% 升至 5% 以上</w:t>
            </w:r>
          </w:p>
        </w:tc>
        <w:tc>
          <w:tcPr>
            <w:tcW w:type="dxa" w:w="119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未找到</w:t>
            </w:r>
          </w:p>
        </w:tc>
        <w:tc>
          <w:tcPr>
            <w:tcW w:type="dxa" w:w="238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智元 A2 双足版</w:t>
            </w:r>
          </w:p>
        </w:tc>
        <w:tc>
          <w:tcPr>
            <w:tcW w:type="dxa" w:w="132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可能替代踝部六维力</w:t>
            </w:r>
          </w:p>
        </w:tc>
      </w:tr>
      <w:tr>
        <w:trPr>
          <w:cantSplit/>
        </w:trPr>
        <w:tc>
          <w:tcPr>
            <w:tcW w:type="dxa" w:w="100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触觉阵列</w:t>
            </w:r>
          </w:p>
        </w:tc>
        <w:tc>
          <w:tcPr>
            <w:tcW w:type="dxa" w:w="157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指尖、掌心分布式压力感知</w:t>
            </w:r>
          </w:p>
        </w:tc>
        <w:tc>
          <w:tcPr>
            <w:tcW w:type="dxa" w:w="238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—</w:t>
            </w:r>
          </w:p>
        </w:tc>
        <w:tc>
          <w:tcPr>
            <w:tcW w:type="dxa" w:w="119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指尖降至数百元</w:t>
            </w:r>
          </w:p>
        </w:tc>
        <w:tc>
          <w:tcPr>
            <w:tcW w:type="dxa" w:w="238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傅利叶 GR-2</w:t>
            </w:r>
          </w:p>
        </w:tc>
        <w:tc>
          <w:tcPr>
            <w:tcW w:type="dxa" w:w="132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互补：管手内接触，不管腕部受力</w:t>
            </w:r>
          </w:p>
        </w:tc>
      </w:tr>
    </w:tbl>
    <w:p>
      <w:pPr>
        <w:spacing w:after="160"/>
      </w:pPr>
      <w:r>
        <w:rPr>
          <w:rFonts w:ascii="Arial" w:hAnsi="Arial" w:cs="Arial" w:eastAsia="微软雅黑"/>
          <w:color w:val="595959"/>
          <w:sz w:val="15"/>
        </w:rPr>
        <w:t>资料来源：华宝证券、中金、国信证券、中银证券、GGII、公司官网，作者整理。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腕部需求较稳，踝部更容易被替代。</w:t>
      </w:r>
      <w:r>
        <w:rPr>
          <w:rFonts w:ascii="Arial" w:hAnsi="Arial" w:cs="Arial" w:eastAsia="微软雅黑"/>
        </w:rPr>
        <w:t xml:space="preserve"> 需要力控抓放的工业机型都在腕部配置六维力；踝部则可以用足底传感或电流估计替代，这也是本文基准单机用量取 3 颗、而不是腕 + 踝 4 颗的原因。最大的不确定性在低价机型：宇树和智元 2025 年合计约占六成出货，两家双足版的公开配置尚未确认搭载六维力，需要通过拆解或采购信息进一步核验。若工业场景也转向"电流估计 + 足底传感"的低成本方案，有效颗/台将落入悲观区间。</w:t>
      </w:r>
    </w:p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2.3 竞争格局：份额集中于未上市厂商，规划供给扩张较快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6162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2025份额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1621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1082"/>
        <w:gridCol w:w="2077"/>
        <w:gridCol w:w="2572"/>
        <w:gridCol w:w="2572"/>
        <w:gridCol w:w="1561"/>
      </w:tblGrid>
      <w:tr>
        <w:trPr>
          <w:tblHeader w:val="true"/>
          <w:cantSplit/>
        </w:trPr>
        <w:tc>
          <w:tcPr>
            <w:tcW w:type="dxa" w:w="1082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公司</w:t>
            </w:r>
          </w:p>
        </w:tc>
        <w:tc>
          <w:tcPr>
            <w:tcW w:type="dxa" w:w="2077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上市状态</w:t>
            </w:r>
          </w:p>
        </w:tc>
        <w:tc>
          <w:tcPr>
            <w:tcW w:type="dxa" w:w="2572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份额</w:t>
            </w:r>
          </w:p>
        </w:tc>
        <w:tc>
          <w:tcPr>
            <w:tcW w:type="dxa" w:w="2572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产能</w:t>
            </w:r>
          </w:p>
        </w:tc>
        <w:tc>
          <w:tcPr>
            <w:tcW w:type="dxa" w:w="1561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单价</w:t>
            </w:r>
          </w:p>
        </w:tc>
      </w:tr>
      <w:tr>
        <w:trPr>
          <w:cantSplit/>
        </w:trPr>
        <w:tc>
          <w:tcPr>
            <w:tcW w:type="dxa" w:w="108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蓝点触控</w:t>
            </w:r>
          </w:p>
        </w:tc>
        <w:tc>
          <w:tcPr>
            <w:tcW w:type="dxa" w:w="207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未上市（2026-08 完成 D 轮，有 IPO 计划）</w:t>
            </w:r>
          </w:p>
        </w:tc>
        <w:tc>
          <w:tcPr>
            <w:tcW w:type="dxa" w:w="257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80.3%（赛迪，2025 全年）；72.6%（GGII，2025 前三季度）</w:t>
            </w:r>
          </w:p>
        </w:tc>
        <w:tc>
          <w:tcPr>
            <w:tcW w:type="dxa" w:w="257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六维力 20 万套（设计产能）</w:t>
            </w:r>
          </w:p>
        </w:tc>
        <w:tc>
          <w:tcPr>
            <w:tcW w:type="dxa" w:w="156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未披露</w:t>
            </w:r>
          </w:p>
        </w:tc>
      </w:tr>
      <w:tr>
        <w:trPr>
          <w:cantSplit/>
        </w:trPr>
        <w:tc>
          <w:tcPr>
            <w:tcW w:type="dxa" w:w="108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坤维科技</w:t>
            </w:r>
          </w:p>
        </w:tc>
        <w:tc>
          <w:tcPr>
            <w:tcW w:type="dxa" w:w="207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未上市</w:t>
            </w:r>
          </w:p>
        </w:tc>
        <w:tc>
          <w:tcPr>
            <w:tcW w:type="dxa" w:w="257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9.2%（赛迪，人形口径）；42.4%（MIR，全行业口径，不可比）</w:t>
            </w:r>
          </w:p>
        </w:tc>
        <w:tc>
          <w:tcPr>
            <w:tcW w:type="dxa" w:w="257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2026-06 年产能 6 万台（已投产，含协作机器人），全年目标 12 万台</w:t>
            </w:r>
          </w:p>
        </w:tc>
        <w:tc>
          <w:tcPr>
            <w:tcW w:type="dxa" w:w="156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未披露</w:t>
            </w:r>
          </w:p>
        </w:tc>
      </w:tr>
      <w:tr>
        <w:trPr>
          <w:cantSplit/>
        </w:trPr>
        <w:tc>
          <w:tcPr>
            <w:tcW w:type="dxa" w:w="108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宇立仪器</w:t>
            </w:r>
          </w:p>
        </w:tc>
        <w:tc>
          <w:tcPr>
            <w:tcW w:type="dxa" w:w="207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未上市</w:t>
            </w:r>
          </w:p>
        </w:tc>
        <w:tc>
          <w:tcPr>
            <w:tcW w:type="dxa" w:w="257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3.3%（赛迪）</w:t>
            </w:r>
          </w:p>
        </w:tc>
        <w:tc>
          <w:tcPr>
            <w:tcW w:type="dxa" w:w="257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未披露</w:t>
            </w:r>
          </w:p>
        </w:tc>
        <w:tc>
          <w:tcPr>
            <w:tcW w:type="dxa" w:w="1561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供优必选约 1.5 万元/台（2024）</w:t>
            </w:r>
          </w:p>
        </w:tc>
      </w:tr>
      <w:tr>
        <w:trPr>
          <w:cantSplit/>
        </w:trPr>
        <w:tc>
          <w:tcPr>
            <w:tcW w:type="dxa" w:w="108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柯力 / 安培龙 / 东华</w:t>
            </w:r>
          </w:p>
        </w:tc>
        <w:tc>
          <w:tcPr>
            <w:tcW w:type="dxa" w:w="207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A 股</w:t>
            </w:r>
          </w:p>
        </w:tc>
        <w:tc>
          <w:tcPr>
            <w:tcW w:type="dxa" w:w="257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未进前三，各自未披露</w:t>
            </w:r>
          </w:p>
        </w:tc>
        <w:tc>
          <w:tcPr>
            <w:tcW w:type="dxa" w:w="257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柯力未披露；安培龙定增新增 50 万只力传感器（规划，未拆分六维力）；东华无</w:t>
            </w:r>
          </w:p>
        </w:tc>
        <w:tc>
          <w:tcPr>
            <w:tcW w:type="dxa" w:w="1561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未披露</w:t>
            </w:r>
          </w:p>
        </w:tc>
      </w:tr>
    </w:tbl>
    <w:p>
      <w:pPr>
        <w:spacing w:after="160"/>
      </w:pPr>
      <w:r>
        <w:rPr>
          <w:rFonts w:ascii="Arial" w:hAnsi="Arial" w:cs="Arial" w:eastAsia="微软雅黑"/>
          <w:color w:val="595959"/>
          <w:sz w:val="15"/>
        </w:rPr>
        <w:t>资料来源：赛迪 × 中国电子报、GGII、MIR、公司公告、媒体报道，作者整理。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价格处于快速下行通道。</w:t>
      </w:r>
      <w:r>
        <w:rPr>
          <w:rFonts w:ascii="Arial" w:hAnsi="Arial" w:cs="Arial" w:eastAsia="微软雅黑"/>
        </w:rPr>
        <w:t xml:space="preserve"> 2025 年中国人形六维力隐含均价约 2.0–2.5 万元/颗，国产主流报价从数千元到 3 万元不等，外资高端产品 7–8 万元/颗（仅作对照）。本文基准情景下，2030 年降至 5,760 元/颗。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价值量高，不等于上市供应商能赚到钱。</w:t>
      </w:r>
      <w:r>
        <w:rPr>
          <w:rFonts w:ascii="Arial" w:hAnsi="Arial" w:cs="Arial" w:eastAsia="微软雅黑"/>
        </w:rPr>
        <w:t xml:space="preserve"> 原因有三。第一，份额集中在未上市公司，前三名合计 92.8%。第二，规划供给扩张较快：坤维已投产年产能 6 万台，全年目标 12 万台；蓝点六维力设计产能 20 万套。作为对照，本文基准情景下 2026 年人形六维力需求约 6.19 万颗，2028 年约 22.0 万颗。但两家产能同时服务协作机器人，实际有效产能和可用于人形的比例均未披露，因此只能判断规划供给存在扩张压力，还不能据此认定产能过剩。第三，整机厂既在压价，也在自研：优必选已把 S2 的 BOM 降低约一半，傅利叶已自研人形专用六维力，称成本低于 5,000 元。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上市公司维持毛利，取决于降本速度和产线复用。</w:t>
      </w:r>
      <w:r>
        <w:rPr>
          <w:rFonts w:ascii="Arial" w:hAnsi="Arial" w:cs="Arial" w:eastAsia="微软雅黑"/>
        </w:rPr>
        <w:t xml:space="preserve"> 本文假设相关业务毛利率为 40%。按 2030 年基准单价 5,760 元，单颗成本需降至约 3,460 元，比头部厂商目前宣传的 0.5–1 万元量产成本低约 30%–65%。成本结构中标定测试约占 20%，是自动化最能降本的环节，柯力已建成自动化标定与检测产线。安培龙的汽车 EMB 刹车力传感器与六维力工艺同源，可以分摊产线和研发费用。CR5、良率、各供应商在单一整机厂的供货份额、人形专用型号毛利率等，目前均无可靠来源，本文不做推算。</w:t>
      </w:r>
    </w:p>
    <w:p>
      <w:pPr>
        <w:pStyle w:val="Heading1"/>
      </w:pPr>
      <w:r>
        <w:rPr>
          <w:rFonts w:ascii="Arial" w:hAnsi="Arial" w:cs="Arial" w:eastAsia="微软雅黑"/>
          <w:b/>
          <w:color w:val="1F3864"/>
          <w:sz w:val="28"/>
        </w:rPr>
        <w:t>3. 公司：柯力进度领先，规模仍待验证</w:t>
      </w:r>
    </w:p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3.1 业务进展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714"/>
        <w:gridCol w:w="1442"/>
        <w:gridCol w:w="1710"/>
        <w:gridCol w:w="2599"/>
        <w:gridCol w:w="2599"/>
        <w:gridCol w:w="800"/>
      </w:tblGrid>
      <w:tr>
        <w:trPr>
          <w:tblHeader w:val="true"/>
          <w:cantSplit/>
        </w:trPr>
        <w:tc>
          <w:tcPr>
            <w:tcW w:type="dxa" w:w="714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公司</w:t>
            </w:r>
          </w:p>
        </w:tc>
        <w:tc>
          <w:tcPr>
            <w:tcW w:type="dxa" w:w="1442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送样</w:t>
            </w:r>
          </w:p>
        </w:tc>
        <w:tc>
          <w:tcPr>
            <w:tcW w:type="dxa" w:w="1710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小批量 / 试制</w:t>
            </w:r>
          </w:p>
        </w:tc>
        <w:tc>
          <w:tcPr>
            <w:tcW w:type="dxa" w:w="2599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批量订单</w:t>
            </w:r>
          </w:p>
        </w:tc>
        <w:tc>
          <w:tcPr>
            <w:tcW w:type="dxa" w:w="2599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批量交付</w:t>
            </w:r>
          </w:p>
        </w:tc>
        <w:tc>
          <w:tcPr>
            <w:tcW w:type="dxa" w:w="800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定点 / 长期协议</w:t>
            </w:r>
          </w:p>
        </w:tc>
      </w:tr>
      <w:tr>
        <w:trPr>
          <w:cantSplit/>
        </w:trPr>
        <w:tc>
          <w:tcPr>
            <w:tcW w:type="dxa" w:w="71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柯力传感</w:t>
            </w:r>
          </w:p>
        </w:tc>
        <w:tc>
          <w:tcPr>
            <w:tcW w:type="dxa" w:w="144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2024-12 起，累计 90+ 家</w:t>
            </w:r>
          </w:p>
        </w:tc>
        <w:tc>
          <w:tcPr>
            <w:tcW w:type="dxa" w:w="171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2025H1 部分进入小批量</w:t>
            </w:r>
          </w:p>
        </w:tc>
        <w:tc>
          <w:tcPr>
            <w:tcW w:type="dxa" w:w="259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2024-12 协作机器人批量订单；2026-06 称部分客户取得批量订单</w:t>
            </w:r>
          </w:p>
        </w:tc>
        <w:tc>
          <w:tcPr>
            <w:tcW w:type="dxa" w:w="259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开普勒（参股公司）人形数百台；2026H1 力学传感器 2,000+ 只（含关节力矩）</w:t>
            </w:r>
          </w:p>
        </w:tc>
        <w:tc>
          <w:tcPr>
            <w:tcW w:type="dxa" w:w="80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未披露</w:t>
            </w:r>
          </w:p>
        </w:tc>
      </w:tr>
      <w:tr>
        <w:trPr>
          <w:cantSplit/>
        </w:trPr>
        <w:tc>
          <w:tcPr>
            <w:tcW w:type="dxa" w:w="71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安培龙</w:t>
            </w:r>
          </w:p>
        </w:tc>
        <w:tc>
          <w:tcPr>
            <w:tcW w:type="dxa" w:w="144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2025-08</w:t>
            </w:r>
          </w:p>
        </w:tc>
        <w:tc>
          <w:tcPr>
            <w:tcW w:type="dxa" w:w="171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2026-09-07 披露部分客户小批量交付</w:t>
            </w:r>
          </w:p>
        </w:tc>
        <w:tc>
          <w:tcPr>
            <w:tcW w:type="dxa" w:w="259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2026-09-30 披露部分客户取得批量订单</w:t>
            </w:r>
          </w:p>
        </w:tc>
        <w:tc>
          <w:tcPr>
            <w:tcW w:type="dxa" w:w="259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2026-09-30 披露批量生产交付（未说明产品类别）</w:t>
            </w:r>
          </w:p>
        </w:tc>
        <w:tc>
          <w:tcPr>
            <w:tcW w:type="dxa" w:w="80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未披露</w:t>
            </w:r>
          </w:p>
        </w:tc>
      </w:tr>
      <w:tr>
        <w:trPr>
          <w:cantSplit/>
        </w:trPr>
        <w:tc>
          <w:tcPr>
            <w:tcW w:type="dxa" w:w="71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东华测试</w:t>
            </w:r>
          </w:p>
        </w:tc>
        <w:tc>
          <w:tcPr>
            <w:tcW w:type="dxa" w:w="144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未披露</w:t>
            </w:r>
          </w:p>
        </w:tc>
        <w:tc>
          <w:tcPr>
            <w:tcW w:type="dxa" w:w="171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2025-01 起自身小批量试制</w:t>
            </w:r>
          </w:p>
        </w:tc>
        <w:tc>
          <w:tcPr>
            <w:tcW w:type="dxa" w:w="259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无（2025-02 公司称尚未取得人形订单）</w:t>
            </w:r>
          </w:p>
        </w:tc>
        <w:tc>
          <w:tcPr>
            <w:tcW w:type="dxa" w:w="259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无</w:t>
            </w:r>
          </w:p>
        </w:tc>
        <w:tc>
          <w:tcPr>
            <w:tcW w:type="dxa" w:w="80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无</w:t>
            </w:r>
          </w:p>
        </w:tc>
      </w:tr>
    </w:tbl>
    <w:p>
      <w:pPr>
        <w:spacing w:after="160"/>
      </w:pPr>
      <w:r>
        <w:rPr>
          <w:rFonts w:ascii="Arial" w:hAnsi="Arial" w:cs="Arial" w:eastAsia="微软雅黑"/>
          <w:color w:val="595959"/>
          <w:sz w:val="15"/>
        </w:rPr>
        <w:t>资料来源：公司定期报告、投资者关系活动记录、上证 e 互动、互动易，作者整理。注：日期为披露时间。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柯力传感机器人力学传感器销量增长，人形六维力业务规模仍待验证。</w:t>
      </w:r>
      <w:r>
        <w:rPr>
          <w:rFonts w:ascii="Arial" w:hAnsi="Arial" w:cs="Arial" w:eastAsia="微软雅黑"/>
        </w:rPr>
        <w:t xml:space="preserve"> 根据公司披露，2026 年上半年机器人力学传感器销量超过 2,000 只，已超过 2025 年全年；4 月以来月订单量持续超过千只，累计送样企业超过 90 家。但该销量口径同时包含关节力矩传感器及协作、理疗机器人应用，尚不能直接推算人形六维力收入。已披露的人形批量客户开普勒为参股公司，多家头部客户仍处于验证阶段；投资者问及宇树、华为、特斯拉时，公司均未确认。独立头部客户的批量交付进展，是后续验证的重点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安培龙推进较快，但收入规模和客户尚未披露。</w:t>
      </w:r>
      <w:r>
        <w:rPr>
          <w:rFonts w:ascii="Arial" w:hAnsi="Arial" w:cs="Arial" w:eastAsia="微软雅黑"/>
        </w:rPr>
        <w:t xml:space="preserve"> 2025 年 3 月，公司六维力尚未交样；2025 年 8 月开始送样，2026 年 9 月披露部分客户小批量交付，月底又披露部分客户取得批量订单并实现批量交付。按披露时间计算，从未交样到批量交付约 18 个月。公司同时表示相关收入占比较低，不构成重大影响，且未披露客户。定增项目规划新增年产约 50 万只力传感器，2026 年 6 月获证监会同意注册，尚未查到发行完成信息。2026 年上半年公司扣非净利润仅 374 万元，同比下降约 90%。汽车 EMB 刹车力传感器已获多家头部车企定点，可能比人形六维力更早贡献收入。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东华测试具备检测能力，但尚未进入人形客户供应链。</w:t>
      </w:r>
      <w:r>
        <w:rPr>
          <w:rFonts w:ascii="Arial" w:hAnsi="Arial" w:cs="Arial" w:eastAsia="微软雅黑"/>
        </w:rPr>
        <w:t xml:space="preserve"> 公司 2024 年成为国内首批具备机器人多维力检测能力的 CNAS 实验室之一，六维力自 2025 年 1 月起处于小批量试制阶段。2025 年 2 月公司表示尚未取得人形六维力订单；2026 年 5 月成立专门部门，2026 年上半年发布集成多维力传感器的关节模组，但未披露订单或出货。本文将其作为对照样本：同属"人形六维力"概念的公司，业务兑现程度可能相差一个完整阶段。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三家公司都处于追赶位置，2025 年约 7.2% 的份额只是竞争起点。</w:t>
      </w:r>
      <w:r>
        <w:rPr>
          <w:rFonts w:ascii="Arial" w:hAnsi="Arial" w:cs="Arial" w:eastAsia="微软雅黑"/>
        </w:rPr>
        <w:t xml:space="preserve"> 赛迪统计的前三名均未上市，且蓝点和坤维已向智元、优必选等整机厂批量供货。2025 年其余厂商合计约 7.2% 的份额，描述的是当期格局，并不是 2030 年的上限。份额能否提升取决于三点：整机厂是否引入第二、第三供应商，使份额从龙头转出；上市公司能否在独立的头部整机厂完成验证；成本下降能否跟上价格下降。本文基准假设柯力 2030 年份额 8%、安培龙 5%，隐含龙头份额有所回落，属于作者假设。</w:t>
      </w:r>
    </w:p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3.2 收入测算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相关业务收入 = 中国人形六维力市场规模 × 公司份额。</w:t>
      </w:r>
      <w:r>
        <w:rPr>
          <w:rFonts w:ascii="Arial" w:hAnsi="Arial" w:cs="Arial" w:eastAsia="微软雅黑"/>
        </w:rPr>
        <w:t xml:space="preserve"> 市场规模即 1.3 节的测算结果。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3360"/>
        <w:gridCol w:w="2346"/>
        <w:gridCol w:w="2240"/>
        <w:gridCol w:w="1919"/>
      </w:tblGrid>
      <w:tr>
        <w:trPr>
          <w:tblHeader w:val="true"/>
          <w:cantSplit/>
        </w:trPr>
        <w:tc>
          <w:tcPr>
            <w:tcW w:type="dxa" w:w="3360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346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柯力传感</w:t>
            </w:r>
          </w:p>
        </w:tc>
        <w:tc>
          <w:tcPr>
            <w:tcW w:type="dxa" w:w="2240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安培龙</w:t>
            </w:r>
          </w:p>
        </w:tc>
        <w:tc>
          <w:tcPr>
            <w:tcW w:type="dxa" w:w="1919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东华测试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2026E 份额（三情景相同）</w:t>
            </w:r>
          </w:p>
        </w:tc>
        <w:tc>
          <w:tcPr>
            <w:tcW w:type="dxa" w:w="2346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5%</w:t>
            </w:r>
          </w:p>
        </w:tc>
        <w:tc>
          <w:tcPr>
            <w:tcW w:type="dxa" w:w="224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2%</w:t>
            </w:r>
          </w:p>
        </w:tc>
        <w:tc>
          <w:tcPr>
            <w:tcW w:type="dxa" w:w="191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2030E 份额（悲观 / 基准 / 乐观）</w:t>
            </w:r>
          </w:p>
        </w:tc>
        <w:tc>
          <w:tcPr>
            <w:tcW w:type="dxa" w:w="2346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3% / 8% / 15%</w:t>
            </w:r>
          </w:p>
        </w:tc>
        <w:tc>
          <w:tcPr>
            <w:tcW w:type="dxa" w:w="224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1% / 5% / 10%</w:t>
            </w:r>
          </w:p>
        </w:tc>
        <w:tc>
          <w:tcPr>
            <w:tcW w:type="dxa" w:w="191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 / 1% / 3%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2030E 相关业务收入（亿元，悲观 / 基准 / 乐观）</w:t>
            </w:r>
          </w:p>
        </w:tc>
        <w:tc>
          <w:tcPr>
            <w:tcW w:type="dxa" w:w="2346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0.33 / 3.39 / 10.93</w:t>
            </w:r>
          </w:p>
        </w:tc>
        <w:tc>
          <w:tcPr>
            <w:tcW w:type="dxa" w:w="224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0.11 / 2.12 / 7.29</w:t>
            </w:r>
          </w:p>
        </w:tc>
        <w:tc>
          <w:tcPr>
            <w:tcW w:type="dxa" w:w="191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 / 0.42 / 2.19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基准 2030E 收入 ÷ 2025A 营业收入</w:t>
            </w:r>
          </w:p>
        </w:tc>
        <w:tc>
          <w:tcPr>
            <w:tcW w:type="dxa" w:w="2346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22%</w:t>
            </w:r>
          </w:p>
        </w:tc>
        <w:tc>
          <w:tcPr>
            <w:tcW w:type="dxa" w:w="224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18%</w:t>
            </w:r>
          </w:p>
        </w:tc>
        <w:tc>
          <w:tcPr>
            <w:tcW w:type="dxa" w:w="191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8%</w:t>
            </w:r>
          </w:p>
        </w:tc>
      </w:tr>
    </w:tbl>
    <w:p>
      <w:pPr>
        <w:spacing w:after="160"/>
      </w:pPr>
      <w:r>
        <w:rPr>
          <w:rFonts w:ascii="Arial" w:hAnsi="Arial" w:cs="Arial" w:eastAsia="微软雅黑"/>
          <w:color w:val="595959"/>
          <w:sz w:val="15"/>
        </w:rPr>
        <w:t>资料来源：公司公告，作者测算。注：悲观、乐观情景中市场规模和份额同向变化，区间代表上下界，不是概率分布。</w:t>
      </w:r>
    </w:p>
    <w:p>
      <w:pPr>
        <w:jc w:val="both"/>
      </w:pPr>
      <w:r>
        <w:rPr>
          <w:rFonts w:ascii="Arial" w:hAnsi="Arial" w:cs="Arial" w:eastAsia="微软雅黑"/>
        </w:rPr>
        <w:t>份额假设的依据如下：</w:t>
      </w:r>
    </w:p>
    <w:p>
      <w:pPr>
        <w:pStyle w:val="ListBullet"/>
      </w:pPr>
      <w:r>
        <w:rPr>
          <w:rFonts w:ascii="Arial" w:hAnsi="Arial" w:cs="Arial" w:eastAsia="微软雅黑"/>
          <w:b/>
          <w:color w:val="1F3864"/>
        </w:rPr>
        <w:t>柯力 2026E 取 5%：</w:t>
      </w:r>
      <w:r>
        <w:rPr>
          <w:rFonts w:ascii="Arial" w:hAnsi="Arial" w:cs="Arial" w:eastAsia="微软雅黑"/>
        </w:rPr>
        <w:t xml:space="preserve"> 基准情景下 2026 年中国人形六维力需求约 6.19 万颗，5% 约对应 3,100 颗。作为对照，柯力 2026 年上半年机器人力学传感器实际销量超过 2,000 只，国金证券预计全年约 1.2 万只；两者均包含关节力矩和协作机器人产品，人形六维力只是其中一部分。</w:t>
      </w:r>
    </w:p>
    <w:p>
      <w:pPr>
        <w:pStyle w:val="ListBullet"/>
      </w:pPr>
      <w:r>
        <w:rPr>
          <w:rFonts w:ascii="Arial" w:hAnsi="Arial" w:cs="Arial" w:eastAsia="微软雅黑"/>
          <w:b/>
          <w:color w:val="1F3864"/>
        </w:rPr>
        <w:t>柯力 2030E 基准取 8%：</w:t>
      </w:r>
      <w:r>
        <w:rPr>
          <w:rFonts w:ascii="Arial" w:hAnsi="Arial" w:cs="Arial" w:eastAsia="微软雅黑"/>
        </w:rPr>
        <w:t xml:space="preserve"> 前提是取得至少一家独立头部整机厂的批量份额。</w:t>
      </w:r>
    </w:p>
    <w:p>
      <w:pPr>
        <w:pStyle w:val="ListBullet"/>
      </w:pPr>
      <w:r>
        <w:rPr>
          <w:rFonts w:ascii="Arial" w:hAnsi="Arial" w:cs="Arial" w:eastAsia="微软雅黑"/>
          <w:b/>
          <w:color w:val="1F3864"/>
        </w:rPr>
        <w:t>安培龙 2030E 基准取 5%：</w:t>
      </w:r>
      <w:r>
        <w:rPr>
          <w:rFonts w:ascii="Arial" w:hAnsi="Arial" w:cs="Arial" w:eastAsia="微软雅黑"/>
        </w:rPr>
        <w:t xml:space="preserve"> 约对应 3.7 万颗，远低于其 50 万只力传感器的规划产能（含拉压力和力矩传感器）。产能不是瓶颈，客户验证才是。</w:t>
      </w:r>
    </w:p>
    <w:p>
      <w:pPr>
        <w:pStyle w:val="ListBullet"/>
      </w:pPr>
      <w:r>
        <w:rPr>
          <w:rFonts w:ascii="Arial" w:hAnsi="Arial" w:cs="Arial" w:eastAsia="微软雅黑"/>
          <w:b/>
          <w:color w:val="1F3864"/>
        </w:rPr>
        <w:t>东华 2030E 基准取 1%：</w:t>
      </w:r>
      <w:r>
        <w:rPr>
          <w:rFonts w:ascii="Arial" w:hAnsi="Arial" w:cs="Arial" w:eastAsia="微软雅黑"/>
        </w:rPr>
        <w:t xml:space="preserve"> 只反映技术储备的期权价值。</w:t>
      </w:r>
    </w:p>
    <w:p>
      <w:pPr>
        <w:jc w:val="both"/>
      </w:pPr>
      <w:r>
        <w:rPr>
          <w:rFonts w:ascii="Arial" w:hAnsi="Arial" w:cs="Arial" w:eastAsia="微软雅黑"/>
        </w:rPr>
        <w:t>收入增长主要来自出货量，而不是价格。基准单价从 2025 年的 2 万元/颗降至 2030 年的 5,760 元/颗，降幅约 71%。柯力基准收入路径为：2026E 0.46 亿元，2027E 0.76 亿元，2028E 1.29 亿元，2029E 2.12 亿元，2030E 3.39 亿元。</w:t>
      </w:r>
    </w:p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3.3 利润贡献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6029"/>
        <w:gridCol w:w="1279"/>
        <w:gridCol w:w="1279"/>
        <w:gridCol w:w="1279"/>
      </w:tblGrid>
      <w:tr>
        <w:trPr>
          <w:tblHeader w:val="true"/>
          <w:cantSplit/>
        </w:trPr>
        <w:tc>
          <w:tcPr>
            <w:tcW w:type="dxa" w:w="6029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项目（2030E，基准）</w:t>
            </w:r>
          </w:p>
        </w:tc>
        <w:tc>
          <w:tcPr>
            <w:tcW w:type="dxa" w:w="1279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柯力传感</w:t>
            </w:r>
          </w:p>
        </w:tc>
        <w:tc>
          <w:tcPr>
            <w:tcW w:type="dxa" w:w="1279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安培龙</w:t>
            </w:r>
          </w:p>
        </w:tc>
        <w:tc>
          <w:tcPr>
            <w:tcW w:type="dxa" w:w="1279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东华测试</w:t>
            </w:r>
          </w:p>
        </w:tc>
      </w:tr>
      <w:tr>
        <w:trPr>
          <w:cantSplit/>
        </w:trPr>
        <w:tc>
          <w:tcPr>
            <w:tcW w:type="dxa" w:w="602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相关业务毛利率</w:t>
            </w:r>
          </w:p>
        </w:tc>
        <w:tc>
          <w:tcPr>
            <w:tcW w:type="dxa" w:w="127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40%</w:t>
            </w:r>
          </w:p>
        </w:tc>
        <w:tc>
          <w:tcPr>
            <w:tcW w:type="dxa" w:w="127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40%</w:t>
            </w:r>
          </w:p>
        </w:tc>
        <w:tc>
          <w:tcPr>
            <w:tcW w:type="dxa" w:w="127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40%</w:t>
            </w:r>
          </w:p>
        </w:tc>
      </w:tr>
      <w:tr>
        <w:trPr>
          <w:cantSplit/>
        </w:trPr>
        <w:tc>
          <w:tcPr>
            <w:tcW w:type="dxa" w:w="602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增量期间费用率</w:t>
            </w:r>
          </w:p>
        </w:tc>
        <w:tc>
          <w:tcPr>
            <w:tcW w:type="dxa" w:w="127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12%</w:t>
            </w:r>
          </w:p>
        </w:tc>
        <w:tc>
          <w:tcPr>
            <w:tcW w:type="dxa" w:w="127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12%</w:t>
            </w:r>
          </w:p>
        </w:tc>
        <w:tc>
          <w:tcPr>
            <w:tcW w:type="dxa" w:w="127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12%</w:t>
            </w:r>
          </w:p>
        </w:tc>
      </w:tr>
      <w:tr>
        <w:trPr>
          <w:cantSplit/>
        </w:trPr>
        <w:tc>
          <w:tcPr>
            <w:tcW w:type="dxa" w:w="602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所得税率</w:t>
            </w:r>
          </w:p>
        </w:tc>
        <w:tc>
          <w:tcPr>
            <w:tcW w:type="dxa" w:w="127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15%</w:t>
            </w:r>
          </w:p>
        </w:tc>
        <w:tc>
          <w:tcPr>
            <w:tcW w:type="dxa" w:w="127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15%</w:t>
            </w:r>
          </w:p>
        </w:tc>
        <w:tc>
          <w:tcPr>
            <w:tcW w:type="dxa" w:w="127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602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相关业务净利率</w:t>
            </w:r>
          </w:p>
        </w:tc>
        <w:tc>
          <w:tcPr>
            <w:tcW w:type="dxa" w:w="127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23.8%</w:t>
            </w:r>
          </w:p>
        </w:tc>
        <w:tc>
          <w:tcPr>
            <w:tcW w:type="dxa" w:w="127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23.8%</w:t>
            </w:r>
          </w:p>
        </w:tc>
        <w:tc>
          <w:tcPr>
            <w:tcW w:type="dxa" w:w="127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23.8%</w:t>
            </w:r>
          </w:p>
        </w:tc>
      </w:tr>
      <w:tr>
        <w:trPr>
          <w:cantSplit/>
        </w:trPr>
        <w:tc>
          <w:tcPr>
            <w:tcW w:type="dxa" w:w="602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2030E 相关业务净利润（亿元）</w:t>
            </w:r>
          </w:p>
        </w:tc>
        <w:tc>
          <w:tcPr>
            <w:tcW w:type="dxa" w:w="127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0.81</w:t>
            </w:r>
          </w:p>
        </w:tc>
        <w:tc>
          <w:tcPr>
            <w:tcW w:type="dxa" w:w="127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0.50</w:t>
            </w:r>
          </w:p>
        </w:tc>
        <w:tc>
          <w:tcPr>
            <w:tcW w:type="dxa" w:w="127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0.10</w:t>
            </w:r>
          </w:p>
        </w:tc>
      </w:tr>
      <w:tr>
        <w:trPr>
          <w:cantSplit/>
        </w:trPr>
        <w:tc>
          <w:tcPr>
            <w:tcW w:type="dxa" w:w="602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2025A 扣非净利润（亿元）</w:t>
            </w:r>
          </w:p>
        </w:tc>
        <w:tc>
          <w:tcPr>
            <w:tcW w:type="dxa" w:w="127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2.14</w:t>
            </w:r>
          </w:p>
        </w:tc>
        <w:tc>
          <w:tcPr>
            <w:tcW w:type="dxa" w:w="127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0.81</w:t>
            </w:r>
          </w:p>
        </w:tc>
        <w:tc>
          <w:tcPr>
            <w:tcW w:type="dxa" w:w="127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1.30</w:t>
            </w:r>
          </w:p>
        </w:tc>
      </w:tr>
      <w:tr>
        <w:trPr>
          <w:cantSplit/>
        </w:trPr>
        <w:tc>
          <w:tcPr>
            <w:tcW w:type="dxa" w:w="602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2030E 相关业务净利润 ÷ 2025A 扣非净利润</w:t>
            </w:r>
          </w:p>
        </w:tc>
        <w:tc>
          <w:tcPr>
            <w:tcW w:type="dxa" w:w="127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38%</w:t>
            </w:r>
          </w:p>
        </w:tc>
        <w:tc>
          <w:tcPr>
            <w:tcW w:type="dxa" w:w="127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62%</w:t>
            </w:r>
          </w:p>
        </w:tc>
        <w:tc>
          <w:tcPr>
            <w:tcW w:type="dxa" w:w="127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8%</w:t>
            </w:r>
          </w:p>
        </w:tc>
      </w:tr>
      <w:tr>
        <w:trPr>
          <w:cantSplit/>
        </w:trPr>
        <w:tc>
          <w:tcPr>
            <w:tcW w:type="dxa" w:w="602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新业务占 2030E 总利润（原有业务保持 2025A 水平）</w:t>
            </w:r>
          </w:p>
        </w:tc>
        <w:tc>
          <w:tcPr>
            <w:tcW w:type="dxa" w:w="127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27%</w:t>
            </w:r>
          </w:p>
        </w:tc>
        <w:tc>
          <w:tcPr>
            <w:tcW w:type="dxa" w:w="127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38%</w:t>
            </w:r>
          </w:p>
        </w:tc>
        <w:tc>
          <w:tcPr>
            <w:tcW w:type="dxa" w:w="127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7%</w:t>
            </w:r>
          </w:p>
        </w:tc>
      </w:tr>
    </w:tbl>
    <w:p>
      <w:pPr>
        <w:spacing w:after="160"/>
      </w:pPr>
      <w:r>
        <w:rPr>
          <w:rFonts w:ascii="Arial" w:hAnsi="Arial" w:cs="Arial" w:eastAsia="微软雅黑"/>
          <w:color w:val="595959"/>
          <w:sz w:val="15"/>
        </w:rPr>
        <w:t>资料来源：公司公告、iFinD，作者测算。注：毛利率参照柯力 2025 年综合毛利率 44.83%、安培龙募投项目达产毛利率 37.77%，悲观、乐观情景分别取 30%、50%；费用率和税率为作者假设。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基准情景下，人形六维力是柯力有意义的利润增量，但不会改变其利润结构。</w:t>
      </w:r>
      <w:r>
        <w:rPr>
          <w:rFonts w:ascii="Arial" w:hAnsi="Arial" w:cs="Arial" w:eastAsia="微软雅黑"/>
        </w:rPr>
        <w:t xml:space="preserve"> 我们测算柯力 2030 年相关业务净利润约 0.81 亿元，相当于 2025 年扣非净利润的 38%；若原有业务利润保持 2025 年水平，新业务约占 2030 年总利润的 27%，利润主体仍是传统力学传感器和工业物联网业务。只有在乐观情景下，新业务利润才会超过原有业务。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安培龙的利润弹性在本文假设下最大，但证据和毛利率假设都更弱。</w:t>
      </w:r>
      <w:r>
        <w:rPr>
          <w:rFonts w:ascii="Arial" w:hAnsi="Arial" w:cs="Arial" w:eastAsia="微软雅黑"/>
        </w:rPr>
        <w:t xml:space="preserve"> 在本文的份额、毛利率和原有业务利润假设下，安培龙增量利润相对历史利润的比例最高（62%），主要因为分母较小：2025 年扣非净利润只有 0.81 亿元。但它的批量证据比柯力晚约一年，2026 年上半年综合毛利率只有 22.98%，40% 的毛利率假设对它偏乐观。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东华测试即使兑现，对公司利润的影响也较小。</w:t>
      </w:r>
      <w:r>
        <w:rPr>
          <w:rFonts w:ascii="Arial" w:hAnsi="Arial" w:cs="Arial" w:eastAsia="微软雅黑"/>
        </w:rPr>
        <w:t xml:space="preserve"> 基准情景下，相关业务净利润约为 2025 年扣非净利润的 8%，即使在乐观情景下，公司仍以测试仪器业务为主。</w:t>
      </w:r>
    </w:p>
    <w:p>
      <w:pPr>
        <w:pStyle w:val="Heading1"/>
      </w:pPr>
      <w:r>
        <w:rPr>
          <w:rFonts w:ascii="Arial" w:hAnsi="Arial" w:cs="Arial" w:eastAsia="微软雅黑"/>
          <w:b/>
          <w:color w:val="1F3864"/>
          <w:sz w:val="28"/>
        </w:rPr>
        <w:t>4. 估值与风险：当前价格隐含的份额高于基准假设</w:t>
      </w:r>
    </w:p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4.1 反推方法</w:t>
      </w:r>
    </w:p>
    <w:p>
      <w:pPr>
        <w:jc w:val="both"/>
      </w:pPr>
      <w:r>
        <w:rPr>
          <w:rFonts w:ascii="Arial" w:hAnsi="Arial" w:cs="Arial" w:eastAsia="微软雅黑"/>
        </w:rPr>
        <w:t>本节测算当前股价要求新业务兑现多少，不给出目标价。反推步骤如下：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当前市值 → ① 减原有业务价值 → ② 减非经营性投资资产 → ③ 得到隐含新业务价值 → ④ 按股权折现率折算到 2029 年末 → ⑤ 除以 2030E 前瞻 PE，得到所需净利润 → ⑥ 除以"市场规模 × 净利率"，得到所需份额</w:t>
      </w:r>
    </w:p>
    <w:p>
      <w:pPr>
        <w:pStyle w:val="ListBullet"/>
      </w:pPr>
      <w:r>
        <w:rPr>
          <w:rFonts w:ascii="Arial" w:hAnsi="Arial" w:cs="Arial" w:eastAsia="微软雅黑"/>
          <w:b/>
          <w:color w:val="1F3864"/>
        </w:rPr>
        <w:t>原有业务价值：</w:t>
      </w:r>
      <w:r>
        <w:rPr>
          <w:rFonts w:ascii="Arial" w:hAnsi="Arial" w:cs="Arial" w:eastAsia="微软雅黑"/>
        </w:rPr>
        <w:t xml:space="preserve"> 2025 年扣非净利润 × PE，基准取 25 倍（悲观 20 倍，乐观 30 倍）。扣非利润已包含利息收支，因此基准算法不再单独加减净现金。</w:t>
      </w:r>
    </w:p>
    <w:p>
      <w:pPr>
        <w:pStyle w:val="ListBullet"/>
      </w:pPr>
      <w:r>
        <w:rPr>
          <w:rFonts w:ascii="Arial" w:hAnsi="Arial" w:cs="Arial" w:eastAsia="微软雅黑"/>
          <w:b/>
          <w:color w:val="1F3864"/>
        </w:rPr>
        <w:t>非经营性投资资产：</w:t>
      </w:r>
      <w:r>
        <w:rPr>
          <w:rFonts w:ascii="Arial" w:hAnsi="Arial" w:cs="Arial" w:eastAsia="微软雅黑"/>
        </w:rPr>
        <w:t xml:space="preserve"> 交易性金融资产（主要为理财）、其他非流动金融资产、其他权益工具投资、长期股权投资，按 2026-06-30 账面值加回。这类资产的收益大多计入非经常性损益，不在扣非利润中。</w:t>
      </w:r>
    </w:p>
    <w:p>
      <w:pPr>
        <w:pStyle w:val="ListBullet"/>
      </w:pPr>
      <w:r>
        <w:rPr>
          <w:rFonts w:ascii="Arial" w:hAnsi="Arial" w:cs="Arial" w:eastAsia="微软雅黑"/>
          <w:b/>
          <w:color w:val="1F3864"/>
        </w:rPr>
        <w:t>时间口径：</w:t>
      </w:r>
      <w:r>
        <w:rPr>
          <w:rFonts w:ascii="Arial" w:hAnsi="Arial" w:cs="Arial" w:eastAsia="微软雅黑"/>
        </w:rPr>
        <w:t xml:space="preserve"> 2030E 利润按前瞻 PE 在 2029 年末定价（基准 30 倍），再按 10% 的股权折现率折回报告日，约 3.2 年。PE 和折现率均为作者假设。</w:t>
      </w:r>
    </w:p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4.2 反推结果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4367"/>
        <w:gridCol w:w="1833"/>
        <w:gridCol w:w="1833"/>
        <w:gridCol w:w="1833"/>
      </w:tblGrid>
      <w:tr>
        <w:trPr>
          <w:tblHeader w:val="true"/>
          <w:cantSplit/>
        </w:trPr>
        <w:tc>
          <w:tcPr>
            <w:tcW w:type="dxa" w:w="4367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项目（基准情景，亿元）</w:t>
            </w:r>
          </w:p>
        </w:tc>
        <w:tc>
          <w:tcPr>
            <w:tcW w:type="dxa" w:w="1833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柯力传感</w:t>
            </w:r>
          </w:p>
        </w:tc>
        <w:tc>
          <w:tcPr>
            <w:tcW w:type="dxa" w:w="1833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安培龙</w:t>
            </w:r>
          </w:p>
        </w:tc>
        <w:tc>
          <w:tcPr>
            <w:tcW w:type="dxa" w:w="1833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东华测试</w:t>
            </w:r>
          </w:p>
        </w:tc>
      </w:tr>
      <w:tr>
        <w:trPr>
          <w:cantSplit/>
        </w:trPr>
        <w:tc>
          <w:tcPr>
            <w:tcW w:type="dxa" w:w="436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总市值（2026-10-19 收盘）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122.25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64.41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35.19</w:t>
            </w:r>
          </w:p>
        </w:tc>
      </w:tr>
      <w:tr>
        <w:trPr>
          <w:cantSplit/>
        </w:trPr>
        <w:tc>
          <w:tcPr>
            <w:tcW w:type="dxa" w:w="436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① 原有业务价值（2025A 扣非 × 25x）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53.48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20.23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32.52</w:t>
            </w:r>
          </w:p>
        </w:tc>
      </w:tr>
      <w:tr>
        <w:trPr>
          <w:cantSplit/>
        </w:trPr>
        <w:tc>
          <w:tcPr>
            <w:tcW w:type="dxa" w:w="436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② 非经营性投资资产（2026-06-30 账面）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12.26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0.17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0.25</w:t>
            </w:r>
          </w:p>
        </w:tc>
      </w:tr>
      <w:tr>
        <w:trPr>
          <w:cantSplit/>
        </w:trPr>
        <w:tc>
          <w:tcPr>
            <w:tcW w:type="dxa" w:w="436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③ 隐含新业务价值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56.51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44.01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2.42</w:t>
            </w:r>
          </w:p>
        </w:tc>
      </w:tr>
      <w:tr>
        <w:trPr>
          <w:cantSplit/>
        </w:trPr>
        <w:tc>
          <w:tcPr>
            <w:tcW w:type="dxa" w:w="436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隐含新业务价值占市值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46%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68%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7%</w:t>
            </w:r>
          </w:p>
        </w:tc>
      </w:tr>
      <w:tr>
        <w:trPr>
          <w:cantSplit/>
        </w:trPr>
        <w:tc>
          <w:tcPr>
            <w:tcW w:type="dxa" w:w="436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④ 折算到 2029 年末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76.66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59.70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3.28</w:t>
            </w:r>
          </w:p>
        </w:tc>
      </w:tr>
      <w:tr>
        <w:trPr>
          <w:cantSplit/>
        </w:trPr>
        <w:tc>
          <w:tcPr>
            <w:tcW w:type="dxa" w:w="436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⑤ 所需 2030E 净利润（÷ 30x）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2.56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1.99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0.11</w:t>
            </w:r>
          </w:p>
        </w:tc>
      </w:tr>
      <w:tr>
        <w:trPr>
          <w:cantSplit/>
        </w:trPr>
        <w:tc>
          <w:tcPr>
            <w:tcW w:type="dxa" w:w="436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⑥ 所需 2030E 份额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25.3%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19.7%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1F3864"/>
                <w:sz w:val="16"/>
              </w:rPr>
              <w:t>1.1%</w:t>
            </w:r>
          </w:p>
        </w:tc>
      </w:tr>
      <w:tr>
        <w:trPr>
          <w:cantSplit/>
        </w:trPr>
        <w:tc>
          <w:tcPr>
            <w:tcW w:type="dxa" w:w="436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本文基准：2030E 份额 / 净利润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8% / 0.81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5% / 0.50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1% / 0.10</w:t>
            </w:r>
          </w:p>
        </w:tc>
      </w:tr>
      <w:tr>
        <w:trPr>
          <w:cantSplit/>
        </w:trPr>
        <w:tc>
          <w:tcPr>
            <w:tcW w:type="dxa" w:w="436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参考：净现金（负为净负债）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−4.65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−4.58</w:t>
            </w:r>
          </w:p>
        </w:tc>
        <w:tc>
          <w:tcPr>
            <w:tcW w:type="dxa" w:w="1833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1.37</w:t>
            </w:r>
          </w:p>
        </w:tc>
      </w:tr>
      <w:tr>
        <w:trPr>
          <w:cantSplit/>
        </w:trPr>
        <w:tc>
          <w:tcPr>
            <w:tcW w:type="dxa" w:w="436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参考：计入净现金后的所需份额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27.4%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21.8%</w:t>
            </w:r>
          </w:p>
        </w:tc>
        <w:tc>
          <w:tcPr>
            <w:tcW w:type="dxa" w:w="1833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0.5%</w:t>
            </w:r>
          </w:p>
        </w:tc>
      </w:tr>
    </w:tbl>
    <w:p>
      <w:pPr>
        <w:spacing w:after="160"/>
      </w:pPr>
      <w:r>
        <w:rPr>
          <w:rFonts w:ascii="Arial" w:hAnsi="Arial" w:cs="Arial" w:eastAsia="微软雅黑"/>
          <w:color w:val="595959"/>
          <w:sz w:val="15"/>
        </w:rPr>
        <w:t>资料来源：公司 2025 年报及 2026 年半年报、iFinD（2026-10-19 收盘），作者测算。</w:t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柯力当前市值要求其 2030 年成为第二大供应商。</w:t>
      </w:r>
      <w:r>
        <w:rPr>
          <w:rFonts w:ascii="Arial" w:hAnsi="Arial" w:cs="Arial" w:eastAsia="微软雅黑"/>
        </w:rPr>
        <w:t xml:space="preserve"> 扣除原有业务和投资资产后，柯力市值中约 56.5 亿元可视为市场给新业务的估值，对应 2030 年约 25% 的份额，在基准市场规模下大致相当于仅次于蓝点的第二大供应商。本文基准份额 8% 对应的利润，只能覆盖所需利润的约 32%。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027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柯力利润要求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当前价格介于基准与乐观情景之间，而不是所有情景都无法支撑。</w:t>
      </w:r>
      <w:r>
        <w:rPr>
          <w:rFonts w:ascii="Arial" w:hAnsi="Arial" w:cs="Arial" w:eastAsia="微软雅黑"/>
        </w:rPr>
        <w:t xml:space="preserve"> 各情景下的估值倍数、折现率、市场规模和份额同步变化。悲观情景下，所需份额超过 100%，不可能实现；乐观情景下（市场 72.9 亿元、份额 15%、毛利率 50%、新业务 40 倍 PE、折现率 8%），模型利润约 3.72 亿元，是所需利润 1.47 亿元的 2.5 倍。图 5 固定在基准市场规模 42.4 亿元和基准费用率下：即使份额 15%、毛利率 50%，净利润约 2.05 亿元，仍低于基准所需的 2.56 亿元。也就是说，在基准市场规模下，柯力需要约 19%（毛利率 50%）到 25%（毛利率 40%）的份额才能支撑当前价格；否则，市场规模需要明显高于基准。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027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柯力敏感性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Arial" w:hAnsi="Arial" w:cs="Arial" w:eastAsia="微软雅黑"/>
          <w:b/>
          <w:color w:val="1F3864"/>
        </w:rPr>
        <w:t>安培龙对新业务预期的依赖更高，东华测试的股价基本没有计入人形预期。</w:t>
      </w:r>
      <w:r>
        <w:rPr>
          <w:rFonts w:ascii="Arial" w:hAnsi="Arial" w:cs="Arial" w:eastAsia="微软雅黑"/>
        </w:rPr>
        <w:t xml:space="preserve"> 安培龙隐含新业务价值约占市值的 68%，所需 2030 年份额 19.7%，是本文基准的约 4 倍；公司另有约 4.58 亿元净负债，定增尚未完成发行。东华测试的市值基本由原有业务支撑，隐含新业务价值约 2.4 亿元，与其"尚无订单"的业务状态一致。</w:t>
      </w:r>
    </w:p>
    <w:p>
      <w:pPr>
        <w:jc w:val="both"/>
      </w:pPr>
      <w:r>
        <w:rPr>
          <w:rFonts w:ascii="Arial" w:hAnsi="Arial" w:cs="Arial" w:eastAsia="微软雅黑"/>
        </w:rPr>
        <w:t>需要强调的是，柯力、安培龙的市值还反映了协作机器人力传感器、汽车 EMB 力传感器、并购等其他预期。本节把全部溢价归于人形六维力，得到的隐含份额是偏高的上限式解释，不能直接得出"高估"的结论。</w:t>
      </w:r>
    </w:p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4.3 哪些条件会推翻判断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2972"/>
        <w:gridCol w:w="3920"/>
        <w:gridCol w:w="2972"/>
      </w:tblGrid>
      <w:tr>
        <w:trPr>
          <w:tblHeader w:val="true"/>
          <w:cantSplit/>
        </w:trPr>
        <w:tc>
          <w:tcPr>
            <w:tcW w:type="dxa" w:w="2972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判断</w:t>
            </w:r>
          </w:p>
        </w:tc>
        <w:tc>
          <w:tcPr>
            <w:tcW w:type="dxa" w:w="3920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推翻条件</w:t>
            </w:r>
          </w:p>
        </w:tc>
        <w:tc>
          <w:tcPr>
            <w:tcW w:type="dxa" w:w="2972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观察信号</w:t>
            </w:r>
          </w:p>
        </w:tc>
      </w:tr>
      <w:tr>
        <w:trPr>
          <w:cantSplit/>
        </w:trPr>
        <w:tc>
          <w:tcPr>
            <w:tcW w:type="dxa" w:w="297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需求：2030 年基准约 42 亿元，取决于每台用量</w:t>
            </w:r>
          </w:p>
        </w:tc>
        <w:tc>
          <w:tcPr>
            <w:tcW w:type="dxa" w:w="392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主流量产机型腕部也改用电流估计或其他低成本方案（下修）；或工业场景效率提升快于预期、踝部普遍搭载（上修）</w:t>
            </w:r>
          </w:p>
        </w:tc>
        <w:tc>
          <w:tcPr>
            <w:tcW w:type="dxa" w:w="297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新机型公开配置、拆解报告、IDC 场景结构中工业占比</w:t>
            </w:r>
          </w:p>
        </w:tc>
      </w:tr>
      <w:tr>
        <w:trPr>
          <w:cantSplit/>
        </w:trPr>
        <w:tc>
          <w:tcPr>
            <w:tcW w:type="dxa" w:w="297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竞争：份额集中、价格下行压缩利润</w:t>
            </w:r>
          </w:p>
        </w:tc>
        <w:tc>
          <w:tcPr>
            <w:tcW w:type="dxa" w:w="392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整机厂大规模引入第二、第三供应商，龙头份额明显回落（利好上市公司）；或价格降幅持续超过成本降幅（利空）</w:t>
            </w:r>
          </w:p>
        </w:tc>
        <w:tc>
          <w:tcPr>
            <w:tcW w:type="dxa" w:w="297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整机厂供应商名单、龙头 IPO 招股书中的价格和毛利</w:t>
            </w:r>
          </w:p>
        </w:tc>
      </w:tr>
      <w:tr>
        <w:trPr>
          <w:cantSplit/>
        </w:trPr>
        <w:tc>
          <w:tcPr>
            <w:tcW w:type="dxa" w:w="297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柯力：隐含份额高于基准</w:t>
            </w:r>
          </w:p>
        </w:tc>
        <w:tc>
          <w:tcPr>
            <w:tcW w:type="dxa" w:w="392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独立头部整机厂批量订单落地，且六维力出货单独披露（上修份额）；或头部客户验证失败、开普勒出货放缓（下修）</w:t>
            </w:r>
          </w:p>
        </w:tc>
        <w:tc>
          <w:tcPr>
            <w:tcW w:type="dxa" w:w="297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定期报告、投资者关系活动记录</w:t>
            </w:r>
          </w:p>
        </w:tc>
      </w:tr>
      <w:tr>
        <w:trPr>
          <w:cantSplit/>
        </w:trPr>
        <w:tc>
          <w:tcPr>
            <w:tcW w:type="dxa" w:w="297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估值方法</w:t>
            </w:r>
          </w:p>
        </w:tc>
        <w:tc>
          <w:tcPr>
            <w:tcW w:type="dxa" w:w="392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原有业务利润增长快于预期，或估值倍数、折现率变化</w:t>
            </w:r>
          </w:p>
        </w:tc>
        <w:tc>
          <w:tcPr>
            <w:tcW w:type="dxa" w:w="297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季度业绩、可比公司估值</w:t>
            </w:r>
          </w:p>
        </w:tc>
      </w:tr>
    </w:tbl>
    <w:p>
      <w:pPr>
        <w:pStyle w:val="Heading1"/>
      </w:pPr>
      <w:r>
        <w:rPr>
          <w:rFonts w:ascii="Arial" w:hAnsi="Arial" w:cs="Arial" w:eastAsia="微软雅黑"/>
          <w:b/>
          <w:color w:val="1F3864"/>
          <w:sz w:val="28"/>
        </w:rPr>
        <w:t>5. 后续跟踪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1439"/>
        <w:gridCol w:w="4274"/>
        <w:gridCol w:w="1915"/>
        <w:gridCol w:w="798"/>
        <w:gridCol w:w="1439"/>
      </w:tblGrid>
      <w:tr>
        <w:trPr>
          <w:tblHeader w:val="true"/>
          <w:cantSplit/>
        </w:trPr>
        <w:tc>
          <w:tcPr>
            <w:tcW w:type="dxa" w:w="1439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要验证什么</w:t>
            </w:r>
          </w:p>
        </w:tc>
        <w:tc>
          <w:tcPr>
            <w:tcW w:type="dxa" w:w="4274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915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数据来源</w:t>
            </w:r>
          </w:p>
        </w:tc>
        <w:tc>
          <w:tcPr>
            <w:tcW w:type="dxa" w:w="798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频率</w:t>
            </w:r>
          </w:p>
        </w:tc>
        <w:tc>
          <w:tcPr>
            <w:tcW w:type="dxa" w:w="1439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触发什么调整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整机出货是否达到基准</w:t>
            </w:r>
          </w:p>
        </w:tc>
        <w:tc>
          <w:tcPr>
            <w:tcW w:type="dxa" w:w="427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中国人形季度出货、工业场景占比</w:t>
            </w:r>
          </w:p>
        </w:tc>
        <w:tc>
          <w:tcPr>
            <w:tcW w:type="dxa" w:w="191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IDC、GGII、整机厂公告</w:t>
            </w:r>
          </w:p>
        </w:tc>
        <w:tc>
          <w:tcPr>
            <w:tcW w:type="dxa" w:w="79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季度</w:t>
            </w:r>
          </w:p>
        </w:tc>
        <w:tc>
          <w:tcPr>
            <w:tcW w:type="dxa" w:w="143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出货与搭载率情景</w:t>
            </w:r>
          </w:p>
        </w:tc>
      </w:tr>
      <w:tr>
        <w:trPr>
          <w:cantSplit/>
        </w:trPr>
        <w:tc>
          <w:tcPr>
            <w:tcW w:type="dxa" w:w="143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搭载率与单机用量</w:t>
            </w:r>
          </w:p>
        </w:tc>
        <w:tc>
          <w:tcPr>
            <w:tcW w:type="dxa" w:w="427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宇树、智元、优必选、小鹏等主流量产机型是否公开搭载腕部/踝部六维力</w:t>
            </w:r>
          </w:p>
        </w:tc>
        <w:tc>
          <w:tcPr>
            <w:tcW w:type="dxa" w:w="191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发布会、官网参数、拆解报告</w:t>
            </w:r>
          </w:p>
        </w:tc>
        <w:tc>
          <w:tcPr>
            <w:tcW w:type="dxa" w:w="798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新品发布时</w:t>
            </w:r>
          </w:p>
        </w:tc>
        <w:tc>
          <w:tcPr>
            <w:tcW w:type="dxa" w:w="143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有效颗/台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单价与成本</w:t>
            </w:r>
          </w:p>
        </w:tc>
        <w:tc>
          <w:tcPr>
            <w:tcW w:type="dxa" w:w="427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国产人形专用六维力报价、龙头量产成本</w:t>
            </w:r>
          </w:p>
        </w:tc>
        <w:tc>
          <w:tcPr>
            <w:tcW w:type="dxa" w:w="191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产业调研、龙头招股书</w:t>
            </w:r>
          </w:p>
        </w:tc>
        <w:tc>
          <w:tcPr>
            <w:tcW w:type="dxa" w:w="79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半年</w:t>
            </w:r>
          </w:p>
        </w:tc>
        <w:tc>
          <w:tcPr>
            <w:tcW w:type="dxa" w:w="143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降价幅度、毛利率</w:t>
            </w:r>
          </w:p>
        </w:tc>
      </w:tr>
      <w:tr>
        <w:trPr>
          <w:cantSplit/>
        </w:trPr>
        <w:tc>
          <w:tcPr>
            <w:tcW w:type="dxa" w:w="143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公司业务兑现</w:t>
            </w:r>
          </w:p>
        </w:tc>
        <w:tc>
          <w:tcPr>
            <w:tcW w:type="dxa" w:w="427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柯力六维力出货是否单独披露、是否获得独立头部客户批量订单；安培龙力传感器收入拆分和定增产线进度；东华首个人形订单</w:t>
            </w:r>
          </w:p>
        </w:tc>
        <w:tc>
          <w:tcPr>
            <w:tcW w:type="dxa" w:w="191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定期报告、投资者关系活动记录</w:t>
            </w:r>
          </w:p>
        </w:tc>
        <w:tc>
          <w:tcPr>
            <w:tcW w:type="dxa" w:w="798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季度</w:t>
            </w:r>
          </w:p>
        </w:tc>
        <w:tc>
          <w:tcPr>
            <w:tcW w:type="dxa" w:w="143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份额假设、跟踪优先级</w:t>
            </w:r>
          </w:p>
        </w:tc>
      </w:tr>
      <w:tr>
        <w:trPr>
          <w:cantSplit/>
        </w:trPr>
        <w:tc>
          <w:tcPr>
            <w:tcW w:type="dxa" w:w="143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竞争格局</w:t>
            </w:r>
          </w:p>
        </w:tc>
        <w:tc>
          <w:tcPr>
            <w:tcW w:type="dxa" w:w="427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蓝点、坤维 IPO 进展与产能投产；整机厂供应商数量</w:t>
            </w:r>
          </w:p>
        </w:tc>
        <w:tc>
          <w:tcPr>
            <w:tcW w:type="dxa" w:w="191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招股书、新闻</w:t>
            </w:r>
          </w:p>
        </w:tc>
        <w:tc>
          <w:tcPr>
            <w:tcW w:type="dxa" w:w="798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事件驱动</w:t>
            </w:r>
          </w:p>
        </w:tc>
        <w:tc>
          <w:tcPr>
            <w:tcW w:type="dxa" w:w="1439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份额上限、价格假设</w:t>
            </w:r>
          </w:p>
        </w:tc>
      </w:tr>
      <w:tr>
        <w:trPr>
          <w:cantSplit/>
        </w:trPr>
        <w:tc>
          <w:tcPr>
            <w:tcW w:type="dxa" w:w="143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估值</w:t>
            </w:r>
          </w:p>
        </w:tc>
        <w:tc>
          <w:tcPr>
            <w:tcW w:type="dxa" w:w="4274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股价、原有业务利润</w:t>
            </w:r>
          </w:p>
        </w:tc>
        <w:tc>
          <w:tcPr>
            <w:tcW w:type="dxa" w:w="191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行情、定期报告</w:t>
            </w:r>
          </w:p>
        </w:tc>
        <w:tc>
          <w:tcPr>
            <w:tcW w:type="dxa" w:w="798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月度</w:t>
            </w:r>
          </w:p>
        </w:tc>
        <w:tc>
          <w:tcPr>
            <w:tcW w:type="dxa" w:w="1439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隐含份额</w:t>
            </w:r>
          </w:p>
        </w:tc>
      </w:tr>
    </w:tbl>
    <w:p>
      <w:pPr>
        <w:pStyle w:val="Heading1"/>
        <w:pageBreakBefore/>
      </w:pPr>
      <w:r>
        <w:rPr>
          <w:rFonts w:ascii="Arial" w:hAnsi="Arial" w:cs="Arial" w:eastAsia="微软雅黑"/>
          <w:b/>
          <w:color w:val="1F3864"/>
          <w:sz w:val="28"/>
        </w:rPr>
        <w:t>附录</w:t>
      </w:r>
    </w:p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A. 客户 ROI 完整参数（汽车工厂料箱搬运，单台）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2365"/>
        <w:gridCol w:w="1027"/>
        <w:gridCol w:w="880"/>
        <w:gridCol w:w="880"/>
        <w:gridCol w:w="4712"/>
      </w:tblGrid>
      <w:tr>
        <w:trPr>
          <w:tblHeader w:val="true"/>
          <w:cantSplit/>
        </w:trPr>
        <w:tc>
          <w:tcPr>
            <w:tcW w:type="dxa" w:w="2365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1027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悲观</w:t>
            </w:r>
          </w:p>
        </w:tc>
        <w:tc>
          <w:tcPr>
            <w:tcW w:type="dxa" w:w="880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中性</w:t>
            </w:r>
          </w:p>
        </w:tc>
        <w:tc>
          <w:tcPr>
            <w:tcW w:type="dxa" w:w="880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乐观</w:t>
            </w:r>
          </w:p>
        </w:tc>
        <w:tc>
          <w:tcPr>
            <w:tcW w:type="dxa" w:w="4712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来源 / 假设</w:t>
            </w:r>
          </w:p>
        </w:tc>
      </w:tr>
      <w:tr>
        <w:trPr>
          <w:cantSplit/>
        </w:trPr>
        <w:tc>
          <w:tcPr>
            <w:tcW w:type="dxa" w:w="236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初始投入：整机 + 部署（万元）</w:t>
            </w:r>
          </w:p>
        </w:tc>
        <w:tc>
          <w:tcPr>
            <w:tcW w:type="dxa" w:w="102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70</w:t>
            </w:r>
          </w:p>
        </w:tc>
        <w:tc>
          <w:tcPr>
            <w:tcW w:type="dxa" w:w="88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50</w:t>
            </w:r>
          </w:p>
        </w:tc>
        <w:tc>
          <w:tcPr>
            <w:tcW w:type="dxa" w:w="88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22</w:t>
            </w:r>
          </w:p>
        </w:tc>
        <w:tc>
          <w:tcPr>
            <w:tcW w:type="dxa" w:w="47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东风柳汽入厂成本 60–70 万元；优必选含交付方案 ≤50 万元；宇树 H2 标价 19.9 万元 + 部署</w:t>
            </w:r>
          </w:p>
        </w:tc>
      </w:tr>
      <w:tr>
        <w:trPr>
          <w:cantSplit/>
        </w:trPr>
        <w:tc>
          <w:tcPr>
            <w:tcW w:type="dxa" w:w="236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计划工时（小时/年）</w:t>
            </w:r>
          </w:p>
        </w:tc>
        <w:tc>
          <w:tcPr>
            <w:tcW w:type="dxa" w:w="102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2,000</w:t>
            </w:r>
          </w:p>
        </w:tc>
        <w:tc>
          <w:tcPr>
            <w:tcW w:type="dxa" w:w="88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4,000</w:t>
            </w:r>
          </w:p>
        </w:tc>
        <w:tc>
          <w:tcPr>
            <w:tcW w:type="dxa" w:w="88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5,600</w:t>
            </w:r>
          </w:p>
        </w:tc>
        <w:tc>
          <w:tcPr>
            <w:tcW w:type="dxa" w:w="47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单班 / 两班 / 三班 × 250 天</w:t>
            </w:r>
          </w:p>
        </w:tc>
      </w:tr>
      <w:tr>
        <w:trPr>
          <w:cantSplit/>
        </w:trPr>
        <w:tc>
          <w:tcPr>
            <w:tcW w:type="dxa" w:w="236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可用率（扣除充电、故障、调校）</w:t>
            </w:r>
          </w:p>
        </w:tc>
        <w:tc>
          <w:tcPr>
            <w:tcW w:type="dxa" w:w="102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75%</w:t>
            </w:r>
          </w:p>
        </w:tc>
        <w:tc>
          <w:tcPr>
            <w:tcW w:type="dxa" w:w="88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85%</w:t>
            </w:r>
          </w:p>
        </w:tc>
        <w:tc>
          <w:tcPr>
            <w:tcW w:type="dxa" w:w="88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95%</w:t>
            </w:r>
          </w:p>
        </w:tc>
        <w:tc>
          <w:tcPr>
            <w:tcW w:type="dxa" w:w="47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Walker S1 工作 3 小时充电 1 小时；S2 3 分钟换电；中性为作者假设</w:t>
            </w:r>
          </w:p>
        </w:tc>
      </w:tr>
      <w:tr>
        <w:trPr>
          <w:cantSplit/>
        </w:trPr>
        <w:tc>
          <w:tcPr>
            <w:tcW w:type="dxa" w:w="236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相对人工作业速度</w:t>
            </w:r>
          </w:p>
        </w:tc>
        <w:tc>
          <w:tcPr>
            <w:tcW w:type="dxa" w:w="102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30%</w:t>
            </w:r>
          </w:p>
        </w:tc>
        <w:tc>
          <w:tcPr>
            <w:tcW w:type="dxa" w:w="88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45%</w:t>
            </w:r>
          </w:p>
        </w:tc>
        <w:tc>
          <w:tcPr>
            <w:tcW w:type="dxa" w:w="88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70%</w:t>
            </w:r>
          </w:p>
        </w:tc>
        <w:tc>
          <w:tcPr>
            <w:tcW w:type="dxa" w:w="47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优必选 30%–45%、东风柳汽"顶半个工人"、小米短任务 70%–80%，均为公司口径</w:t>
            </w:r>
          </w:p>
        </w:tc>
      </w:tr>
      <w:tr>
        <w:trPr>
          <w:cantSplit/>
        </w:trPr>
        <w:tc>
          <w:tcPr>
            <w:tcW w:type="dxa" w:w="236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任务成功率</w:t>
            </w:r>
          </w:p>
        </w:tc>
        <w:tc>
          <w:tcPr>
            <w:tcW w:type="dxa" w:w="102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90%</w:t>
            </w:r>
          </w:p>
        </w:tc>
        <w:tc>
          <w:tcPr>
            <w:tcW w:type="dxa" w:w="88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98%</w:t>
            </w:r>
          </w:p>
        </w:tc>
        <w:tc>
          <w:tcPr>
            <w:tcW w:type="dxa" w:w="88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99.5%</w:t>
            </w:r>
          </w:p>
        </w:tc>
        <w:tc>
          <w:tcPr>
            <w:tcW w:type="dxa" w:w="47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小米 90.2%→98%；乐聚在兆丰 98%；智元 99.5%</w:t>
            </w:r>
          </w:p>
        </w:tc>
      </w:tr>
      <w:tr>
        <w:trPr>
          <w:cantSplit/>
        </w:trPr>
        <w:tc>
          <w:tcPr>
            <w:tcW w:type="dxa" w:w="236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单人年综合用工成本（万元）</w:t>
            </w:r>
          </w:p>
        </w:tc>
        <w:tc>
          <w:tcPr>
            <w:tcW w:type="dxa" w:w="102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9.5</w:t>
            </w:r>
          </w:p>
        </w:tc>
        <w:tc>
          <w:tcPr>
            <w:tcW w:type="dxa" w:w="88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10.5</w:t>
            </w:r>
          </w:p>
        </w:tc>
        <w:tc>
          <w:tcPr>
            <w:tcW w:type="dxa" w:w="88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14</w:t>
            </w:r>
          </w:p>
        </w:tc>
        <w:tc>
          <w:tcPr>
            <w:tcW w:type="dxa" w:w="47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汽车行业中位数 / 规上生产人员工资 × 1.3；亨通普工 14 万元</w:t>
            </w:r>
          </w:p>
        </w:tc>
      </w:tr>
      <w:tr>
        <w:trPr>
          <w:cantSplit/>
        </w:trPr>
        <w:tc>
          <w:tcPr>
            <w:tcW w:type="dxa" w:w="236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监管工程师配比（人/台）</w:t>
            </w:r>
          </w:p>
        </w:tc>
        <w:tc>
          <w:tcPr>
            <w:tcW w:type="dxa" w:w="102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0.5</w:t>
            </w:r>
          </w:p>
        </w:tc>
        <w:tc>
          <w:tcPr>
            <w:tcW w:type="dxa" w:w="88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0.25</w:t>
            </w:r>
          </w:p>
        </w:tc>
        <w:tc>
          <w:tcPr>
            <w:tcW w:type="dxa" w:w="88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0.1</w:t>
            </w:r>
          </w:p>
        </w:tc>
        <w:tc>
          <w:tcPr>
            <w:tcW w:type="dxa" w:w="47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乐聚在兆丰 1 名工程师照看 4 台；悲观、乐观为作者假设</w:t>
            </w:r>
          </w:p>
        </w:tc>
      </w:tr>
      <w:tr>
        <w:trPr>
          <w:cantSplit/>
        </w:trPr>
        <w:tc>
          <w:tcPr>
            <w:tcW w:type="dxa" w:w="236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软件与维保年费（占初始投入）</w:t>
            </w:r>
          </w:p>
        </w:tc>
        <w:tc>
          <w:tcPr>
            <w:tcW w:type="dxa" w:w="102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15%</w:t>
            </w:r>
          </w:p>
        </w:tc>
        <w:tc>
          <w:tcPr>
            <w:tcW w:type="dxa" w:w="88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10%</w:t>
            </w:r>
          </w:p>
        </w:tc>
        <w:tc>
          <w:tcPr>
            <w:tcW w:type="dxa" w:w="88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5%</w:t>
            </w:r>
          </w:p>
        </w:tc>
        <w:tc>
          <w:tcPr>
            <w:tcW w:type="dxa" w:w="47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作者假设：国内费率未找到；海外参照 Agility 约 18%</w:t>
            </w:r>
          </w:p>
        </w:tc>
      </w:tr>
      <w:tr>
        <w:trPr>
          <w:cantSplit/>
        </w:trPr>
        <w:tc>
          <w:tcPr>
            <w:tcW w:type="dxa" w:w="236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年新增运维合计（万元）</w:t>
            </w:r>
          </w:p>
        </w:tc>
        <w:tc>
          <w:tcPr>
            <w:tcW w:type="dxa" w:w="102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18.05</w:t>
            </w:r>
          </w:p>
        </w:tc>
        <w:tc>
          <w:tcPr>
            <w:tcW w:type="dxa" w:w="88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8.97</w:t>
            </w:r>
          </w:p>
        </w:tc>
        <w:tc>
          <w:tcPr>
            <w:tcW w:type="dxa" w:w="88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2.90</w:t>
            </w:r>
          </w:p>
        </w:tc>
        <w:tc>
          <w:tcPr>
            <w:tcW w:type="dxa" w:w="47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计算：维保 + 工程师分摊 + 能耗</w:t>
            </w:r>
          </w:p>
        </w:tc>
      </w:tr>
      <w:tr>
        <w:trPr>
          <w:cantSplit/>
        </w:trPr>
        <w:tc>
          <w:tcPr>
            <w:tcW w:type="dxa" w:w="236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可替代人工（人·年）</w:t>
            </w:r>
          </w:p>
        </w:tc>
        <w:tc>
          <w:tcPr>
            <w:tcW w:type="dxa" w:w="102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0.20</w:t>
            </w:r>
          </w:p>
        </w:tc>
        <w:tc>
          <w:tcPr>
            <w:tcW w:type="dxa" w:w="88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0.75</w:t>
            </w:r>
          </w:p>
        </w:tc>
        <w:tc>
          <w:tcPr>
            <w:tcW w:type="dxa" w:w="88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1.85</w:t>
            </w:r>
          </w:p>
        </w:tc>
        <w:tc>
          <w:tcPr>
            <w:tcW w:type="dxa" w:w="47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计算</w:t>
            </w:r>
          </w:p>
        </w:tc>
      </w:tr>
      <w:tr>
        <w:trPr>
          <w:cantSplit/>
        </w:trPr>
        <w:tc>
          <w:tcPr>
            <w:tcW w:type="dxa" w:w="236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年节省人工成本（万元）</w:t>
            </w:r>
          </w:p>
        </w:tc>
        <w:tc>
          <w:tcPr>
            <w:tcW w:type="dxa" w:w="102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1.92</w:t>
            </w:r>
          </w:p>
        </w:tc>
        <w:tc>
          <w:tcPr>
            <w:tcW w:type="dxa" w:w="88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7.87</w:t>
            </w:r>
          </w:p>
        </w:tc>
        <w:tc>
          <w:tcPr>
            <w:tcW w:type="dxa" w:w="88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25.94</w:t>
            </w:r>
          </w:p>
        </w:tc>
        <w:tc>
          <w:tcPr>
            <w:tcW w:type="dxa" w:w="47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计算</w:t>
            </w:r>
          </w:p>
        </w:tc>
      </w:tr>
      <w:tr>
        <w:trPr>
          <w:cantSplit/>
        </w:trPr>
        <w:tc>
          <w:tcPr>
            <w:tcW w:type="dxa" w:w="236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年净节省（万元）</w:t>
            </w:r>
          </w:p>
        </w:tc>
        <w:tc>
          <w:tcPr>
            <w:tcW w:type="dxa" w:w="102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−16.13</w:t>
            </w:r>
          </w:p>
        </w:tc>
        <w:tc>
          <w:tcPr>
            <w:tcW w:type="dxa" w:w="88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−1.10</w:t>
            </w:r>
          </w:p>
        </w:tc>
        <w:tc>
          <w:tcPr>
            <w:tcW w:type="dxa" w:w="88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23.04</w:t>
            </w:r>
          </w:p>
        </w:tc>
        <w:tc>
          <w:tcPr>
            <w:tcW w:type="dxa" w:w="47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计算</w:t>
            </w:r>
          </w:p>
        </w:tc>
      </w:tr>
      <w:tr>
        <w:trPr>
          <w:cantSplit/>
        </w:trPr>
        <w:tc>
          <w:tcPr>
            <w:tcW w:type="dxa" w:w="2365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回本期（年）</w:t>
            </w:r>
          </w:p>
        </w:tc>
        <w:tc>
          <w:tcPr>
            <w:tcW w:type="dxa" w:w="1027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无法回本</w:t>
            </w:r>
          </w:p>
        </w:tc>
        <w:tc>
          <w:tcPr>
            <w:tcW w:type="dxa" w:w="88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无法回本</w:t>
            </w:r>
          </w:p>
        </w:tc>
        <w:tc>
          <w:tcPr>
            <w:tcW w:type="dxa" w:w="880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0.95</w:t>
            </w:r>
          </w:p>
        </w:tc>
        <w:tc>
          <w:tcPr>
            <w:tcW w:type="dxa" w:w="47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计算</w:t>
            </w:r>
          </w:p>
        </w:tc>
      </w:tr>
      <w:tr>
        <w:trPr>
          <w:cantSplit/>
        </w:trPr>
        <w:tc>
          <w:tcPr>
            <w:tcW w:type="dxa" w:w="2365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5 年回本所需的相对人工速度</w:t>
            </w:r>
          </w:p>
        </w:tc>
        <w:tc>
          <w:tcPr>
            <w:tcW w:type="dxa" w:w="1027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500%</w:t>
            </w:r>
          </w:p>
        </w:tc>
        <w:tc>
          <w:tcPr>
            <w:tcW w:type="dxa" w:w="88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108%</w:t>
            </w:r>
          </w:p>
        </w:tc>
        <w:tc>
          <w:tcPr>
            <w:tcW w:type="dxa" w:w="880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20%</w:t>
            </w:r>
          </w:p>
        </w:tc>
        <w:tc>
          <w:tcPr>
            <w:tcW w:type="dxa" w:w="47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计算：其他参数不变</w:t>
            </w:r>
          </w:p>
        </w:tc>
      </w:tr>
    </w:tbl>
    <w:p>
      <w:pPr>
        <w:spacing w:after="160"/>
      </w:pPr>
      <w:r>
        <w:rPr>
          <w:rFonts w:ascii="Arial" w:hAnsi="Arial" w:cs="Arial" w:eastAsia="微软雅黑"/>
          <w:color w:val="595959"/>
          <w:sz w:val="15"/>
        </w:rPr>
        <w:t>注：回本期 = 初始投入 ÷（年节省人工成本 − 年新增运维成本）；有效替代工时 = 计划工时 × 可用率 × 相对人工速度 × 成功率；年净节省 ≤ 0 时不给回本期。ROI 三档在模型「ROI」页同时展示，不随情景开关变化，其中"中性"对应全文的基准情景。</w:t>
      </w:r>
    </w:p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B. 资料来源索引</w:t>
      </w:r>
    </w:p>
    <w:p>
      <w:pPr>
        <w:jc w:val="both"/>
      </w:pPr>
      <w:r>
        <w:rPr>
          <w:rFonts w:ascii="Arial" w:hAnsi="Arial" w:cs="Arial" w:eastAsia="微软雅黑"/>
        </w:rPr>
        <w:t xml:space="preserve">正文数字均可在 </w:t>
      </w:r>
      <w:r>
        <w:rPr>
          <w:rFonts w:ascii="Arial" w:hAnsi="Arial" w:cs="Arial" w:eastAsia="微软雅黑"/>
        </w:rPr>
        <w:t>六维力传感器_模型.xlsx</w:t>
      </w:r>
      <w:r>
        <w:rPr>
          <w:rFonts w:ascii="Arial" w:hAnsi="Arial" w:cs="Arial" w:eastAsia="微软雅黑"/>
        </w:rPr>
        <w:t>「数据底稿」中按以下 ID 找到原文、来源、日期和局限；作者假设在「假设」页以黄色底色标出。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D0D7E2"/>
          <w:left w:val="single" w:sz="4" w:color="D0D7E2"/>
          <w:bottom w:val="single" w:sz="4" w:color="D0D7E2"/>
          <w:right w:val="single" w:sz="4" w:color="D0D7E2"/>
          <w:insideH w:val="single" w:sz="4" w:color="D0D7E2"/>
          <w:insideV w:val="single" w:sz="4" w:color="D0D7E2"/>
        </w:tblBorders>
        <w:tblLayout w:type="fixed"/>
        <w:tblW w:w="9865" w:type="dxa"/>
      </w:tblPr>
      <w:tblGrid>
        <w:gridCol w:w="3052"/>
        <w:gridCol w:w="6812"/>
      </w:tblGrid>
      <w:tr>
        <w:trPr>
          <w:tblHeader w:val="true"/>
          <w:cantSplit/>
        </w:trPr>
        <w:tc>
          <w:tcPr>
            <w:tcW w:type="dxa" w:w="3052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正文位置</w:t>
            </w:r>
          </w:p>
        </w:tc>
        <w:tc>
          <w:tcPr>
            <w:tcW w:type="dxa" w:w="6812"/>
            <w:shd w:val="clear" w:color="auto" w:fill="1F3864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底稿 ID</w:t>
            </w:r>
          </w:p>
        </w:tc>
      </w:tr>
      <w:tr>
        <w:trPr>
          <w:cantSplit/>
        </w:trPr>
        <w:tc>
          <w:tcPr>
            <w:tcW w:type="dxa" w:w="305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核心观点表</w:t>
            </w:r>
          </w:p>
        </w:tc>
        <w:tc>
          <w:tcPr>
            <w:tcW w:type="dxa" w:w="68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C-08、C-12、C-15、C-16、C-38、C-39、C-46、C-47；F-01～F-09</w:t>
            </w:r>
          </w:p>
        </w:tc>
      </w:tr>
      <w:tr>
        <w:trPr>
          <w:cantSplit/>
        </w:trPr>
        <w:tc>
          <w:tcPr>
            <w:tcW w:type="dxa" w:w="305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1.1 研究范围</w:t>
            </w:r>
          </w:p>
        </w:tc>
        <w:tc>
          <w:tcPr>
            <w:tcW w:type="dxa" w:w="68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D-03、D-06、D-10</w:t>
            </w:r>
          </w:p>
        </w:tc>
      </w:tr>
      <w:tr>
        <w:trPr>
          <w:cantSplit/>
        </w:trPr>
        <w:tc>
          <w:tcPr>
            <w:tcW w:type="dxa" w:w="305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1.2 客户经济性、附录 A</w:t>
            </w:r>
          </w:p>
        </w:tc>
        <w:tc>
          <w:tcPr>
            <w:tcW w:type="dxa" w:w="68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R-03、R-05、R-06、R-10、R-19～R-21、R-25～R-27、R-31、R-34、R-37、R-41、R-42、R-50、R-52、R-54～R-59、R-63～R-67、R-70</w:t>
            </w:r>
          </w:p>
        </w:tc>
      </w:tr>
      <w:tr>
        <w:trPr>
          <w:cantSplit/>
        </w:trPr>
        <w:tc>
          <w:tcPr>
            <w:tcW w:type="dxa" w:w="305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1.3 需求参数</w:t>
            </w:r>
          </w:p>
        </w:tc>
        <w:tc>
          <w:tcPr>
            <w:tcW w:type="dxa" w:w="68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D-18、D-23、D-25、D-26、D-30、D-48、D-49、D-52～D-54、D-74、D-75、D-78、D-81、D-83</w:t>
            </w:r>
          </w:p>
        </w:tc>
      </w:tr>
      <w:tr>
        <w:trPr>
          <w:cantSplit/>
        </w:trPr>
        <w:tc>
          <w:tcPr>
            <w:tcW w:type="dxa" w:w="305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1.3 机型配置表</w:t>
            </w:r>
          </w:p>
        </w:tc>
        <w:tc>
          <w:tcPr>
            <w:tcW w:type="dxa" w:w="68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D-01～D-04、D-06～D-08、D-10～D-12、D-31</w:t>
            </w:r>
          </w:p>
        </w:tc>
      </w:tr>
      <w:tr>
        <w:trPr>
          <w:cantSplit/>
        </w:trPr>
        <w:tc>
          <w:tcPr>
            <w:tcW w:type="dxa" w:w="305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1.3 第三方预测对照</w:t>
            </w:r>
          </w:p>
        </w:tc>
        <w:tc>
          <w:tcPr>
            <w:tcW w:type="dxa" w:w="68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D-60、D-61、D-63、D-64</w:t>
            </w:r>
          </w:p>
        </w:tc>
      </w:tr>
      <w:tr>
        <w:trPr>
          <w:cantSplit/>
        </w:trPr>
        <w:tc>
          <w:tcPr>
            <w:tcW w:type="dxa" w:w="305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2.1 BOM</w:t>
            </w:r>
          </w:p>
        </w:tc>
        <w:tc>
          <w:tcPr>
            <w:tcW w:type="dxa" w:w="68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B-01～B-03、R-04、D-16、D-46、D-58</w:t>
            </w:r>
          </w:p>
        </w:tc>
      </w:tr>
      <w:tr>
        <w:trPr>
          <w:cantSplit/>
        </w:trPr>
        <w:tc>
          <w:tcPr>
            <w:tcW w:type="dxa" w:w="305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2.2 技术路线</w:t>
            </w:r>
          </w:p>
        </w:tc>
        <w:tc>
          <w:tcPr>
            <w:tcW w:type="dxa" w:w="68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D-33～D-41</w:t>
            </w:r>
          </w:p>
        </w:tc>
      </w:tr>
      <w:tr>
        <w:trPr>
          <w:cantSplit/>
        </w:trPr>
        <w:tc>
          <w:tcPr>
            <w:tcW w:type="dxa" w:w="305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2.3 竞争格局与价格</w:t>
            </w:r>
          </w:p>
        </w:tc>
        <w:tc>
          <w:tcPr>
            <w:tcW w:type="dxa" w:w="68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C-10、C-18、C-22、C-35、C-40、C-79～C-86、D-13、D-46、D-49～D-51、D-55、D-57、D-65～D-67</w:t>
            </w:r>
          </w:p>
        </w:tc>
      </w:tr>
      <w:tr>
        <w:trPr>
          <w:cantSplit/>
        </w:trPr>
        <w:tc>
          <w:tcPr>
            <w:tcW w:type="dxa" w:w="305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3.1 业务进展</w:t>
            </w:r>
          </w:p>
        </w:tc>
        <w:tc>
          <w:tcPr>
            <w:tcW w:type="dxa" w:w="68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C-01～C-17、C-32～C-40、C-43、C-46～C-51、C-73、C-76、C-77</w:t>
            </w:r>
          </w:p>
        </w:tc>
      </w:tr>
      <w:tr>
        <w:trPr>
          <w:cantSplit/>
        </w:trPr>
        <w:tc>
          <w:tcPr>
            <w:tcW w:type="dxa" w:w="305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3.2–3.3 收入与利润</w:t>
            </w:r>
          </w:p>
        </w:tc>
        <w:tc>
          <w:tcPr>
            <w:tcW w:type="dxa" w:w="6812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C-12、C-21、C-24、C-25、C-35、C-42、C-44、C-52；F-02、F-04、F-06</w:t>
            </w:r>
          </w:p>
        </w:tc>
      </w:tr>
      <w:tr>
        <w:trPr>
          <w:cantSplit/>
        </w:trPr>
        <w:tc>
          <w:tcPr>
            <w:tcW w:type="dxa" w:w="305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4 估值</w:t>
            </w:r>
          </w:p>
        </w:tc>
        <w:tc>
          <w:tcPr>
            <w:tcW w:type="dxa" w:w="6812"/>
            <w:shd w:val="clear" w:color="auto" w:fill="F4F7FB"/>
          </w:tcPr>
          <w:p>
            <w:pPr>
              <w:spacing w:after="0" w:line="276" w:lineRule="auto"/>
            </w:pPr>
            <w:r>
              <w:rPr>
                <w:rFonts w:ascii="Arial" w:hAnsi="Arial" w:cs="Arial" w:eastAsia="微软雅黑"/>
                <w:sz w:val="16"/>
              </w:rPr>
              <w:t>F-01～F-09</w:t>
            </w:r>
          </w:p>
        </w:tc>
      </w:tr>
    </w:tbl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C. 证据标准</w:t>
      </w:r>
    </w:p>
    <w:p>
      <w:pPr>
        <w:pStyle w:val="ListBullet"/>
      </w:pPr>
      <w:r>
        <w:rPr>
          <w:rFonts w:ascii="Arial" w:hAnsi="Arial" w:cs="Arial" w:eastAsia="微软雅黑"/>
          <w:b/>
          <w:color w:val="1F3864"/>
        </w:rPr>
        <w:t>实际：</w:t>
      </w:r>
      <w:r>
        <w:rPr>
          <w:rFonts w:ascii="Arial" w:hAnsi="Arial" w:cs="Arial" w:eastAsia="微软雅黑"/>
        </w:rPr>
        <w:t xml:space="preserve"> 已发生并有一手披露（定期报告、公告、交易所问询回复）。</w:t>
      </w:r>
    </w:p>
    <w:p>
      <w:pPr>
        <w:pStyle w:val="ListBullet"/>
      </w:pPr>
      <w:r>
        <w:rPr>
          <w:rFonts w:ascii="Arial" w:hAnsi="Arial" w:cs="Arial" w:eastAsia="微软雅黑"/>
          <w:b/>
          <w:color w:val="1F3864"/>
        </w:rPr>
        <w:t>计划：</w:t>
      </w:r>
      <w:r>
        <w:rPr>
          <w:rFonts w:ascii="Arial" w:hAnsi="Arial" w:cs="Arial" w:eastAsia="微软雅黑"/>
        </w:rPr>
        <w:t xml:space="preserve"> 公司表态的目标或规划，只证明计划存在。</w:t>
      </w:r>
    </w:p>
    <w:p>
      <w:pPr>
        <w:pStyle w:val="ListBullet"/>
      </w:pPr>
      <w:r>
        <w:rPr>
          <w:rFonts w:ascii="Arial" w:hAnsi="Arial" w:cs="Arial" w:eastAsia="微软雅黑"/>
          <w:b/>
          <w:color w:val="1F3864"/>
        </w:rPr>
        <w:t>测算：</w:t>
      </w:r>
      <w:r>
        <w:rPr>
          <w:rFonts w:ascii="Arial" w:hAnsi="Arial" w:cs="Arial" w:eastAsia="微软雅黑"/>
        </w:rPr>
        <w:t xml:space="preserve"> 机构或本文模型推算，需注明方法。</w:t>
      </w:r>
    </w:p>
    <w:p>
      <w:pPr>
        <w:pStyle w:val="ListBullet"/>
      </w:pPr>
      <w:r>
        <w:rPr>
          <w:rFonts w:ascii="Arial" w:hAnsi="Arial" w:cs="Arial" w:eastAsia="微软雅黑"/>
          <w:b/>
          <w:color w:val="1F3864"/>
        </w:rPr>
        <w:t>传闻：</w:t>
      </w:r>
      <w:r>
        <w:rPr>
          <w:rFonts w:ascii="Arial" w:hAnsi="Arial" w:cs="Arial" w:eastAsia="微软雅黑"/>
        </w:rPr>
        <w:t xml:space="preserve"> 无一手来源，只作线索，不进模型。</w:t>
      </w:r>
    </w:p>
    <w:p>
      <w:pPr>
        <w:pStyle w:val="Heading2"/>
      </w:pPr>
      <w:r>
        <w:rPr>
          <w:rFonts w:ascii="Arial" w:hAnsi="Arial" w:cs="Arial" w:eastAsia="微软雅黑"/>
          <w:b/>
          <w:color w:val="1F3864"/>
          <w:sz w:val="23"/>
        </w:rPr>
        <w:t>D. 免责声明</w:t>
      </w:r>
    </w:p>
    <w:p>
      <w:pPr>
        <w:jc w:val="both"/>
      </w:pPr>
      <w:r>
        <w:rPr>
          <w:rFonts w:ascii="Arial" w:hAnsi="Arial" w:cs="Arial" w:eastAsia="微软雅黑"/>
        </w:rPr>
        <w:t>本文为个人研究作品，不构成投资建议。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134" w:right="1020" w:bottom="1020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Arial" w:eastAsia="微软雅黑"/>
        <w:color w:val="595959"/>
        <w:sz w:val="16"/>
      </w:rPr>
      <w:t xml:space="preserve">个人研究作品，不构成投资建议    第 </w:t>
    </w:r>
    <w:r>
      <w:rPr>
        <w:rFonts w:ascii="Arial" w:hAnsi="Arial" w:cs="Arial" w:eastAsia="微软雅黑"/>
        <w:color w:val="595959"/>
        <w:sz w:val="16"/>
      </w:rPr>
      <w:fldChar w:fldCharType="begin"/>
    </w:r>
    <w:r>
      <w:rPr>
        <w:rFonts w:ascii="Arial" w:hAnsi="Arial" w:cs="Arial" w:eastAsia="微软雅黑"/>
        <w:color w:val="595959"/>
        <w:sz w:val="16"/>
      </w:rPr>
      <w:instrText xml:space="preserve"> PAGE </w:instrText>
    </w:r>
    <w:r>
      <w:rPr>
        <w:rFonts w:ascii="Arial" w:hAnsi="Arial" w:cs="Arial" w:eastAsia="微软雅黑"/>
        <w:color w:val="595959"/>
        <w:sz w:val="16"/>
      </w:rPr>
      <w:fldChar w:fldCharType="end"/>
    </w:r>
    <w:r>
      <w:rPr>
        <w:rFonts w:ascii="Arial" w:hAnsi="Arial" w:cs="Arial" w:eastAsia="微软雅黑"/>
        <w:color w:val="595959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Arial" w:eastAsia="微软雅黑"/>
        <w:color w:val="595959"/>
        <w:sz w:val="16"/>
      </w:rPr>
      <w:t xml:space="preserve">个人研究作品，不构成投资建议    第 </w:t>
    </w:r>
    <w:r>
      <w:rPr>
        <w:rFonts w:ascii="Arial" w:hAnsi="Arial" w:cs="Arial" w:eastAsia="微软雅黑"/>
        <w:color w:val="595959"/>
        <w:sz w:val="16"/>
      </w:rPr>
      <w:fldChar w:fldCharType="begin"/>
    </w:r>
    <w:r>
      <w:rPr>
        <w:rFonts w:ascii="Arial" w:hAnsi="Arial" w:cs="Arial" w:eastAsia="微软雅黑"/>
        <w:color w:val="595959"/>
        <w:sz w:val="16"/>
      </w:rPr>
      <w:instrText xml:space="preserve"> PAGE </w:instrText>
    </w:r>
    <w:r>
      <w:rPr>
        <w:rFonts w:ascii="Arial" w:hAnsi="Arial" w:cs="Arial" w:eastAsia="微软雅黑"/>
        <w:color w:val="595959"/>
        <w:sz w:val="16"/>
      </w:rPr>
      <w:fldChar w:fldCharType="end"/>
    </w:r>
    <w:r>
      <w:rPr>
        <w:rFonts w:ascii="Arial" w:hAnsi="Arial" w:cs="Arial" w:eastAsia="微软雅黑"/>
        <w:color w:val="59595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1F3864"/>
      </w:pBdr>
    </w:pPr>
    <w:r>
      <w:rPr>
        <w:rFonts w:ascii="Arial" w:hAnsi="Arial" w:cs="Arial" w:eastAsia="微软雅黑"/>
        <w:color w:val="1F3864"/>
        <w:sz w:val="16"/>
      </w:rPr>
      <w:t>行业专题研究｜人形机器人六维力传感器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Arial" w:hAnsi="Arial" w:cs="Arial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="Arial" w:hAnsi="Arial" w:cs="Arial" w:eastAsia="微软雅黑"/>
      <w:b/>
      <w:bCs/>
      <w:i w:val="0"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 w:cs="Arial" w:eastAsia="微软雅黑"/>
      <w:b/>
      <w:bCs/>
      <w:i w:val="0"/>
      <w:color w:val="1F386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微软雅黑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微软雅黑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人形机器人六维力传感器专题：需求增长与降价并行，上市公司兑现取决于客户突破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