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  <w:tblW w:w="5000" w:type="pct"/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>
          <w:trHeight w:val="16838" w:hRule="exact"/>
        </w:trPr>
        <w:tc>
          <w:tcPr>
            <w:tcW w:type="dxa" w:w="9026"/>
            <w:shd w:val="clear" w:fill="0B1C2C"/>
          </w:tcPr>
          <w:p>
            <w:pPr>
              <w:spacing w:before="4745" w:after="0" w:line="240" w:lineRule="auto"/>
            </w:pPr>
          </w:p>
          <w:p>
            <w:pPr>
              <w:ind w:left="1200" w:right="800"/>
              <w:pBdr>
                <w:bottom w:val="single" w:sz="6" w:space="8" w:color="529286"/>
              </w:pBdr>
              <w:spacing w:after="500"/>
            </w:pPr>
            <w:r>
              <w:rPr>
                <w:rFonts w:ascii="Calibri" w:hAnsi="Calibri" w:eastAsia="黑体"/>
                <w:color w:val="529286"/>
                <w:sz w:val="18"/>
              </w:rPr>
              <w:t>E V A L U A T I O N   R E P O R T</w:t>
            </w:r>
          </w:p>
          <w:p>
            <w:pPr>
              <w:ind w:left="1200"/>
              <w:spacing w:after="300" w:line="920" w:lineRule="atLeast"/>
            </w:pPr>
            <w:r>
              <w:rPr>
                <w:rFonts w:ascii="Arial" w:hAnsi="Arial" w:eastAsia="黑体"/>
                <w:b/>
                <w:color w:val="FFFFFF"/>
                <w:sz w:val="80"/>
              </w:rPr>
              <w:t>AI定制参观路线评估报告</w:t>
            </w:r>
          </w:p>
          <w:p>
            <w:pPr>
              <w:ind w:left="1200"/>
              <w:spacing w:after="800"/>
            </w:pPr>
            <w:r>
              <w:rPr>
                <w:rFonts w:ascii="Arial" w:hAnsi="Arial" w:eastAsia="微软雅黑"/>
                <w:color w:val="B0B8C0"/>
                <w:sz w:val="24"/>
              </w:rPr>
              <w:t>——以中国国家博物馆为例</w:t>
            </w:r>
          </w:p>
          <w:p>
            <w:pPr>
              <w:ind w:left="1400"/>
              <w:pBdr>
                <w:left w:val="single" w:sz="8" w:space="12" w:color="529286"/>
              </w:pBdr>
              <w:spacing w:after="80"/>
            </w:pPr>
            <w:r>
              <w:rPr>
                <w:rFonts w:ascii="Arial" w:hAnsi="Arial" w:eastAsia="微软雅黑"/>
                <w:color w:val="90989F"/>
                <w:sz w:val="24"/>
              </w:rPr>
              <w:t>评估对象：AI 定制参观路线产品</w:t>
            </w:r>
          </w:p>
          <w:p>
            <w:pPr>
              <w:ind w:left="1400"/>
              <w:pBdr>
                <w:left w:val="single" w:sz="8" w:space="12" w:color="529286"/>
              </w:pBdr>
              <w:spacing w:after="80"/>
            </w:pPr>
            <w:r>
              <w:rPr>
                <w:rFonts w:ascii="Arial" w:hAnsi="Arial" w:eastAsia="微软雅黑"/>
                <w:color w:val="90989F"/>
                <w:sz w:val="24"/>
              </w:rPr>
              <w:t>信息来源：国博官网公开数据（2026 年 10 月抓取）</w:t>
            </w:r>
          </w:p>
          <w:p>
            <w:pPr>
              <w:ind w:left="1400"/>
              <w:pBdr>
                <w:left w:val="single" w:sz="8" w:space="12" w:color="529286"/>
              </w:pBdr>
              <w:spacing w:after="80"/>
            </w:pPr>
            <w:r>
              <w:rPr>
                <w:rFonts w:ascii="Arial" w:hAnsi="Arial" w:eastAsia="微软雅黑"/>
                <w:color w:val="90989F"/>
                <w:sz w:val="24"/>
              </w:rPr>
              <w:t>编制日期：2026 年 10 月 18 日</w:t>
            </w:r>
          </w:p>
          <w:p>
            <w:pPr>
              <w:spacing w:before="4745" w:after="0" w:line="240" w:lineRule="auto"/>
            </w:pPr>
          </w:p>
          <w:p>
            <w:pPr>
              <w:ind w:left="1200" w:right="800"/>
              <w:pBdr>
                <w:top w:val="single" w:sz="2" w:space="8" w:color="529286"/>
              </w:pBdr>
              <w:spacing w:before="200"/>
            </w:pPr>
            <w:r>
              <w:rPr>
                <w:rFonts w:ascii="Arial" w:hAnsi="Arial" w:eastAsia="微软雅黑"/>
                <w:color w:val="687078"/>
                <w:sz w:val="16"/>
              </w:rPr>
              <w:t>内部评估材料</w:t>
            </w:r>
            <w:r>
              <w:rPr>
                <w:rFonts w:ascii="Arial" w:hAnsi="Arial" w:eastAsia="宋体"/>
                <w:color w:val="687078"/>
                <w:sz w:val="16"/>
              </w:rPr>
              <w:t xml:space="preserve">                                        </w:t>
            </w:r>
            <w:r>
              <w:rPr>
                <w:rFonts w:ascii="Arial" w:hAnsi="Arial" w:eastAsia="微软雅黑"/>
                <w:color w:val="687078"/>
                <w:sz w:val="16"/>
              </w:rPr>
              <w:t>2026 年 10 月</w:t>
            </w:r>
          </w:p>
        </w:tc>
      </w:tr>
    </w:tbl>
    <w:p>
      <w:pPr>
        <w:rPr>
          <w:vanish/>
          <w:sz w:val="2"/>
        </w:rPr>
        <w:sectPr>
          <w:pgSz w:w="11906" w:h="16838"/>
          <w:pgMar w:top="0" w:right="0" w:bottom="0" w:left="0" w:header="720" w:footer="720" w:gutter="0"/>
          <w:cols w:space="720"/>
          <w:docGrid w:linePitch="360"/>
        </w:sectPr>
        <w:spacing w:before="0" w:after="0" w:line="14" w:lineRule="exact"/>
      </w:pPr>
    </w:p>
    <w:p>
      <w:pPr>
        <w:pStyle w:val="Heading1"/>
      </w:pPr>
      <w:bookmarkStart w:id="100000" w:name="_Toc100000"/>
      <w:r>
        <w:rPr>
          <w:rFonts w:ascii="Times New Roman" w:hAnsi="Times New Roman" w:eastAsia="黑体"/>
          <w:b/>
          <w:color w:val="0B1C2C"/>
          <w:sz w:val="32"/>
        </w:rPr>
        <w:t>一、摘要</w:t>
      </w:r>
      <w:bookmarkEnd w:id="100000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本报告评估在中国国家博物馆（下称国博）场景下建设“AI 定制参观路线”产品的必要性与可行性，供立项决策参考。核心结论有三。其一，需求具有普遍性：国博“通史陈列＋材质专题”的策展结构与观众按主题切片的兴趣之间存在结构性错位，任何不按默认动线组织的观展目标都必然跨展厅；近 20 万平方米、48 个展厅、约 6000 件在展文物与单次约 2.5 至 4 小时的有效参观时长之间的落差，使“看什么、按什么顺序看”成为每位观众必做的功课。其二，数据条件支持尽快启动：展览级数据（展览名称、展厅、展期、预约规则）在官网完整公开且机器可读，第一版展览级路线产品用现有数据即可上线。其三，主要制约在展品级数据：展品在展厅内的精确位置官方不公开，需以模型通识冷启动、以人工核验逐步积累。报告第四章给出八个代表性路线示例，第五章给出数据层、编排层、动态层三层实现方案与三期迭代建议。</w:t>
      </w:r>
    </w:p>
    <w:p>
      <w:pPr>
        <w:pStyle w:val="Heading1"/>
      </w:pPr>
      <w:bookmarkStart w:id="100001" w:name="_Toc100001"/>
      <w:r>
        <w:rPr>
          <w:rFonts w:ascii="Times New Roman" w:hAnsi="Times New Roman" w:eastAsia="黑体"/>
          <w:b/>
          <w:color w:val="0B1C2C"/>
          <w:sz w:val="32"/>
        </w:rPr>
        <w:t>二、调研背景与信息来源</w:t>
      </w:r>
      <w:bookmarkEnd w:id="100001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本报告结论基于 2026 年 10 月 18 日对国博官网（www.chnmuseum.cn）的系统抓取，覆盖展览列表、各展览详情页、参观预约须知与藏品总目入口，并辅以公开报道与观众研究常识。官网可核验的关键事实包括：在展展览二十余个，分为基本陈列、专题展览、临时展览三类；“古代中国”基本陈列展出 2520 件展品（一级品 521 件），分布于北 20 至北 25、南 15 至南 20 展厅；常设专题展覆盖瓷器（北 17，300 余件）、玉器（北 19，480 件套）、佛造像（南 13，236 件）、钱币（南 11，2000 余件）、服饰（北 18）、铜镜（南 14）、书画（南 12）、饮食（北 11）等门类；入馆实行分时段预约（9:00—11:00、11:00—13:30、13:30—16:00，旺季延至 16:30），每账号每周限约一次，周一闭馆。</w:t>
      </w:r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两点数据局限需要事先说明。其一，官网未公布楼层导览图，展品精确展位需实地采集，本报告中的动线均以展厅编号及其相邻关系表述。其二，官网展览列表存在滞后，已闭幕展览未及时下架，产品化时必须按展期字段自行过滤，不能盲信列表页。</w:t>
      </w:r>
    </w:p>
    <w:p>
      <w:pPr>
        <w:pStyle w:val="Heading1"/>
      </w:pPr>
      <w:bookmarkStart w:id="100002" w:name="_Toc100002"/>
      <w:r>
        <w:rPr>
          <w:rFonts w:ascii="Times New Roman" w:hAnsi="Times New Roman" w:eastAsia="黑体"/>
          <w:b/>
          <w:color w:val="0B1C2C"/>
          <w:sz w:val="32"/>
        </w:rPr>
        <w:t>三、需求意义：从个性需求到普遍刚需</w:t>
      </w:r>
      <w:bookmarkEnd w:id="100002"/>
    </w:p>
    <w:p>
      <w:pPr>
        <w:pStyle w:val="Heading2"/>
      </w:pPr>
      <w:bookmarkStart w:id="100003" w:name="_Toc100003"/>
      <w:r>
        <w:rPr>
          <w:rFonts w:ascii="Times New Roman" w:hAnsi="Times New Roman" w:eastAsia="黑体"/>
          <w:b/>
          <w:color w:val="0B1C2C"/>
          <w:sz w:val="30"/>
        </w:rPr>
        <w:t>（一）策展结构与观众兴趣的结构性错位</w:t>
      </w:r>
      <w:bookmarkEnd w:id="100003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国博的常设展陈按两条正交的轴切分：时间轴与材质、门类轴（见表 1）。这一结构服务的是系统学习式观展，但当下观众的兴趣越来越多按主题切片进入，例如“唐宋工艺什么水平”“古人怎么喝茶”“课本里的国宝在哪”。主题切片与两条策展轴都不重合，其目标展品必然被打散到多个展厅。“了解唐宋时期手工艺品”并非个例，而是这种错位最典型的表达。</w:t>
      </w:r>
    </w:p>
    <w:p>
      <w:pPr>
        <w:keepNext/>
        <w:jc w:val="center"/>
        <w:spacing w:before="200" w:after="100"/>
      </w:pPr>
      <w:r>
        <w:rPr>
          <w:rFonts w:ascii="Times New Roman" w:hAnsi="Times New Roman" w:eastAsia="宋体"/>
          <w:b/>
          <w:sz w:val="21"/>
        </w:rPr>
        <w:t>表 1  国博常设展陈的两轴结构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29286"/>
          <w:bottom w:val="single" w:sz="6" w:color="529286"/>
          <w:left w:val="none" w:sz="0" w:color="FFFFFF"/>
          <w:right w:val="none" w:sz="0" w:color="FFFFFF"/>
          <w:insideH w:val="single" w:sz="4" w:color="BECFCC"/>
          <w:insideV w:val="none" w:sz="0" w:color="FFFFFF"/>
        </w:tblBorders>
        <w:tblW w:w="5000" w:type="pc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tcW w:w="900" w:type="pct"/>
            <w:shd w:val="clear" w:fill="5292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展陈轴线</w:t>
            </w:r>
          </w:p>
        </w:tc>
        <w:tc>
          <w:tcPr>
            <w:tcW w:type="dxa" w:w="2197"/>
            <w:tcW w:w="1700" w:type="pct"/>
            <w:shd w:val="clear" w:fill="5292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展览名称</w:t>
            </w:r>
          </w:p>
        </w:tc>
        <w:tc>
          <w:tcPr>
            <w:tcW w:type="dxa" w:w="2197"/>
            <w:tcW w:w="1300" w:type="pct"/>
            <w:shd w:val="clear" w:fill="5292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展厅</w:t>
            </w:r>
          </w:p>
        </w:tc>
        <w:tc>
          <w:tcPr>
            <w:tcW w:type="dxa" w:w="2197"/>
            <w:tcW w:w="1100" w:type="pct"/>
            <w:shd w:val="clear" w:fill="5292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展出规模</w:t>
            </w:r>
          </w:p>
        </w:tc>
      </w:tr>
      <w:tr>
        <w:trPr>
          <w:cantSplit/>
        </w:trPr>
        <w:tc>
          <w:tcPr>
            <w:tcW w:type="dxa" w:w="2197"/>
            <w:tcW w:w="9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时间轴</w:t>
            </w:r>
          </w:p>
        </w:tc>
        <w:tc>
          <w:tcPr>
            <w:tcW w:type="dxa" w:w="2197"/>
            <w:tcW w:w="17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古代中国（八个时期）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北 20—25、南 15—20</w:t>
            </w:r>
          </w:p>
        </w:tc>
        <w:tc>
          <w:tcPr>
            <w:tcW w:type="dxa" w:w="2197"/>
            <w:tcW w:w="11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2520 件，一级品 521 件</w:t>
            </w:r>
          </w:p>
        </w:tc>
      </w:tr>
      <w:tr>
        <w:trPr>
          <w:cantSplit/>
        </w:trPr>
        <w:tc>
          <w:tcPr>
            <w:tcW w:type="dxa" w:w="2197"/>
            <w:tcW w:w="9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材质 / 门类轴</w:t>
            </w:r>
          </w:p>
        </w:tc>
        <w:tc>
          <w:tcPr>
            <w:tcW w:type="dxa" w:w="2197"/>
            <w:tcW w:w="17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中国古代瓷器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北 17</w:t>
            </w:r>
          </w:p>
        </w:tc>
        <w:tc>
          <w:tcPr>
            <w:tcW w:type="dxa" w:w="2197"/>
            <w:tcW w:w="11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300 余件</w:t>
            </w:r>
          </w:p>
        </w:tc>
      </w:tr>
      <w:tr>
        <w:trPr>
          <w:cantSplit/>
        </w:trPr>
        <w:tc>
          <w:tcPr>
            <w:tcW w:type="dxa" w:w="2197"/>
            <w:tcW w:w="9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材质 / 门类轴</w:t>
            </w:r>
          </w:p>
        </w:tc>
        <w:tc>
          <w:tcPr>
            <w:tcW w:type="dxa" w:w="2197"/>
            <w:tcW w:w="17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中国古代玉器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北 19</w:t>
            </w:r>
          </w:p>
        </w:tc>
        <w:tc>
          <w:tcPr>
            <w:tcW w:type="dxa" w:w="2197"/>
            <w:tcW w:w="11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480 件（套）</w:t>
            </w:r>
          </w:p>
        </w:tc>
      </w:tr>
      <w:tr>
        <w:trPr>
          <w:cantSplit/>
        </w:trPr>
        <w:tc>
          <w:tcPr>
            <w:tcW w:type="dxa" w:w="2197"/>
            <w:tcW w:w="9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材质 / 门类轴</w:t>
            </w:r>
          </w:p>
        </w:tc>
        <w:tc>
          <w:tcPr>
            <w:tcW w:type="dxa" w:w="2197"/>
            <w:tcW w:w="17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中国古代佛造像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南 13</w:t>
            </w:r>
          </w:p>
        </w:tc>
        <w:tc>
          <w:tcPr>
            <w:tcW w:type="dxa" w:w="2197"/>
            <w:tcW w:w="11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236 件</w:t>
            </w:r>
          </w:p>
        </w:tc>
      </w:tr>
      <w:tr>
        <w:trPr>
          <w:cantSplit/>
        </w:trPr>
        <w:tc>
          <w:tcPr>
            <w:tcW w:type="dxa" w:w="2197"/>
            <w:tcW w:w="9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材质 / 门类轴</w:t>
            </w:r>
          </w:p>
        </w:tc>
        <w:tc>
          <w:tcPr>
            <w:tcW w:type="dxa" w:w="2197"/>
            <w:tcW w:w="17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中国古代钱币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南 11</w:t>
            </w:r>
          </w:p>
        </w:tc>
        <w:tc>
          <w:tcPr>
            <w:tcW w:type="dxa" w:w="2197"/>
            <w:tcW w:w="11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2000 余件</w:t>
            </w:r>
          </w:p>
        </w:tc>
      </w:tr>
      <w:tr>
        <w:trPr>
          <w:cantSplit/>
        </w:trPr>
        <w:tc>
          <w:tcPr>
            <w:tcW w:type="dxa" w:w="2197"/>
            <w:tcW w:w="9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材质 / 门类轴</w:t>
            </w:r>
          </w:p>
        </w:tc>
        <w:tc>
          <w:tcPr>
            <w:tcW w:type="dxa" w:w="2197"/>
            <w:tcW w:w="17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中国古代服饰文化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北 18</w:t>
            </w:r>
          </w:p>
        </w:tc>
        <w:tc>
          <w:tcPr>
            <w:tcW w:type="dxa" w:w="2197"/>
            <w:tcW w:w="11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长期在展</w:t>
            </w:r>
          </w:p>
        </w:tc>
      </w:tr>
      <w:tr>
        <w:trPr>
          <w:cantSplit/>
        </w:trPr>
        <w:tc>
          <w:tcPr>
            <w:tcW w:type="dxa" w:w="2197"/>
            <w:tcW w:w="9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材质 / 门类轴</w:t>
            </w:r>
          </w:p>
        </w:tc>
        <w:tc>
          <w:tcPr>
            <w:tcW w:type="dxa" w:w="2197"/>
            <w:tcW w:w="17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镜里千秋铜镜展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南 14</w:t>
            </w:r>
          </w:p>
        </w:tc>
        <w:tc>
          <w:tcPr>
            <w:tcW w:type="dxa" w:w="2197"/>
            <w:tcW w:w="11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长期在展</w:t>
            </w:r>
          </w:p>
        </w:tc>
      </w:tr>
      <w:tr>
        <w:trPr>
          <w:cantSplit/>
        </w:trPr>
        <w:tc>
          <w:tcPr>
            <w:tcW w:type="dxa" w:w="2197"/>
            <w:tcW w:w="9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材质 / 门类轴</w:t>
            </w:r>
          </w:p>
        </w:tc>
        <w:tc>
          <w:tcPr>
            <w:tcW w:type="dxa" w:w="2197"/>
            <w:tcW w:w="17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中国古代书画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南 12</w:t>
            </w:r>
          </w:p>
        </w:tc>
        <w:tc>
          <w:tcPr>
            <w:tcW w:type="dxa" w:w="2197"/>
            <w:tcW w:w="11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定期换展</w:t>
            </w:r>
          </w:p>
        </w:tc>
      </w:tr>
    </w:tbl>
    <w:p>
      <w:pPr>
        <w:spacing w:before="80" w:after="200"/>
      </w:pPr>
      <w:r>
        <w:rPr>
          <w:rFonts w:ascii="Times New Roman" w:hAnsi="Times New Roman" w:eastAsia="宋体"/>
          <w:color w:val="888888"/>
          <w:sz w:val="18"/>
        </w:rPr>
        <w:t>注：楼层分布官网未公布，展厅相邻关系以实地核验为准；数据为国博官网 2026 年 10 月 18 日抓取口径。</w:t>
      </w:r>
    </w:p>
    <w:p>
      <w:pPr>
        <w:pStyle w:val="Heading2"/>
      </w:pPr>
      <w:bookmarkStart w:id="100004" w:name="_Toc100004"/>
      <w:r>
        <w:rPr>
          <w:rFonts w:ascii="Times New Roman" w:hAnsi="Times New Roman" w:eastAsia="黑体"/>
          <w:b/>
          <w:color w:val="0B1C2C"/>
          <w:sz w:val="30"/>
        </w:rPr>
        <w:t>（二）物理与规则约束下的必然取舍</w:t>
      </w:r>
      <w:bookmarkEnd w:id="100004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体量上，馆区建筑面积近 20 万平方米、设 48 个展厅，常设在展文物合计约 6000 件以上。时间上，分时段预约之下单次有效参观约 2.5 至 4 小时，按每件停留 1 至 2 分钟估算，能细看的展品约 100 至 150 件，不足在展总量的 3%。规则上，每账号每周限约一次、15:00 前可退、累计三次爽约将被限制预约 30 日，单次参观因此成为高价值的一次性决策。三个约束叠加，路线取舍不是可选的增强功能，而是每位观众进馆必做的功课，区别只在于靠攻略、靠运气，还是靠工具。</w:t>
      </w:r>
    </w:p>
    <w:p>
      <w:pPr>
        <w:pStyle w:val="Heading2"/>
      </w:pPr>
      <w:bookmarkStart w:id="100005" w:name="_Toc100005"/>
      <w:r>
        <w:rPr>
          <w:rFonts w:ascii="Times New Roman" w:hAnsi="Times New Roman" w:eastAsia="黑体"/>
          <w:b/>
          <w:color w:val="0B1C2C"/>
          <w:sz w:val="30"/>
        </w:rPr>
        <w:t>（三）需求普遍性的五重证据</w:t>
      </w:r>
      <w:bookmarkEnd w:id="100005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供给侧：馆方将 9 个展厅常设给材质与门类专题，若主题式深度需求小众，该结构不会长期存在并持续扩充，书画专题 2026 年 9 月刚重装上新。文化侧：唐宋器物审美经综艺、剧集、舞台作品及汉服、新中式等生活方式消费大众化，大量观众带着已被激活的具体兴趣进馆。行为侧：攻略平台“国博攻略”“必看 N 件文物”是稳定内容品类，用户生成攻略本质是人肉版定制路线，说明无工具时需求已自行组织。官方侧：馆方已提供人工专题讲解与定制讲解服务，官方应用上线分众语音导览，需求被官方确认，但人工产能与预制路线无法覆盖“任意主题×任意时间窗口×实时展况”的长尾组合。基数侧：国博年接待观众约 675 万人次（2023 年，限流前2018 年峰值为 861 万），需求常年大于承载上限。五重证据相互独立，指向同一结论：主题式跨厅参观是主流行为，不是长尾癖好。</w:t>
      </w:r>
    </w:p>
    <w:p>
      <w:pPr>
        <w:pStyle w:val="Heading2"/>
      </w:pPr>
      <w:bookmarkStart w:id="100006" w:name="_Toc100006"/>
      <w:r>
        <w:rPr>
          <w:rFonts w:ascii="Times New Roman" w:hAnsi="Times New Roman" w:eastAsia="黑体"/>
          <w:b/>
          <w:color w:val="0B1C2C"/>
          <w:sz w:val="30"/>
        </w:rPr>
        <w:t>（四）与电子导览的本质区别</w:t>
      </w:r>
      <w:bookmarkEnd w:id="100006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电子导览回答“这里是什么”；定制路线回答“为了理解我的问题，今天最该看什么、先看什么、可以跳过什么、为什么”。产品的核心能力可抽象为：把自然语言目标转换为展品集合、叙事顺序、空间路线、时间预算与动态替代方案的组合。前期梳理的 18 类典型需求中，没有任何一类能被固定导览满足。</w:t>
      </w:r>
    </w:p>
    <w:p>
      <w:pPr>
        <w:pStyle w:val="Heading1"/>
      </w:pPr>
      <w:bookmarkStart w:id="100007" w:name="_Toc100007"/>
      <w:r>
        <w:rPr>
          <w:rFonts w:ascii="Times New Roman" w:hAnsi="Times New Roman" w:eastAsia="黑体"/>
          <w:b/>
          <w:color w:val="0B1C2C"/>
          <w:sz w:val="32"/>
        </w:rPr>
        <w:t>四、代表性路线示例</w:t>
      </w:r>
      <w:bookmarkEnd w:id="100007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以下八个示例覆盖主题深度、材料谱系、功能切片、纹样线索、文明交流、时间约束、亲子教学与体力约束八个维度（见表 2），用户原话可直接用于产品访谈。每个示例给出编排逻辑与该例重点考验的产品能力。</w:t>
      </w:r>
    </w:p>
    <w:p>
      <w:pPr>
        <w:keepNext/>
        <w:jc w:val="center"/>
        <w:spacing w:before="200" w:after="100"/>
      </w:pPr>
      <w:r>
        <w:rPr>
          <w:rFonts w:ascii="Times New Roman" w:hAnsi="Times New Roman" w:eastAsia="宋体"/>
          <w:b/>
          <w:sz w:val="21"/>
        </w:rPr>
        <w:t>表 2  代表性路线示例总览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29286"/>
          <w:bottom w:val="single" w:sz="6" w:color="529286"/>
          <w:left w:val="none" w:sz="0" w:color="FFFFFF"/>
          <w:right w:val="none" w:sz="0" w:color="FFFFFF"/>
          <w:insideH w:val="single" w:sz="4" w:color="BECFCC"/>
          <w:insideV w:val="none" w:sz="0" w:color="FFFFFF"/>
        </w:tblBorders>
        <w:tblW w:w="5000" w:type="pct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tcW w:w="400" w:type="pct"/>
            <w:shd w:val="clear" w:fill="5292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197"/>
            <w:tcW w:w="1300" w:type="pct"/>
            <w:shd w:val="clear" w:fill="5292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197"/>
            <w:tcW w:w="1500" w:type="pct"/>
            <w:shd w:val="clear" w:fill="5292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核心约束</w:t>
            </w:r>
          </w:p>
        </w:tc>
        <w:tc>
          <w:tcPr>
            <w:tcW w:type="dxa" w:w="2197"/>
            <w:tcW w:w="1800" w:type="pct"/>
            <w:shd w:val="clear" w:fill="5292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重点考验的能力</w:t>
            </w:r>
          </w:p>
        </w:tc>
      </w:tr>
      <w:tr>
        <w:trPr>
          <w:cantSplit/>
        </w:trPr>
        <w:tc>
          <w:tcPr>
            <w:tcW w:type="dxa" w:w="2197"/>
            <w:tcW w:w="4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唐宋手工艺水准</w:t>
            </w:r>
          </w:p>
        </w:tc>
        <w:tc>
          <w:tcPr>
            <w:tcW w:type="dxa" w:w="2197"/>
            <w:tcW w:w="15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跨 6 个展厅，约 4 小时</w:t>
            </w:r>
          </w:p>
        </w:tc>
        <w:tc>
          <w:tcPr>
            <w:tcW w:type="dxa" w:w="2197"/>
            <w:tcW w:w="18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主题映射与跨厅动线</w:t>
            </w:r>
          </w:p>
        </w:tc>
      </w:tr>
      <w:tr>
        <w:trPr>
          <w:cantSplit/>
        </w:trPr>
        <w:tc>
          <w:tcPr>
            <w:tcW w:type="dxa" w:w="2197"/>
            <w:tcW w:w="4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二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中国瓷器谱系</w:t>
            </w:r>
          </w:p>
        </w:tc>
        <w:tc>
          <w:tcPr>
            <w:tcW w:type="dxa" w:w="2197"/>
            <w:tcW w:w="15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300 余件中限 2 小时</w:t>
            </w:r>
          </w:p>
        </w:tc>
        <w:tc>
          <w:tcPr>
            <w:tcW w:type="dxa" w:w="2197"/>
            <w:tcW w:w="18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材料轴节点精选</w:t>
            </w:r>
          </w:p>
        </w:tc>
      </w:tr>
      <w:tr>
        <w:trPr>
          <w:cantSplit/>
        </w:trPr>
        <w:tc>
          <w:tcPr>
            <w:tcW w:type="dxa" w:w="2197"/>
            <w:tcW w:w="4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三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古人的茶生活</w:t>
            </w:r>
          </w:p>
        </w:tc>
        <w:tc>
          <w:tcPr>
            <w:tcW w:type="dxa" w:w="2197"/>
            <w:tcW w:w="15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按功能而非展厅组织</w:t>
            </w:r>
          </w:p>
        </w:tc>
        <w:tc>
          <w:tcPr>
            <w:tcW w:type="dxa" w:w="2197"/>
            <w:tcW w:w="18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功能切片与跨厅合并</w:t>
            </w:r>
          </w:p>
        </w:tc>
      </w:tr>
      <w:tr>
        <w:trPr>
          <w:cantSplit/>
        </w:trPr>
        <w:tc>
          <w:tcPr>
            <w:tcW w:type="dxa" w:w="2197"/>
            <w:tcW w:w="4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四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纹样跨媒介追踪</w:t>
            </w:r>
          </w:p>
        </w:tc>
        <w:tc>
          <w:tcPr>
            <w:tcW w:type="dxa" w:w="2197"/>
            <w:tcW w:w="15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约 90 分钟</w:t>
            </w:r>
          </w:p>
        </w:tc>
        <w:tc>
          <w:tcPr>
            <w:tcW w:type="dxa" w:w="2197"/>
            <w:tcW w:w="18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图像主题检索</w:t>
            </w:r>
          </w:p>
        </w:tc>
      </w:tr>
      <w:tr>
        <w:trPr>
          <w:cantSplit/>
        </w:trPr>
        <w:tc>
          <w:tcPr>
            <w:tcW w:type="dxa" w:w="2197"/>
            <w:tcW w:w="4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五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丝路工艺传播</w:t>
            </w:r>
          </w:p>
        </w:tc>
        <w:tc>
          <w:tcPr>
            <w:tcW w:type="dxa" w:w="2197"/>
            <w:tcW w:w="15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约 2.5 小时</w:t>
            </w:r>
          </w:p>
        </w:tc>
        <w:tc>
          <w:tcPr>
            <w:tcW w:type="dxa" w:w="2197"/>
            <w:tcW w:w="18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单元级定位与叙事顺序</w:t>
            </w:r>
          </w:p>
        </w:tc>
      </w:tr>
      <w:tr>
        <w:trPr>
          <w:cantSplit/>
        </w:trPr>
        <w:tc>
          <w:tcPr>
            <w:tcW w:type="dxa" w:w="2197"/>
            <w:tcW w:w="4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六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赶高铁国宝速览</w:t>
            </w:r>
          </w:p>
        </w:tc>
        <w:tc>
          <w:tcPr>
            <w:tcW w:type="dxa" w:w="2197"/>
            <w:tcW w:w="15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90 分钟硬时间盒</w:t>
            </w:r>
          </w:p>
        </w:tc>
        <w:tc>
          <w:tcPr>
            <w:tcW w:type="dxa" w:w="2197"/>
            <w:tcW w:w="18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时间预算与最短动线</w:t>
            </w:r>
          </w:p>
        </w:tc>
      </w:tr>
      <w:tr>
        <w:trPr>
          <w:cantSplit/>
        </w:trPr>
        <w:tc>
          <w:tcPr>
            <w:tcW w:type="dxa" w:w="2197"/>
            <w:tcW w:w="4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七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亲子五件讲文明</w:t>
            </w:r>
          </w:p>
        </w:tc>
        <w:tc>
          <w:tcPr>
            <w:tcW w:type="dxa" w:w="2197"/>
            <w:tcW w:w="15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2.5 小时，儿童注意力</w:t>
            </w:r>
          </w:p>
        </w:tc>
        <w:tc>
          <w:tcPr>
            <w:tcW w:type="dxa" w:w="2197"/>
            <w:tcW w:w="18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认知负荷控制</w:t>
            </w:r>
          </w:p>
        </w:tc>
      </w:tr>
      <w:tr>
        <w:trPr>
          <w:cantSplit/>
        </w:trPr>
        <w:tc>
          <w:tcPr>
            <w:tcW w:type="dxa" w:w="2197"/>
            <w:tcW w:w="4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八</w:t>
            </w:r>
          </w:p>
        </w:tc>
        <w:tc>
          <w:tcPr>
            <w:tcW w:type="dxa" w:w="2197"/>
            <w:tcW w:w="13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带老人参观</w:t>
            </w:r>
          </w:p>
        </w:tc>
        <w:tc>
          <w:tcPr>
            <w:tcW w:type="dxa" w:w="2197"/>
            <w:tcW w:w="15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 小时，少走回头路</w:t>
            </w:r>
          </w:p>
        </w:tc>
        <w:tc>
          <w:tcPr>
            <w:tcW w:type="dxa" w:w="2197"/>
            <w:tcW w:w="1800" w:type="pct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步行负担与设施建模</w:t>
            </w:r>
          </w:p>
        </w:tc>
      </w:tr>
    </w:tbl>
    <w:p>
      <w:pPr>
        <w:pStyle w:val="Heading2"/>
      </w:pPr>
      <w:bookmarkStart w:id="100008" w:name="_Toc100008"/>
      <w:r>
        <w:rPr>
          <w:rFonts w:ascii="Times New Roman" w:hAnsi="Times New Roman" w:eastAsia="黑体"/>
          <w:b/>
          <w:color w:val="0B1C2C"/>
          <w:sz w:val="30"/>
        </w:rPr>
        <w:t>示例一：主题跨厅——唐宋手工艺水准（约 4 小时）</w:t>
      </w:r>
      <w:bookmarkEnd w:id="100008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  <w:b/>
        </w:rPr>
        <w:t>用户原话：</w:t>
      </w:r>
      <w:r>
        <w:rPr>
          <w:rFonts w:ascii="Times New Roman" w:hAnsi="Times New Roman" w:eastAsia="宋体"/>
        </w:rPr>
        <w:t>“我想看唐宋时期手工艺品到底达到了什么水平，重点看工艺难度，不只是看名气最大的器物。”</w:t>
      </w:r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编排：以“古代中国”隋唐五代与辽宋夏金元两段建立主叙事，约 2 小时，重点看唐三彩、金银器与宋元名窑瓷器；随后转入中国古代瓷器展（北 17，40 分钟），对照南青北白到宋代名窑的工艺谱系；再看中国古代玉器展（北 19，30 分钟），观察玉器由礼器转向世俗珍宝的变化；以中国古代服饰文化展（北 18，20 分钟）看唐代织物与服饰复原收尾；时间富余可加看铜镜展（南 14）或书画展（南 12，书画定期换展，以当日在展为准）。展厅编号上北 17 至北 19 连号相邻、南 11 至南 14 成组，动线成片，不必全馆折返。此例考验主题到展厅集合的映射、时间盒分配，以及“工艺难度优先于名气”的展品选择逻辑。</w:t>
      </w:r>
    </w:p>
    <w:p>
      <w:pPr>
        <w:pStyle w:val="Heading2"/>
      </w:pPr>
      <w:bookmarkStart w:id="100009" w:name="_Toc100009"/>
      <w:r>
        <w:rPr>
          <w:rFonts w:ascii="Times New Roman" w:hAnsi="Times New Roman" w:eastAsia="黑体"/>
          <w:b/>
          <w:color w:val="0B1C2C"/>
          <w:sz w:val="30"/>
        </w:rPr>
        <w:t>示例二：单一材料谱系——中国瓷器两小时</w:t>
      </w:r>
      <w:bookmarkEnd w:id="100009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  <w:b/>
        </w:rPr>
        <w:t>用户原话：</w:t>
      </w:r>
      <w:r>
        <w:rPr>
          <w:rFonts w:ascii="Times New Roman" w:hAnsi="Times New Roman" w:eastAsia="宋体"/>
        </w:rPr>
        <w:t>“我想看中国瓷器从唐代的南青北白，到宋代名窑，再到元明青花，最好两个小时内完成。”</w:t>
      </w:r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编排：第一段在“古代中国”唐、宋、元单元看瓷器在通史语境中的位置，约 30 分钟；第二段集中于北 17瓷器展，按时代序列精选邢定越窑、宋代名窑与元明青花的代表器物，约 60 分钟，跳过与主线无关的品类；收尾以一件外销瓷呼应贸易线索，约 15 分钟。关键在避免在 300 余件展品中迷失：每段只保留三至五件核心器物，其余以概览方式走过。此例考验同一材料的节点精选与展厅内防迷失的取舍能力。</w:t>
      </w:r>
    </w:p>
    <w:p>
      <w:pPr>
        <w:pStyle w:val="Heading2"/>
      </w:pPr>
      <w:bookmarkStart w:id="100010" w:name="_Toc100010"/>
      <w:r>
        <w:rPr>
          <w:rFonts w:ascii="Times New Roman" w:hAnsi="Times New Roman" w:eastAsia="黑体"/>
          <w:b/>
          <w:color w:val="0B1C2C"/>
          <w:sz w:val="30"/>
        </w:rPr>
        <w:t>示例三：功能切片——古人的茶生活</w:t>
      </w:r>
      <w:bookmarkEnd w:id="100010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  <w:b/>
        </w:rPr>
        <w:t>用户原话：</w:t>
      </w:r>
      <w:r>
        <w:rPr>
          <w:rFonts w:ascii="Times New Roman" w:hAnsi="Times New Roman" w:eastAsia="宋体"/>
        </w:rPr>
        <w:t>“我想研究古人的茶生活，比较瓷茶具、玉器、金银器和相关绘画中的茶具。”</w:t>
      </w:r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编排：以中国古代饮食文化展（北 11）的茶酒单元为起点，约 30 分钟；转北 17 瓷器展看茶盏、执壶与斗茶器，约 30 分钟；再入“古代中国”唐宋段看金银茶具与法门寺系器物的对照，约 40 分钟；最后视在展情况在书画展（南 12）看烹茶、饮茶题材绘画，约 20 分钟，书画定期换展需提示以当日为准。全程按“功能为茶”组织，四个展厅各取所需。此例考验按使用功能而非展厅门类检索与合并展品的能力。</w:t>
      </w:r>
    </w:p>
    <w:p>
      <w:pPr>
        <w:pStyle w:val="Heading2"/>
      </w:pPr>
      <w:bookmarkStart w:id="100011" w:name="_Toc100011"/>
      <w:r>
        <w:rPr>
          <w:rFonts w:ascii="Times New Roman" w:hAnsi="Times New Roman" w:eastAsia="黑体"/>
          <w:b/>
          <w:color w:val="0B1C2C"/>
          <w:sz w:val="30"/>
        </w:rPr>
        <w:t>示例四：纹样跨媒介——莲花纹与龙纹的追踪（约 90 分钟）</w:t>
      </w:r>
      <w:bookmarkEnd w:id="100011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  <w:b/>
        </w:rPr>
        <w:t>用户原话：</w:t>
      </w:r>
      <w:r>
        <w:rPr>
          <w:rFonts w:ascii="Times New Roman" w:hAnsi="Times New Roman" w:eastAsia="宋体"/>
        </w:rPr>
        <w:t>“我想跟着莲花纹、龙纹或葡萄纹看一遍，比较它们在瓷器、玉器、铜镜和佛造像上的变化。”</w:t>
      </w:r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编排：选定单一纹样（如莲花纹）为线索。瓷器展（北 17）看莲瓣纹样的演变，25 分钟；玉器展（北 19）看玉雕中的莲花题材，20 分钟；铜镜展（南 14）看莲纹与瑞兽纹镜，20 分钟；佛造像展（南 13）看莲座与佛教图像中的莲纹，25 分钟。同一纹样在四种材质间的形态差异即构成路线的叙事主线。此例考验按图像主题检索展品的能力，检索维度超越年代与器类。</w:t>
      </w:r>
    </w:p>
    <w:p>
      <w:pPr>
        <w:pStyle w:val="Heading2"/>
      </w:pPr>
      <w:bookmarkStart w:id="100012" w:name="_Toc100012"/>
      <w:r>
        <w:rPr>
          <w:rFonts w:ascii="Times New Roman" w:hAnsi="Times New Roman" w:eastAsia="黑体"/>
          <w:b/>
          <w:color w:val="0B1C2C"/>
          <w:sz w:val="30"/>
        </w:rPr>
        <w:t>示例五：文明交流——丝绸之路上的工艺传播（约 2.5 小时）</w:t>
      </w:r>
      <w:bookmarkEnd w:id="100012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  <w:b/>
        </w:rPr>
        <w:t>用户原话：</w:t>
      </w:r>
      <w:r>
        <w:rPr>
          <w:rFonts w:ascii="Times New Roman" w:hAnsi="Times New Roman" w:eastAsia="宋体"/>
        </w:rPr>
        <w:t>“我想了解唐宋工艺怎么通过丝绸之路和海上贸易传播到其他地方。”</w:t>
      </w:r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编排：先在“古代中国”隋唐段丝绸之路单元建立背景，40 分钟；再看瓷器展外销瓷单元，25 分钟；玉器展看外来材质与工艺的影响，20 分钟；铜镜展中外交流部分，15 分钟；最后在佛造像展按地域看斯瓦特、克什米尔等风格的传入与本土化，30 分钟。多数专题展在展线尾部设有中外交流单元，此路线的本质是把散落在各展厅尾部的同主题单元抽取并串联。此例考验单元级定位与叙事顺序的组织能力。</w:t>
      </w:r>
    </w:p>
    <w:p>
      <w:pPr>
        <w:pStyle w:val="Heading2"/>
      </w:pPr>
      <w:bookmarkStart w:id="100013" w:name="_Toc100013"/>
      <w:r>
        <w:rPr>
          <w:rFonts w:ascii="Times New Roman" w:hAnsi="Times New Roman" w:eastAsia="黑体"/>
          <w:b/>
          <w:color w:val="0B1C2C"/>
          <w:sz w:val="30"/>
        </w:rPr>
        <w:t>示例六：时间盒——赶高铁的国宝速览（90 分钟）</w:t>
      </w:r>
      <w:bookmarkEnd w:id="100013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  <w:b/>
        </w:rPr>
        <w:t>用户原话：</w:t>
      </w:r>
      <w:r>
        <w:rPr>
          <w:rFonts w:ascii="Times New Roman" w:hAnsi="Times New Roman" w:eastAsia="宋体"/>
        </w:rPr>
        <w:t>“下午一点半进馆，四点前必须去高铁站，只想看最震撼的顶级国宝和当期新展。”</w:t>
      </w:r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编排：预算倒排。存包与安检 20 至 30 分钟；“古代中国”精选五件镇馆之品 60 至 75 分钟（后母戊鼎、四羊方尊、人面鱼纹彩陶盆、击鼓说唱俑等）；当期临展一项 30 分钟；预留取包与步行 30 分钟。若热门展柜排队超过约定阈值，按预案切换备选清单。此例考验严格时间预算、最短动线与排队替代方案三项能力。</w:t>
      </w:r>
    </w:p>
    <w:p>
      <w:pPr>
        <w:pStyle w:val="Heading2"/>
      </w:pPr>
      <w:bookmarkStart w:id="100014" w:name="_Toc100014"/>
      <w:r>
        <w:rPr>
          <w:rFonts w:ascii="Times New Roman" w:hAnsi="Times New Roman" w:eastAsia="黑体"/>
          <w:b/>
          <w:color w:val="0B1C2C"/>
          <w:sz w:val="30"/>
        </w:rPr>
        <w:t>示例七：亲子教学——五件展品讲“材料如何变成文明”（约 2.5 小时）</w:t>
      </w:r>
      <w:bookmarkEnd w:id="100014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  <w:b/>
        </w:rPr>
        <w:t>用户原话：</w:t>
      </w:r>
      <w:r>
        <w:rPr>
          <w:rFonts w:ascii="Times New Roman" w:hAnsi="Times New Roman" w:eastAsia="宋体"/>
        </w:rPr>
        <w:t>“带孩子看两个小时，想用 5 件展品讲清楚泥土、金属和玉石怎样变成文明。”</w:t>
      </w:r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编排：只选五件展品，按“原料—加工—成品”的学习顺序排列：陶器（泥土）→青铜器（金属）→玉器（玉石）→瓷器（泥土的高阶形态）→钱币（金属与制度的结合）。控制单件讲解在五分钟以内，步行分段并插入休息点，全程约 2.5 小时。此例考验认知负荷控制、学习顺序设计与步行节奏安排。</w:t>
      </w:r>
    </w:p>
    <w:p>
      <w:pPr>
        <w:pStyle w:val="Heading2"/>
      </w:pPr>
      <w:bookmarkStart w:id="100015" w:name="_Toc100015"/>
      <w:r>
        <w:rPr>
          <w:rFonts w:ascii="Times New Roman" w:hAnsi="Times New Roman" w:eastAsia="黑体"/>
          <w:b/>
          <w:color w:val="0B1C2C"/>
          <w:sz w:val="30"/>
        </w:rPr>
        <w:t>示例八：体力与无障碍——带老人参观（约 3 小时）</w:t>
      </w:r>
      <w:bookmarkEnd w:id="100015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  <w:b/>
        </w:rPr>
        <w:t>用户原话：</w:t>
      </w:r>
      <w:r>
        <w:rPr>
          <w:rFonts w:ascii="Times New Roman" w:hAnsi="Times New Roman" w:eastAsia="宋体"/>
        </w:rPr>
        <w:t>“带老人参观三个小时，尽量少走回头路，要有休息点和卫生间。”</w:t>
      </w:r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编排：目标函数从“内容覆盖最大”改为“内容价值与步行负担的平衡”。全程控制在三至四个展厅；相邻展厅成片推进，如北 17 至北 19 连续参观后不再折返北区；每 40 分钟安排一次休息点，路线标注电梯与卫生间位置；优先选择座椅较多的展厅；预留比标准路线多四分之一的时间冗余。此例考验设施级数据（电梯、卫生间、休息点）与体力约束的建模能力。</w:t>
      </w:r>
    </w:p>
    <w:p>
      <w:pPr>
        <w:pStyle w:val="Heading2"/>
      </w:pPr>
      <w:bookmarkStart w:id="100016" w:name="_Toc100016"/>
      <w:r>
        <w:rPr>
          <w:rFonts w:ascii="Times New Roman" w:hAnsi="Times New Roman" w:eastAsia="黑体"/>
          <w:b/>
          <w:color w:val="0B1C2C"/>
          <w:sz w:val="30"/>
        </w:rPr>
        <w:t>（九）其他同构需求模式</w:t>
      </w:r>
      <w:bookmarkEnd w:id="100016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学术研究路线要求输出展品之间的证据关系而非景点列表；重游去重要求保存参观记录并做个性化过滤；审美精选要求在 45 分钟内以“少而精”最大化审美代表性；安静偏好要求引入人流密度与互动强度权重。上述模式与八个示例的实现机制同构，不再逐一展开。</w:t>
      </w:r>
    </w:p>
    <w:p>
      <w:pPr>
        <w:pStyle w:val="Heading1"/>
      </w:pPr>
      <w:bookmarkStart w:id="100017" w:name="_Toc100017"/>
      <w:r>
        <w:rPr>
          <w:rFonts w:ascii="Times New Roman" w:hAnsi="Times New Roman" w:eastAsia="黑体"/>
          <w:b/>
          <w:color w:val="0B1C2C"/>
          <w:sz w:val="32"/>
        </w:rPr>
        <w:t>五、预期实现方案</w:t>
      </w:r>
      <w:bookmarkEnd w:id="100017"/>
    </w:p>
    <w:p>
      <w:pPr>
        <w:pStyle w:val="Heading2"/>
      </w:pPr>
      <w:bookmarkStart w:id="100018" w:name="_Toc100018"/>
      <w:r>
        <w:rPr>
          <w:rFonts w:ascii="Times New Roman" w:hAnsi="Times New Roman" w:eastAsia="黑体"/>
          <w:b/>
          <w:color w:val="0B1C2C"/>
          <w:sz w:val="30"/>
        </w:rPr>
        <w:t>（一）总体架构</w:t>
      </w:r>
      <w:bookmarkEnd w:id="100018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方案分三层：数据层负责“知道有什么、在哪里”；编排层负责把自然语言目标转换为可执行的路线；动态层负责当天状态校验与替代生成。三层解耦，数据层可独立先行建设。</w:t>
      </w:r>
    </w:p>
    <w:p>
      <w:pPr>
        <w:pStyle w:val="Heading2"/>
      </w:pPr>
      <w:bookmarkStart w:id="100019" w:name="_Toc100019"/>
      <w:r>
        <w:rPr>
          <w:rFonts w:ascii="Times New Roman" w:hAnsi="Times New Roman" w:eastAsia="黑体"/>
          <w:b/>
          <w:color w:val="0B1C2C"/>
          <w:sz w:val="30"/>
        </w:rPr>
        <w:t>（二）数据层</w:t>
      </w:r>
      <w:bookmarkEnd w:id="100019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数据层按三个粒度建设。展览级：官网静态页可抓取展览名称、展厅、展期与主题概述，机器可读性好，但必须按展期字段过滤以规避官网列表滞后。展品级是核心资产：冷启动阶段以模型通识（明星展品位置相对稳定）、展览专题站单元结构与藏品总目（约 78 万条，含名称、时代、普查编号、图像）交叉生成候选清单，再逐步人工核验高频主题；展品精确展位与楼层图需实地采集。设施级：出入口、安检、存包、电梯、卫生间、休息点，作为动线与无障碍约束的输入。</w:t>
      </w:r>
    </w:p>
    <w:p>
      <w:pPr>
        <w:pStyle w:val="Heading2"/>
      </w:pPr>
      <w:bookmarkStart w:id="100020" w:name="_Toc100020"/>
      <w:r>
        <w:rPr>
          <w:rFonts w:ascii="Times New Roman" w:hAnsi="Times New Roman" w:eastAsia="黑体"/>
          <w:b/>
          <w:color w:val="0B1C2C"/>
          <w:sz w:val="30"/>
        </w:rPr>
        <w:t>（三）编排层</w:t>
      </w:r>
      <w:bookmarkEnd w:id="100020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大模型负责需求理解、主题映射、展品集合选择与叙事顺序，即回答“为什么先看这个”；规则与算法负责硬约束，包括按入馆时段与闭馆时间倒排时间预算、基于展厅级图的动线优化，以及体力与无障碍偏好。模型管叙事、算法管约束，两者输出合并为最终路线。</w:t>
      </w:r>
    </w:p>
    <w:p>
      <w:pPr>
        <w:pStyle w:val="Heading2"/>
      </w:pPr>
      <w:bookmarkStart w:id="100021" w:name="_Toc100021"/>
      <w:r>
        <w:rPr>
          <w:rFonts w:ascii="Times New Roman" w:hAnsi="Times New Roman" w:eastAsia="黑体"/>
          <w:b/>
          <w:color w:val="0B1C2C"/>
          <w:sz w:val="30"/>
        </w:rPr>
        <w:t>（四）动态层</w:t>
      </w:r>
      <w:bookmarkEnd w:id="100021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动态层处理展期校验、换展检测与临展排队替代。书画定期换展、展览改陈、明星展品移厅等事件意味着静态攻略会快速过期，动态重排是产品的长期价值所在。远期接入人流密度与参观记录，支持个性化去重。</w:t>
      </w:r>
    </w:p>
    <w:p>
      <w:pPr>
        <w:pStyle w:val="Heading2"/>
      </w:pPr>
      <w:bookmarkStart w:id="100022" w:name="_Toc100022"/>
      <w:r>
        <w:rPr>
          <w:rFonts w:ascii="Times New Roman" w:hAnsi="Times New Roman" w:eastAsia="黑体"/>
          <w:b/>
          <w:color w:val="0B1C2C"/>
          <w:sz w:val="30"/>
        </w:rPr>
        <w:t>（五）分期实施路线</w:t>
      </w:r>
      <w:bookmarkEnd w:id="100022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第一期做展览级产品：输入主题、入场时段与停留时长，输出展厅顺序、每站看点与时间盒，现有数据即可上线验证需求。第二期做展品级产品：看点清单精确到展品，优先人工核验唐宋工艺、国宝速览等高频主题。第三期接入实时状态：展况与排队动态、参观记录个性化去重。</w:t>
      </w:r>
    </w:p>
    <w:p>
      <w:pPr>
        <w:pStyle w:val="Heading2"/>
      </w:pPr>
      <w:bookmarkStart w:id="100023" w:name="_Toc100023"/>
      <w:r>
        <w:rPr>
          <w:rFonts w:ascii="Times New Roman" w:hAnsi="Times New Roman" w:eastAsia="黑体"/>
          <w:b/>
          <w:color w:val="0B1C2C"/>
          <w:sz w:val="30"/>
        </w:rPr>
        <w:t>（六）主要风险</w:t>
      </w:r>
      <w:bookmarkEnd w:id="100023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其一，展品级位置数据缺失是最大硬伤，且临展约三个月一轮换，知识库需持续维护。其二，室内实时导航不可行，产品边界是展厅级动线加展品级看点。其三，官方数据存在滞后与列表错误，需自行兜底校验。</w:t>
      </w:r>
    </w:p>
    <w:p>
      <w:pPr>
        <w:pStyle w:val="Heading1"/>
      </w:pPr>
      <w:bookmarkStart w:id="100024" w:name="_Toc100024"/>
      <w:r>
        <w:rPr>
          <w:rFonts w:ascii="Times New Roman" w:hAnsi="Times New Roman" w:eastAsia="黑体"/>
          <w:b/>
          <w:color w:val="0B1C2C"/>
          <w:sz w:val="32"/>
        </w:rPr>
        <w:t>六、结论与建议</w:t>
      </w:r>
      <w:bookmarkEnd w:id="100024"/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“AI 定制参观路线”服务的是普遍刚需：策展结构与观众兴趣的错位使跨厅成为常态，体量与预约约束使取舍成为必做功课，官方服务与用户攻略证明需求真实存在但未被满足。建议以展览级编排为最小可行产品尽快验证，同步启动展品级知识库建设：前者决定产品能否上线，后者决定护城河深度。</w:t>
      </w:r>
    </w:p>
    <w:p>
      <w:pPr>
        <w:jc w:val="both"/>
        <w:ind w:firstLine="480"/>
        <w:spacing w:after="0" w:line="312" w:lineRule="auto"/>
      </w:pPr>
      <w:r>
        <w:rPr>
          <w:rFonts w:ascii="Times New Roman" w:hAnsi="Times New Roman" w:eastAsia="宋体"/>
        </w:rPr>
        <w:t>下一步动作建议三项：一，对第四章八个示例路线进行一轮实地踩点校验，形成首批展厅级动线数据；二，先行开发官网抓取管道与展期过滤逻辑，建立展览级数据的持续更新机制；三，选取唐宋工艺、国宝速览两个高频主题完成展品级清单的人工核验，作为第二期的示范样板。</w:t>
      </w:r>
    </w:p>
    <w:sectPr w:rsidR="00FC693F" w:rsidRPr="0006063C" w:rsidSect="00034616">
      <w:footerReference w:type="default" r:id="rId10"/>
      <w:headerReference w:type="default" r:id="rId11"/>
      <w:pgSz w:w="11906" w:h="16838"/>
      <w:pgMar w:top="1440" w:right="1417" w:bottom="1440" w:left="1701" w:header="720" w:footer="720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\* ROMAN \* MERGEFORMAT </w:instrText>
    </w:r>
    <w:r>
      <w:rPr>
        <w:sz w:val="18"/>
        <w:color w:val="808080"/>
      </w:rPr>
      <w:fldChar w:fldCharType="separate"/>
    </w:r>
    <w:r>
      <w:rPr>
        <w:sz w:val="18"/>
        <w:color w:val="808080"/>
      </w:rPr>
      <w:t>I</w:t>
    </w:r>
    <w:r>
      <w:rPr>
        <w:sz w:val="18"/>
        <w:color w:val="80808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\* arabic \* MERGEFORMAT </w:instrText>
    </w:r>
    <w:r>
      <w:rPr>
        <w:sz w:val="18"/>
        <w:color w:val="808080"/>
      </w:rPr>
      <w:fldChar w:fldCharType="separate"/>
    </w:r>
    <w:r>
      <w:rPr>
        <w:sz w:val="18"/>
        <w:color w:val="808080"/>
      </w:rPr>
      <w:t>1</w:t>
    </w:r>
    <w:r>
      <w:rPr>
        <w:sz w:val="18"/>
        <w:color w:val="80808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808080"/>
        <w:sz w:val="18"/>
      </w:rPr>
      <w:t>国博 AI 定制参观路线评估报告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12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B1C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B1C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B1C2C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