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Proposal to Establish Crossroads: A Community-Focused STEM Learning Hub in Victoria, British Columbia</w:t>
      </w:r>
    </w:p>
    <w:p>
      <w:r>
        <w:br w:type="page"/>
      </w:r>
    </w:p>
    <w:p>
      <w:r>
        <w:rPr>
          <w:b/>
        </w:rPr>
        <w:t>Prepared by:</w:t>
      </w:r>
      <w:r>
        <w:t xml:space="preserve"> Cameron Kibble</w:t>
      </w:r>
    </w:p>
    <w:p>
      <w:r>
        <w:rPr>
          <w:b/>
        </w:rPr>
        <w:t>Date:</w:t>
      </w:r>
      <w:r>
        <w:t xml:space="preserve"> December 13, 2024</w:t>
      </w:r>
    </w:p>
    <w:p>
      <w:r>
        <w:rPr>
          <w:b/>
        </w:rPr>
        <w:t>Submitted to:</w:t>
      </w:r>
      <w:r>
        <w:t xml:space="preserve"> Professor [Last Name], Department of English, Camosun College</w:t>
      </w:r>
    </w:p>
    <w:p>
      <w:r>
        <w:br w:type="page"/>
      </w:r>
    </w:p>
    <w:p>
      <w:pPr>
        <w:pStyle w:val="Heading2"/>
      </w:pPr>
      <w:r>
        <w:t>Project Overview</w:t>
      </w:r>
    </w:p>
    <w:p>
      <w:r>
        <w:t>Crossroads is a proposed nonprofit STEM learning hub in Victoria, British Columbia, designed to provide community members of all ages with hands-on access to tools, mentorship, and interdisciplinary programming that are otherwise available only through post-secondary institutions or private industry. Modeled on sociologist Ray Oldenburg's concept of a "third space" — an informal gathering place distinct from home, work, or school that anchors community life [1] — Crossroads addresses a documented gap in accessible, experiential STEM education across the Greater Victoria region. The facility will span fifteen disciplines, operate on a drop-in model with sliding-scale fees, and sustain itself through diversified revenue including workshop fees, corporate sponsorships, government grants, room rentals, and community fundraiser events.</w:t>
      </w:r>
    </w:p>
    <w:p>
      <w:r>
        <w:t>This proposal presents the background, objectives, methods, resource requirements, budget, and evaluation strategy for the project. With an estimated startup budget of $91,000–$285,000 (CAD) — assuming donated or subsidized facility space — and projected revenue reaching $171,000 by Year 3, Crossroads is a viable initiative positioned to transform how Victoria's residents access STEM learning.</w:t>
      </w:r>
    </w:p>
    <w:p>
      <w:r>
        <w:br w:type="page"/>
      </w:r>
    </w:p>
    <w:p>
      <w:pPr>
        <w:pStyle w:val="Heading2"/>
      </w:pPr>
      <w:r>
        <w:t>Contents</w:t>
      </w:r>
    </w:p>
    <w:tbl>
      <w:tblPr>
        <w:tblStyle w:val="TableGrid"/>
        <w:tblW w:type="auto" w:w="0"/>
        <w:tblLook w:firstColumn="1" w:firstRow="1" w:lastColumn="0" w:lastRow="0" w:noHBand="0" w:noVBand="1" w:val="04A0"/>
      </w:tblPr>
      <w:tblGrid>
        <w:gridCol w:w="4320"/>
        <w:gridCol w:w="4320"/>
      </w:tblGrid>
      <w:tr>
        <w:tc>
          <w:tcPr>
            <w:tcW w:type="dxa" w:w="4320"/>
          </w:tcPr>
          <w:p>
            <w:r>
              <w:t>Section</w:t>
            </w:r>
          </w:p>
        </w:tc>
        <w:tc>
          <w:tcPr>
            <w:tcW w:type="dxa" w:w="4320"/>
          </w:tcPr>
          <w:p>
            <w:r>
              <w:t>Page</w:t>
            </w:r>
          </w:p>
        </w:tc>
      </w:tr>
      <w:tr>
        <w:tc>
          <w:tcPr>
            <w:tcW w:type="dxa" w:w="4320"/>
          </w:tcPr>
          <w:p>
            <w:r>
              <w:t>Project Overview</w:t>
            </w:r>
          </w:p>
        </w:tc>
        <w:tc>
          <w:tcPr>
            <w:tcW w:type="dxa" w:w="4320"/>
          </w:tcPr>
          <w:p>
            <w:r>
              <w:t>2</w:t>
            </w:r>
          </w:p>
        </w:tc>
      </w:tr>
      <w:tr>
        <w:tc>
          <w:tcPr>
            <w:tcW w:type="dxa" w:w="4320"/>
          </w:tcPr>
          <w:p>
            <w:r>
              <w:t>Contents</w:t>
            </w:r>
          </w:p>
        </w:tc>
        <w:tc>
          <w:tcPr>
            <w:tcW w:type="dxa" w:w="4320"/>
          </w:tcPr>
          <w:p>
            <w:r>
              <w:t>3</w:t>
            </w:r>
          </w:p>
        </w:tc>
      </w:tr>
      <w:tr>
        <w:tc>
          <w:tcPr>
            <w:tcW w:type="dxa" w:w="4320"/>
          </w:tcPr>
          <w:p>
            <w:r>
              <w:t>List of Figures and Tables</w:t>
            </w:r>
          </w:p>
        </w:tc>
        <w:tc>
          <w:tcPr>
            <w:tcW w:type="dxa" w:w="4320"/>
          </w:tcPr>
          <w:p>
            <w:r>
              <w:t>3</w:t>
            </w:r>
          </w:p>
        </w:tc>
      </w:tr>
      <w:tr>
        <w:tc>
          <w:tcPr>
            <w:tcW w:type="dxa" w:w="4320"/>
          </w:tcPr>
          <w:p>
            <w:r>
              <w:t>1. Background Information and Statement of the Problem</w:t>
            </w:r>
          </w:p>
        </w:tc>
        <w:tc>
          <w:tcPr>
            <w:tcW w:type="dxa" w:w="4320"/>
          </w:tcPr>
          <w:p>
            <w:r>
              <w:t>4</w:t>
            </w:r>
          </w:p>
        </w:tc>
      </w:tr>
      <w:tr>
        <w:tc>
          <w:tcPr>
            <w:tcW w:type="dxa" w:w="4320"/>
          </w:tcPr>
          <w:p>
            <w:r>
              <w:t>2. Project Detail</w:t>
            </w:r>
          </w:p>
        </w:tc>
        <w:tc>
          <w:tcPr>
            <w:tcW w:type="dxa" w:w="4320"/>
          </w:tcPr>
          <w:p>
            <w:r>
              <w:t>5</w:t>
            </w:r>
          </w:p>
        </w:tc>
      </w:tr>
      <w:tr>
        <w:tc>
          <w:tcPr>
            <w:tcW w:type="dxa" w:w="4320"/>
          </w:tcPr>
          <w:p>
            <w:r>
              <w:t>— 2.1 Goals and Objectives</w:t>
            </w:r>
          </w:p>
        </w:tc>
        <w:tc>
          <w:tcPr>
            <w:tcW w:type="dxa" w:w="4320"/>
          </w:tcPr>
          <w:p>
            <w:r>
              <w:t>5</w:t>
            </w:r>
          </w:p>
        </w:tc>
      </w:tr>
      <w:tr>
        <w:tc>
          <w:tcPr>
            <w:tcW w:type="dxa" w:w="4320"/>
          </w:tcPr>
          <w:p>
            <w:r>
              <w:t>— 2.2 Clientele</w:t>
            </w:r>
          </w:p>
        </w:tc>
        <w:tc>
          <w:tcPr>
            <w:tcW w:type="dxa" w:w="4320"/>
          </w:tcPr>
          <w:p>
            <w:r>
              <w:t>6</w:t>
            </w:r>
          </w:p>
        </w:tc>
      </w:tr>
      <w:tr>
        <w:tc>
          <w:tcPr>
            <w:tcW w:type="dxa" w:w="4320"/>
          </w:tcPr>
          <w:p>
            <w:r>
              <w:t>— 2.3 Methods</w:t>
            </w:r>
          </w:p>
        </w:tc>
        <w:tc>
          <w:tcPr>
            <w:tcW w:type="dxa" w:w="4320"/>
          </w:tcPr>
          <w:p>
            <w:r>
              <w:t>7</w:t>
            </w:r>
          </w:p>
        </w:tc>
      </w:tr>
      <w:tr>
        <w:tc>
          <w:tcPr>
            <w:tcW w:type="dxa" w:w="4320"/>
          </w:tcPr>
          <w:p>
            <w:r>
              <w:t>— 2.4 Staff and Administration</w:t>
            </w:r>
          </w:p>
        </w:tc>
        <w:tc>
          <w:tcPr>
            <w:tcW w:type="dxa" w:w="4320"/>
          </w:tcPr>
          <w:p>
            <w:r>
              <w:t>8</w:t>
            </w:r>
          </w:p>
        </w:tc>
      </w:tr>
      <w:tr>
        <w:tc>
          <w:tcPr>
            <w:tcW w:type="dxa" w:w="4320"/>
          </w:tcPr>
          <w:p>
            <w:r>
              <w:t>3. Available Resources</w:t>
            </w:r>
          </w:p>
        </w:tc>
        <w:tc>
          <w:tcPr>
            <w:tcW w:type="dxa" w:w="4320"/>
          </w:tcPr>
          <w:p>
            <w:r>
              <w:t>9</w:t>
            </w:r>
          </w:p>
        </w:tc>
      </w:tr>
      <w:tr>
        <w:tc>
          <w:tcPr>
            <w:tcW w:type="dxa" w:w="4320"/>
          </w:tcPr>
          <w:p>
            <w:r>
              <w:t>4. Needed Resources</w:t>
            </w:r>
          </w:p>
        </w:tc>
        <w:tc>
          <w:tcPr>
            <w:tcW w:type="dxa" w:w="4320"/>
          </w:tcPr>
          <w:p>
            <w:r>
              <w:t>10</w:t>
            </w:r>
          </w:p>
        </w:tc>
      </w:tr>
      <w:tr>
        <w:tc>
          <w:tcPr>
            <w:tcW w:type="dxa" w:w="4320"/>
          </w:tcPr>
          <w:p>
            <w:r>
              <w:t>— 4.1 Personnel</w:t>
            </w:r>
          </w:p>
        </w:tc>
        <w:tc>
          <w:tcPr>
            <w:tcW w:type="dxa" w:w="4320"/>
          </w:tcPr>
          <w:p>
            <w:r>
              <w:t>10</w:t>
            </w:r>
          </w:p>
        </w:tc>
      </w:tr>
      <w:tr>
        <w:tc>
          <w:tcPr>
            <w:tcW w:type="dxa" w:w="4320"/>
          </w:tcPr>
          <w:p>
            <w:r>
              <w:t>— 4.2 Facilities</w:t>
            </w:r>
          </w:p>
        </w:tc>
        <w:tc>
          <w:tcPr>
            <w:tcW w:type="dxa" w:w="4320"/>
          </w:tcPr>
          <w:p>
            <w:r>
              <w:t>10</w:t>
            </w:r>
          </w:p>
        </w:tc>
      </w:tr>
      <w:tr>
        <w:tc>
          <w:tcPr>
            <w:tcW w:type="dxa" w:w="4320"/>
          </w:tcPr>
          <w:p>
            <w:r>
              <w:t>— 4.3 Equipment, Supplies, and Communication</w:t>
            </w:r>
          </w:p>
        </w:tc>
        <w:tc>
          <w:tcPr>
            <w:tcW w:type="dxa" w:w="4320"/>
          </w:tcPr>
          <w:p>
            <w:r>
              <w:t>11</w:t>
            </w:r>
          </w:p>
        </w:tc>
      </w:tr>
      <w:tr>
        <w:tc>
          <w:tcPr>
            <w:tcW w:type="dxa" w:w="4320"/>
          </w:tcPr>
          <w:p>
            <w:r>
              <w:t>— 4.4 Budget</w:t>
            </w:r>
          </w:p>
        </w:tc>
        <w:tc>
          <w:tcPr>
            <w:tcW w:type="dxa" w:w="4320"/>
          </w:tcPr>
          <w:p>
            <w:r>
              <w:t>12</w:t>
            </w:r>
          </w:p>
        </w:tc>
      </w:tr>
      <w:tr>
        <w:tc>
          <w:tcPr>
            <w:tcW w:type="dxa" w:w="4320"/>
          </w:tcPr>
          <w:p>
            <w:r>
              <w:t>5. Evaluation Plan</w:t>
            </w:r>
          </w:p>
        </w:tc>
        <w:tc>
          <w:tcPr>
            <w:tcW w:type="dxa" w:w="4320"/>
          </w:tcPr>
          <w:p>
            <w:r>
              <w:t>13</w:t>
            </w:r>
          </w:p>
        </w:tc>
      </w:tr>
      <w:tr>
        <w:tc>
          <w:tcPr>
            <w:tcW w:type="dxa" w:w="4320"/>
          </w:tcPr>
          <w:p>
            <w:r>
              <w:t>6. Conclusion</w:t>
            </w:r>
          </w:p>
        </w:tc>
        <w:tc>
          <w:tcPr>
            <w:tcW w:type="dxa" w:w="4320"/>
          </w:tcPr>
          <w:p>
            <w:r>
              <w:t>14</w:t>
            </w:r>
          </w:p>
        </w:tc>
      </w:tr>
      <w:tr>
        <w:tc>
          <w:tcPr>
            <w:tcW w:type="dxa" w:w="4320"/>
          </w:tcPr>
          <w:p>
            <w:r>
              <w:t>References</w:t>
            </w:r>
          </w:p>
        </w:tc>
        <w:tc>
          <w:tcPr>
            <w:tcW w:type="dxa" w:w="4320"/>
          </w:tcPr>
          <w:p>
            <w:r>
              <w:t>15</w:t>
            </w:r>
          </w:p>
        </w:tc>
      </w:tr>
      <w:tr>
        <w:tc>
          <w:tcPr>
            <w:tcW w:type="dxa" w:w="4320"/>
          </w:tcPr>
          <w:p>
            <w:r>
              <w:t>Appendix A: Equipment Requirements by Discipline</w:t>
            </w:r>
          </w:p>
        </w:tc>
        <w:tc>
          <w:tcPr>
            <w:tcW w:type="dxa" w:w="4320"/>
          </w:tcPr>
          <w:p>
            <w:r>
              <w:t>16</w:t>
            </w:r>
          </w:p>
        </w:tc>
      </w:tr>
      <w:tr>
        <w:tc>
          <w:tcPr>
            <w:tcW w:type="dxa" w:w="4320"/>
          </w:tcPr>
          <w:p>
            <w:r>
              <w:t>Appendix B: Implementation Timeline</w:t>
            </w:r>
          </w:p>
        </w:tc>
        <w:tc>
          <w:tcPr>
            <w:tcW w:type="dxa" w:w="4320"/>
          </w:tcPr>
          <w:p>
            <w:r>
              <w:t>16</w:t>
            </w:r>
          </w:p>
        </w:tc>
      </w:tr>
    </w:tbl>
    <w:p>
      <w:r>
        <w:br w:type="page"/>
      </w:r>
    </w:p>
    <w:p>
      <w:pPr>
        <w:pStyle w:val="Heading2"/>
      </w:pPr>
      <w:r>
        <w:t>List of Figures and Tables</w:t>
      </w:r>
    </w:p>
    <w:p>
      <w:pPr>
        <w:pStyle w:val="ListBullet"/>
      </w:pPr>
      <w:r>
        <w:rPr>
          <w:b/>
        </w:rPr>
        <w:t>Table 1:</w:t>
      </w:r>
      <w:r>
        <w:t xml:space="preserve"> Estimated Startup Budget Summary — Section 4.4</w:t>
      </w:r>
    </w:p>
    <w:p>
      <w:pPr>
        <w:pStyle w:val="ListBullet"/>
      </w:pPr>
      <w:r>
        <w:rPr>
          <w:b/>
        </w:rPr>
        <w:t>Table 2:</w:t>
      </w:r>
      <w:r>
        <w:t xml:space="preserve"> Equipment Requirements by Discipline — Section 4.3</w:t>
      </w:r>
    </w:p>
    <w:p>
      <w:pPr>
        <w:pStyle w:val="ListBullet"/>
      </w:pPr>
      <w:r>
        <w:rPr>
          <w:b/>
        </w:rPr>
        <w:t>Table 3:</w:t>
      </w:r>
      <w:r>
        <w:t xml:space="preserve"> Projected Annual Revenue (Year 1–3) — Section 4.4</w:t>
      </w:r>
    </w:p>
    <w:p>
      <w:pPr>
        <w:pStyle w:val="ListBullet"/>
      </w:pPr>
      <w:r>
        <w:rPr>
          <w:b/>
        </w:rPr>
        <w:t>Table 4:</w:t>
      </w:r>
      <w:r>
        <w:t xml:space="preserve"> Evaluation Metrics and Performance Targets — Section 5</w:t>
      </w:r>
    </w:p>
    <w:p>
      <w:r>
        <w:br w:type="page"/>
      </w:r>
    </w:p>
    <w:p>
      <w:pPr>
        <w:pStyle w:val="Heading2"/>
      </w:pPr>
      <w:r>
        <w:t>1. Background Information and Statement of the Problem</w:t>
      </w:r>
    </w:p>
    <w:p>
      <w:r>
        <w:t>The inspiration for Crossroads stems from the project founder's personal experience with the limitations of traditional learning environments. Growing up, the founder struggled to connect with conventional teaching methods despite an inherent curiosity and eagerness to learn. Years of dedicated self-study across multiple STEM disciplines produced a profound transformation — and the critical realization that many young people face identical barriers. They lack access to environments that nurture curiosity, reward experimentation, and connect academic concepts to tangible, real-world outcomes.</w:t>
      </w:r>
    </w:p>
    <w:p>
      <w:r>
        <w:t>Research supports this observation. Educational theorists have long demonstrated that experiential, hands-on learning produces deeper understanding and greater retention than passive instruction [4]. Kolb's experiential learning cycle — emphasizing concrete experience, reflective observation, abstract conceptualization, and active experimentation — has been validated across disciplines as a framework for effective skill acquisition [5]. Yet the infrastructure to support such learning at scale remains concentrated within post-secondary institutions and private industry, leaving community members without institutional affiliations largely excluded. In Canada, this problem is compounded by geographic and economic factors: rural and semi-urban communities lack the resources for dedicated STEM facilities, while urban centres concentrate access within universities that impose tuition and enrollment barriers [6].</w:t>
      </w:r>
    </w:p>
    <w:p>
      <w:r>
        <w:t>The makerspace movement has partially addressed this gap. In Victoria, MakerSpace.ca operates a community workshop with wood, metal, and electronics stations. However, such facilities typically require application-based membership, cover only three or four disciplines, operate on restricted schedules, and function more as hobbyist clubs than as open, beginner-friendly community centres [7]. Crossroads proposes a fundamentally different model: a true drop-in centre spanning fifteen disciplines with no application process, no prerequisite skills, and structured mentorship embedded into every interaction. The concept of a "third space" [1] provides the theoretical foundation — a place where a retired engineer can work alongside a high school student, each benefiting from the other's perspective. This intergenerational, interdisciplinary model is what distinguishes Crossroads from both traditional institutions and existing makerspaces.</w:t>
      </w:r>
    </w:p>
    <w:p>
      <w:r>
        <w:br w:type="page"/>
      </w:r>
    </w:p>
    <w:p>
      <w:pPr>
        <w:pStyle w:val="Heading2"/>
      </w:pPr>
      <w:r>
        <w:t>2. Project Detail</w:t>
      </w:r>
    </w:p>
    <w:p>
      <w:pPr>
        <w:pStyle w:val="Heading3"/>
      </w:pPr>
      <w:r>
        <w:t>2.1 Goals and Objectives</w:t>
      </w:r>
    </w:p>
    <w:p>
      <w:r>
        <w:t>Crossroads is guided by six overarching goals, each supported by measurable objectives for the project's first three years.</w:t>
      </w:r>
    </w:p>
    <w:p>
      <w:r>
        <w:rPr>
          <w:b/>
        </w:rPr>
        <w:t>Goal 1: Create a Dynamic, Adaptable Learning Environment.</w:t>
      </w:r>
      <w:r>
        <w:t xml:space="preserve"> Research demonstrates that spatial design directly influences engagement and creative output [8]. Crossroads will establish six modular zones — main lab, collaboration areas, resource library, event space, relaxation areas, and tech-free zones — with movable partitions, reconfigurable workbenches, and modular storage. The objective is all zones operational within six months of securing the facility.</w:t>
      </w:r>
    </w:p>
    <w:p>
      <w:r>
        <w:rPr>
          <w:b/>
        </w:rPr>
        <w:t>Goal 2: Ensure Equitable Access to Modern Tools.</w:t>
      </w:r>
      <w:r>
        <w:t xml:space="preserve"> Access to equipment is the greatest barrier to experiential learning. Crossroads will provide 3D printers, laser cutters, programming workstations, oscilloscopes, spectrometers, and lab-grade safety equipment. A sliding-scale fee structure, calibrated to local income data, ensures that financial constraints never prevent participation [9]. A borrowing system for portable equipment (Arduino kits, multimeters, drawing tablets) extends learning beyond the facility.</w:t>
      </w:r>
    </w:p>
    <w:p>
      <w:r>
        <w:rPr>
          <w:b/>
        </w:rPr>
        <w:t>Goal 3: Foster Mentorship-Driven Community.</w:t>
      </w:r>
      <w:r>
        <w:t xml:space="preserve"> Unlike classroom instruction, Crossroads pairs participants with mentors who are actively working on their own projects, grounded in situated learning theory [10]. Mentors are recruited from diverse professional backgrounds and trained in inclusive facilitation, equipment safety, and adaptive communication. Monthly events — hackathons, showcases, networking nights — reinforce community bonds.</w:t>
      </w:r>
    </w:p>
    <w:p>
      <w:r>
        <w:rPr>
          <w:b/>
        </w:rPr>
        <w:t>Goal 4: Bridge Theory with Real-World Application.</w:t>
      </w:r>
      <w:r>
        <w:t xml:space="preserve"> Every session culminates in a tangible deliverable: a working circuit, a 3D-printed prototype, a coded application. Quarterly innovation challenges pose real-world problems sourced from community needs. Partnerships with local businesses provide internship pathways, ensuring skills translate into employment and community contribution.</w:t>
      </w:r>
    </w:p>
    <w:p>
      <w:r>
        <w:rPr>
          <w:b/>
        </w:rPr>
        <w:t>Goal 5: Promote Interdisciplinary Learning and Personal Growth.</w:t>
      </w:r>
      <w:r>
        <w:t xml:space="preserve"> Programs are designed to highlight connections between fields — for example, a sustainable architecture workshop integrating environmental science, material engineering, and digital design. Personalized learning plans align activities with individual goals. Soft-skills training in communication, teamwork, and project management is embedded into all programming.</w:t>
      </w:r>
    </w:p>
    <w:p>
      <w:r>
        <w:rPr>
          <w:b/>
        </w:rPr>
        <w:t>Goal 6: Ensure Financial Sustainability.</w:t>
      </w:r>
      <w:r>
        <w:t xml:space="preserve"> No single revenue source will account for more than 30% of income, insulating the organization from the loss of any individual stream. An advisory board of professionals from education, business, engineering, and community development guides strategic evolution. Quarterly reviews and annual strategic planning ensure adaptive governance.</w:t>
      </w:r>
    </w:p>
    <w:p>
      <w:pPr>
        <w:pStyle w:val="Heading3"/>
      </w:pPr>
      <w:r>
        <w:t>2.2 Clientele</w:t>
      </w:r>
    </w:p>
    <w:p>
      <w:r>
        <w:t>The drop-in model — no application, no prerequisites, no long-term commitment — deliberately lowers barriers to participation. Primary clientele include:</w:t>
      </w:r>
    </w:p>
    <w:p>
      <w:r>
        <w:rPr>
          <w:b/>
        </w:rPr>
        <w:t>Youth (Ages 12–18).</w:t>
      </w:r>
      <w:r>
        <w:t xml:space="preserve"> The core population. Research shows STEM career interest is most effectively cultivated during adolescence through hands-on, out-of-school experiences [3]. After-school and weekend programming accommodates this demographic.</w:t>
      </w:r>
    </w:p>
    <w:p>
      <w:r>
        <w:rPr>
          <w:b/>
        </w:rPr>
        <w:t>Post-Secondary Students.</w:t>
      </w:r>
      <w:r>
        <w:t xml:space="preserve"> Students at Camosun College and the University of Victoria benefit from supplementary access to 3D printers, laser cutters, and CNC machines outside scheduled lab hours, accelerating academic and personal projects.</w:t>
      </w:r>
    </w:p>
    <w:p>
      <w:r>
        <w:rPr>
          <w:b/>
        </w:rPr>
        <w:t>Adult Learners and Career Changers.</w:t>
      </w:r>
      <w:r>
        <w:t xml:space="preserve"> Canada's labour market increasingly demands STEM literacy [6]. The drop-in format accommodates work schedules and family commitments that preclude structured evening courses.</w:t>
      </w:r>
    </w:p>
    <w:p>
      <w:r>
        <w:rPr>
          <w:b/>
        </w:rPr>
        <w:t>Retirees and Community Experts.</w:t>
      </w:r>
      <w:r>
        <w:t xml:space="preserve"> Retired professionals contribute as volunteer mentors while pursuing new interests, creating intergenerational knowledge exchange.</w:t>
      </w:r>
    </w:p>
    <w:p>
      <w:r>
        <w:rPr>
          <w:b/>
        </w:rPr>
        <w:t>Underserved Community Members.</w:t>
      </w:r>
      <w:r>
        <w:t xml:space="preserve"> Sliding-scale fees, free introductory workshops, and targeted outreach to low-income families, newcomer communities, Indigenous youth, and individuals with disabilities ensure equitable access.</w:t>
      </w:r>
    </w:p>
    <w:p>
      <w:r>
        <w:rPr>
          <w:b/>
        </w:rPr>
        <w:t>Local Schools, Organizations, and Businesses.</w:t>
      </w:r>
      <w:r>
        <w:t xml:space="preserve"> Partners engage through field trips, guest workshops, sponsorships, mentorship, and internship pipelines.</w:t>
      </w:r>
    </w:p>
    <w:p>
      <w:pPr>
        <w:pStyle w:val="Heading3"/>
      </w:pPr>
      <w:r>
        <w:t>2.3 Methods</w:t>
      </w:r>
    </w:p>
    <w:p>
      <w:r>
        <w:rPr>
          <w:b/>
        </w:rPr>
        <w:t>Facility Design.</w:t>
      </w:r>
      <w:r>
        <w:t xml:space="preserve"> The facility is organized into six functional zones informed by research on learning space design [8]: the Main Lab Area (~40% of floor space), equipped with discipline-specific tools and safety infrastructure meeting WorkSafeBC standards [11]; Collaboration Zones (~15%) with movable furniture and projection equipment; a Resource Library (~10%) with reference materials and software workstations; Event Spaces (~20%) for workshops, lectures, and fundraisers; Relaxation Areas (~10%) for mental well-being; and Tech-Free Zones (~5%) for creative reflection without screens.</w:t>
      </w:r>
    </w:p>
    <w:p>
      <w:r>
        <w:rPr>
          <w:b/>
        </w:rPr>
        <w:t>Programming.</w:t>
      </w:r>
      <w:r>
        <w:t xml:space="preserve"> Six delivery models target different learning styles: (1) weekly Open Workshops on foundational topics; (2) biweekly Expert Sessions led by professionals and tradespeople; (3) ongoing Peer-Led Projects fostering autonomy; (4) monthly Community Events for engagement and visibility; (5) Customized Learning Tracks tailored to individual goals; and (6) continuous Feedback Loops via post-session surveys, suggestion forums, and quarterly focus groups.</w:t>
      </w:r>
    </w:p>
    <w:p>
      <w:r>
        <w:rPr>
          <w:b/>
        </w:rPr>
        <w:t>Revenue Model.</w:t>
      </w:r>
      <w:r>
        <w:t xml:space="preserve"> Financial sustainability requires diversification: Workshop Fees (~20%, sliding-scale), Room Rentals (~15%), Corporate Sponsorships and Grants (~30%, transitioning to supplementary as earned revenue grows), Merchandise Sales (~5%), Fundraiser Events (~15%), and Membership Tiers (~15%).</w:t>
      </w:r>
    </w:p>
    <w:p>
      <w:pPr>
        <w:pStyle w:val="Heading3"/>
      </w:pPr>
      <w:r>
        <w:t>2.4 Staff and Administration</w:t>
      </w:r>
    </w:p>
    <w:p>
      <w:r>
        <w:t>Crossroads will be incorporated as a nonprofit under the Canada Not-for-profit Corporations Act (S.C. 2009, c. 23) with a board of five directors representing education, business, engineering, community development, and finance [12]. The board provides strategic oversight and fiduciary governance.</w:t>
      </w:r>
    </w:p>
    <w:p>
      <w:r>
        <w:t>All staff undergo comprehensive onboarding: equipment operation, WHMIS 2015 safety certification, emergency response, inclusive facilitation, and conflict resolution. Ongoing professional development includes quarterly training days and cross-training across disciplines.</w:t>
      </w:r>
    </w:p>
    <w:p>
      <w:r>
        <w:t>Volunteers are essential to the operating model. Onboarding includes safety certification, mentorship guidelines, and a probationary period of supervised sessions. Volunteers with advanced expertise — retired engineers, tradespeople, software developers — are paired with participants for discipline-specific mentoring.</w:t>
      </w:r>
    </w:p>
    <w:p>
      <w:r>
        <w:br w:type="page"/>
      </w:r>
    </w:p>
    <w:p>
      <w:pPr>
        <w:pStyle w:val="Heading2"/>
      </w:pPr>
      <w:r>
        <w:t>3. Available Resources</w:t>
      </w:r>
    </w:p>
    <w:p>
      <w:r>
        <w:t>Crossroads benefits from several substantive resources already available or confirmed in principle within the Greater Victoria community.</w:t>
      </w:r>
    </w:p>
    <w:p>
      <w:r>
        <w:rPr>
          <w:b/>
        </w:rPr>
        <w:t>Community and Institutional Partnerships.</w:t>
      </w:r>
      <w:r>
        <w:t xml:space="preserve"> Camosun College's Technology Access Centre (CTAC) at the Interurban Campus and the Applied Research and Innovation department have a documented history of community engagement. Preliminary discussions indicate willingness to collaborate on shared programming, equipment loans, and student placements. The University of Victoria's Faculty of Engineering and Computer Science represents an additional partnership pathway. Specifically, School Districts 61 (Greater Victoria), 62 (Sooke), and 63 (Saanich) have expressed interest in coordinating field trips and after-school clubs, particularly aligning with the provincial ADST curriculum emphasis [13].</w:t>
      </w:r>
    </w:p>
    <w:p>
      <w:r>
        <w:rPr>
          <w:b/>
        </w:rPr>
        <w:t>Surplus Equipment Pipeline.</w:t>
      </w:r>
      <w:r>
        <w:t xml:space="preserve"> Post-secondary institutions regularly decommission functional laboratory equipment — oscilloscopes, spectrometers, workbenches, microscopes, computing hardware — that no longer meets research-grade standards. Cataloguing efforts at Camosun's Interurban tech labs and UVic's engineering labs suggest equipment donations could offset $15,000–$40,000 of startup costs. Formal memoranda of understanding (MOUs) will be developed to formalize this pipeline, including tax-receipt structures for donated assets.</w:t>
      </w:r>
    </w:p>
    <w:p>
      <w:r>
        <w:rPr>
          <w:b/>
        </w:rPr>
        <w:t>Local Business and Guild Support.</w:t>
      </w:r>
      <w:r>
        <w:t xml:space="preserve"> The Victoria Innovation, Advanced Technology and Entrepreneurship Council (VIATEC) and its associated network of over 900 local technology companies provide a massive pool of potential mentors and sponsors. Additionally, local trades organizations — including the Vancouver Island Blacksmith Association, the Victoria Makerspace, and local woodworking guilds — have historically supported youth education initiatives. The founder has established preliminary contact with several potential corporate sponsors in the Fort Tectoria hub, and formal sponsorship packages are in development.</w:t>
      </w:r>
    </w:p>
    <w:p>
      <w:r>
        <w:rPr>
          <w:b/>
        </w:rPr>
        <w:t>Founder Expertise.</w:t>
      </w:r>
      <w:r>
        <w:t xml:space="preserve"> Cameron Kibble brings cross-disciplinary expertise in chemistry, physics, engineering, robotics, computer science, and manufacturing, providing a foundation for initial programming and reducing early-stage hiring needs. The founder's network within Victoria's maker community provides direct access to mentors, volunteers, and advisors.</w:t>
      </w:r>
    </w:p>
    <w:p>
      <w:r>
        <w:br w:type="page"/>
      </w:r>
    </w:p>
    <w:p>
      <w:pPr>
        <w:pStyle w:val="Heading2"/>
      </w:pPr>
      <w:r>
        <w:t>4. Needed Resources</w:t>
      </w:r>
    </w:p>
    <w:p>
      <w:pPr>
        <w:pStyle w:val="Heading3"/>
      </w:pPr>
      <w:r>
        <w:t>4.1 Personnel</w:t>
      </w:r>
    </w:p>
    <w:p>
      <w:r>
        <w:rPr>
          <w:b/>
        </w:rPr>
        <w:t>Board of Directors (5 unpaid).</w:t>
      </w:r>
      <w:r>
        <w:t xml:space="preserve"> Representatives from education, business, engineering, community development, and finance, recruited during the pre-launch phase [12].</w:t>
      </w:r>
    </w:p>
    <w:p>
      <w:r>
        <w:rPr>
          <w:b/>
        </w:rPr>
        <w:t>Program Director (1 FTE, $55,000–$70,000/yr).</w:t>
      </w:r>
      <w:r>
        <w:t xml:space="preserve"> Responsible for day-to-day management, programming, community relations, fundraising, and staff supervision.</w:t>
      </w:r>
    </w:p>
    <w:p>
      <w:r>
        <w:rPr>
          <w:b/>
        </w:rPr>
        <w:t>Lab Supervisors/Mentors (2–4 positions, $38,000–$48,000/yr each).</w:t>
      </w:r>
      <w:r>
        <w:t xml:space="preserve"> Front-line staff overseeing equipment use, enforcing safety protocols, and mentoring participants. WHMIS 2015 and first aid certification required.</w:t>
      </w:r>
    </w:p>
    <w:p>
      <w:r>
        <w:rPr>
          <w:b/>
        </w:rPr>
        <w:t>Administrative Support (1 PTE, $20,000–$28,000/yr).</w:t>
      </w:r>
      <w:r>
        <w:t xml:space="preserve"> Scheduling, communications, membership records, bookkeeping, and grant reporting.</w:t>
      </w:r>
    </w:p>
    <w:p>
      <w:r>
        <w:rPr>
          <w:b/>
        </w:rPr>
        <w:t>Volunteers (15–25 active).</w:t>
      </w:r>
      <w:r>
        <w:t xml:space="preserve"> Contributing 4–8 hours/month each (~60–200 volunteer hours monthly), recruited through partnerships and community outreach.</w:t>
      </w:r>
    </w:p>
    <w:p>
      <w:pPr>
        <w:pStyle w:val="Heading3"/>
      </w:pPr>
      <w:r>
        <w:t>4.2 Facilities</w:t>
      </w:r>
    </w:p>
    <w:p>
      <w:r>
        <w:t>The facility requires 4,000–6,000 square feet to accommodate all six zones: Main Lab (~1,600–2,400 sq ft) with ventilation, fume hoods, 200-amp electrical service, and emergency infrastructure; Collaboration and Event Spaces (~1,400–2,100 sq ft) with configurable seating for 5–60 people; Resource Library (~400–600 sq ft) with workstations and high-speed internet; and Relaxation/Tech-Free Zones (~600 sq ft combined). The facility must meet the British Columbia Building Code, WorkSafeBC laboratory regulations [11], and the Accessible Canada Act (S.C. 2019, c. 10) for barrier-free access. The budget assumes donated or subsidized space through a partnership with an educational institution or municipality — a below-market lease in exchange for collaborative programming is the preferred model.</w:t>
      </w:r>
    </w:p>
    <w:p>
      <w:pPr>
        <w:pStyle w:val="Heading3"/>
      </w:pPr>
      <w:r>
        <w:t>4.3 Equipment, Supplies, and Communication</w:t>
      </w:r>
    </w:p>
    <w:p>
      <w:r>
        <w:rPr>
          <w:b/>
        </w:rPr>
        <w:t>Equipment and Supplies.</w:t>
      </w:r>
      <w:r>
        <w:t xml:space="preserve"> Crossroads requires equipment across fifteen core disciplines, summarized in Table 2 and detailed in Appendix A.</w:t>
      </w:r>
    </w:p>
    <w:p>
      <w:r>
        <w:rPr>
          <w:b/>
        </w:rPr>
        <w:t>Table 2: Equipment Requirements by Discipline</w:t>
      </w:r>
    </w:p>
    <w:tbl>
      <w:tblPr>
        <w:tblStyle w:val="TableGrid"/>
        <w:tblW w:type="auto" w:w="0"/>
        <w:tblLook w:firstColumn="1" w:firstRow="1" w:lastColumn="0" w:lastRow="0" w:noHBand="0" w:noVBand="1" w:val="04A0"/>
      </w:tblPr>
      <w:tblGrid>
        <w:gridCol w:w="4320"/>
        <w:gridCol w:w="4320"/>
      </w:tblGrid>
      <w:tr>
        <w:tc>
          <w:tcPr>
            <w:tcW w:type="dxa" w:w="4320"/>
          </w:tcPr>
          <w:p>
            <w:r>
              <w:t>Discipline</w:t>
            </w:r>
          </w:p>
        </w:tc>
        <w:tc>
          <w:tcPr>
            <w:tcW w:type="dxa" w:w="4320"/>
          </w:tcPr>
          <w:p>
            <w:r>
              <w:t>Key Equipment Examples</w:t>
            </w:r>
          </w:p>
        </w:tc>
      </w:tr>
      <w:tr>
        <w:tc>
          <w:tcPr>
            <w:tcW w:type="dxa" w:w="4320"/>
          </w:tcPr>
          <w:p>
            <w:r>
              <w:t>Chemistry</w:t>
            </w:r>
          </w:p>
        </w:tc>
        <w:tc>
          <w:tcPr>
            <w:tcW w:type="dxa" w:w="4320"/>
          </w:tcPr>
          <w:p>
            <w:r>
              <w:t>Lab-grade glassware, fume hoods, spectrometers, reagents, safety gear</w:t>
            </w:r>
          </w:p>
        </w:tc>
      </w:tr>
      <w:tr>
        <w:tc>
          <w:tcPr>
            <w:tcW w:type="dxa" w:w="4320"/>
          </w:tcPr>
          <w:p>
            <w:r>
              <w:t>Physics</w:t>
            </w:r>
          </w:p>
        </w:tc>
        <w:tc>
          <w:tcPr>
            <w:tcW w:type="dxa" w:w="4320"/>
          </w:tcPr>
          <w:p>
            <w:r>
              <w:t>Oscilloscopes, lasers, magnets, experimental setups for mechanics and optics</w:t>
            </w:r>
          </w:p>
        </w:tc>
      </w:tr>
      <w:tr>
        <w:tc>
          <w:tcPr>
            <w:tcW w:type="dxa" w:w="4320"/>
          </w:tcPr>
          <w:p>
            <w:r>
              <w:t>Math</w:t>
            </w:r>
          </w:p>
        </w:tc>
        <w:tc>
          <w:tcPr>
            <w:tcW w:type="dxa" w:w="4320"/>
          </w:tcPr>
          <w:p>
            <w:r>
              <w:t>Interactive tools, data visualization software, mathematical modeling platforms</w:t>
            </w:r>
          </w:p>
        </w:tc>
      </w:tr>
      <w:tr>
        <w:tc>
          <w:tcPr>
            <w:tcW w:type="dxa" w:w="4320"/>
          </w:tcPr>
          <w:p>
            <w:r>
              <w:t>Biology</w:t>
            </w:r>
          </w:p>
        </w:tc>
        <w:tc>
          <w:tcPr>
            <w:tcW w:type="dxa" w:w="4320"/>
          </w:tcPr>
          <w:p>
            <w:r>
              <w:t>Microscopes, specimen slides, biological models, DNA extraction supplies</w:t>
            </w:r>
          </w:p>
        </w:tc>
      </w:tr>
      <w:tr>
        <w:tc>
          <w:tcPr>
            <w:tcW w:type="dxa" w:w="4320"/>
          </w:tcPr>
          <w:p>
            <w:r>
              <w:t>Finance</w:t>
            </w:r>
          </w:p>
        </w:tc>
        <w:tc>
          <w:tcPr>
            <w:tcW w:type="dxa" w:w="4320"/>
          </w:tcPr>
          <w:p>
            <w:r>
              <w:t>Financial modeling software, stock simulation tools, spreadsheet platforms</w:t>
            </w:r>
          </w:p>
        </w:tc>
      </w:tr>
      <w:tr>
        <w:tc>
          <w:tcPr>
            <w:tcW w:type="dxa" w:w="4320"/>
          </w:tcPr>
          <w:p>
            <w:r>
              <w:t>Computer Science</w:t>
            </w:r>
          </w:p>
        </w:tc>
        <w:tc>
          <w:tcPr>
            <w:tcW w:type="dxa" w:w="4320"/>
          </w:tcPr>
          <w:p>
            <w:r>
              <w:t>Programming workstations, IDEs, networking equipment, servers</w:t>
            </w:r>
          </w:p>
        </w:tc>
      </w:tr>
      <w:tr>
        <w:tc>
          <w:tcPr>
            <w:tcW w:type="dxa" w:w="4320"/>
          </w:tcPr>
          <w:p>
            <w:r>
              <w:t>Statistics</w:t>
            </w:r>
          </w:p>
        </w:tc>
        <w:tc>
          <w:tcPr>
            <w:tcW w:type="dxa" w:w="4320"/>
          </w:tcPr>
          <w:p>
            <w:r>
              <w:t>Data analysis software (R, SPSS, Excel), visualization tools, real-world data sets</w:t>
            </w:r>
          </w:p>
        </w:tc>
      </w:tr>
      <w:tr>
        <w:tc>
          <w:tcPr>
            <w:tcW w:type="dxa" w:w="4320"/>
          </w:tcPr>
          <w:p>
            <w:r>
              <w:t>Engineering</w:t>
            </w:r>
          </w:p>
        </w:tc>
        <w:tc>
          <w:tcPr>
            <w:tcW w:type="dxa" w:w="4320"/>
          </w:tcPr>
          <w:p>
            <w:r>
              <w:t>CAD software, 3D printers, CNC machines, electronics, prototyping materials</w:t>
            </w:r>
          </w:p>
        </w:tc>
      </w:tr>
      <w:tr>
        <w:tc>
          <w:tcPr>
            <w:tcW w:type="dxa" w:w="4320"/>
          </w:tcPr>
          <w:p>
            <w:r>
              <w:t>Robotics</w:t>
            </w:r>
          </w:p>
        </w:tc>
        <w:tc>
          <w:tcPr>
            <w:tcW w:type="dxa" w:w="4320"/>
          </w:tcPr>
          <w:p>
            <w:r>
              <w:t>Arduino, Raspberry Pi, LEGO Mindstorms, sensors, motors, actuators</w:t>
            </w:r>
          </w:p>
        </w:tc>
      </w:tr>
      <w:tr>
        <w:tc>
          <w:tcPr>
            <w:tcW w:type="dxa" w:w="4320"/>
          </w:tcPr>
          <w:p>
            <w:r>
              <w:t>Manufacturing</w:t>
            </w:r>
          </w:p>
        </w:tc>
        <w:tc>
          <w:tcPr>
            <w:tcW w:type="dxa" w:w="4320"/>
          </w:tcPr>
          <w:p>
            <w:r>
              <w:t>Lathes, mills, saws, additive and subtractive manufacturing tools</w:t>
            </w:r>
          </w:p>
        </w:tc>
      </w:tr>
      <w:tr>
        <w:tc>
          <w:tcPr>
            <w:tcW w:type="dxa" w:w="4320"/>
          </w:tcPr>
          <w:p>
            <w:r>
              <w:t>Material Engineering</w:t>
            </w:r>
          </w:p>
        </w:tc>
        <w:tc>
          <w:tcPr>
            <w:tcW w:type="dxa" w:w="4320"/>
          </w:tcPr>
          <w:p>
            <w:r>
              <w:t>Tensile testers, hardness meters, composite and nanomaterial resources</w:t>
            </w:r>
          </w:p>
        </w:tc>
      </w:tr>
      <w:tr>
        <w:tc>
          <w:tcPr>
            <w:tcW w:type="dxa" w:w="4320"/>
          </w:tcPr>
          <w:p>
            <w:r>
              <w:t>Architecture</w:t>
            </w:r>
          </w:p>
        </w:tc>
        <w:tc>
          <w:tcPr>
            <w:tcW w:type="dxa" w:w="4320"/>
          </w:tcPr>
          <w:p>
            <w:r>
              <w:t>AutoCAD, SketchUp, Rhino, foam cutters, laser cutters, modeling tools</w:t>
            </w:r>
          </w:p>
        </w:tc>
      </w:tr>
      <w:tr>
        <w:tc>
          <w:tcPr>
            <w:tcW w:type="dxa" w:w="4320"/>
          </w:tcPr>
          <w:p>
            <w:r>
              <w:t>Art &amp; Design</w:t>
            </w:r>
          </w:p>
        </w:tc>
        <w:tc>
          <w:tcPr>
            <w:tcW w:type="dxa" w:w="4320"/>
          </w:tcPr>
          <w:p>
            <w:r>
              <w:t>Drawing tablets, design software, traditional art materials</w:t>
            </w:r>
          </w:p>
        </w:tc>
      </w:tr>
      <w:tr>
        <w:tc>
          <w:tcPr>
            <w:tcW w:type="dxa" w:w="4320"/>
          </w:tcPr>
          <w:p>
            <w:r>
              <w:t>Environmental Science</w:t>
            </w:r>
          </w:p>
        </w:tc>
        <w:tc>
          <w:tcPr>
            <w:tcW w:type="dxa" w:w="4320"/>
          </w:tcPr>
          <w:p>
            <w:r>
              <w:t>Soil/air/water analysis tools, renewable energy kits, sustainability curriculum</w:t>
            </w:r>
          </w:p>
        </w:tc>
      </w:tr>
      <w:tr>
        <w:tc>
          <w:tcPr>
            <w:tcW w:type="dxa" w:w="4320"/>
          </w:tcPr>
          <w:p>
            <w:r>
              <w:t>Health &amp; Wellness</w:t>
            </w:r>
          </w:p>
        </w:tc>
        <w:tc>
          <w:tcPr>
            <w:tcW w:type="dxa" w:w="4320"/>
          </w:tcPr>
          <w:p>
            <w:r>
              <w:t>Wellness workshop resources, mindfulness programs, nutrition and first aid materials</w:t>
            </w:r>
          </w:p>
        </w:tc>
      </w:tr>
    </w:tbl>
    <w:p>
      <w:r>
        <w:t>Equipment sourcing is prioritized: (1) donated surplus from post-secondary institutions; (2) grant-funded purchases at educational pricing; (3) used equipment from reputable dealers; (4) new purchases where safety or precision demands it. All equipment is inventoried and maintained on a regular inspection schedule.</w:t>
      </w:r>
    </w:p>
    <w:p>
      <w:r>
        <w:rPr>
          <w:b/>
        </w:rPr>
        <w:t>Communication.</w:t>
      </w:r>
      <w:r>
        <w:t xml:space="preserve"> Internal coordination uses a centralized platform (Microsoft 365 for Nonprofits or Google Workspace for Nonprofits — both free for registered Canadian nonprofits) for scheduling, document management, and membership tracking. External communication includes a professional website, social media channels (Instagram, Facebook, LinkedIn, YouTube), and a monthly email newsletter. A membership portal enables participants to register for workshops, track learning, and provide feedback. Quarterly stakeholder reports document program outcomes, financial performance, and strategic progress using templates aligned with granting agency requirements.</w:t>
      </w:r>
    </w:p>
    <w:p>
      <w:pPr>
        <w:pStyle w:val="Heading3"/>
      </w:pPr>
      <w:r>
        <w:t>4.4 Budget</w:t>
      </w:r>
    </w:p>
    <w:p>
      <w:r>
        <w:t>Startup budget estimates assume donated or subsidized facility space. Figures are in Canadian dollars and subject to refinement.</w:t>
      </w:r>
    </w:p>
    <w:p>
      <w:r>
        <w:rPr>
          <w:b/>
        </w:rPr>
        <w:t>Table 1: Estimated Startup Budget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Low Estimate (CAD)</w:t>
            </w:r>
          </w:p>
        </w:tc>
        <w:tc>
          <w:tcPr>
            <w:tcW w:type="dxa" w:w="2880"/>
          </w:tcPr>
          <w:p>
            <w:r>
              <w:t>High Estimate (CAD)</w:t>
            </w:r>
          </w:p>
        </w:tc>
      </w:tr>
      <w:tr>
        <w:tc>
          <w:tcPr>
            <w:tcW w:type="dxa" w:w="2880"/>
          </w:tcPr>
          <w:p>
            <w:r>
              <w:t>Product Development and Prototyping</w:t>
            </w:r>
          </w:p>
        </w:tc>
        <w:tc>
          <w:tcPr>
            <w:tcW w:type="dxa" w:w="2880"/>
          </w:tcPr>
          <w:p>
            <w:r>
              <w:t>$10,000</w:t>
            </w:r>
          </w:p>
        </w:tc>
        <w:tc>
          <w:tcPr>
            <w:tcW w:type="dxa" w:w="2880"/>
          </w:tcPr>
          <w:p>
            <w:r>
              <w:t>$30,000</w:t>
            </w:r>
          </w:p>
        </w:tc>
      </w:tr>
      <w:tr>
        <w:tc>
          <w:tcPr>
            <w:tcW w:type="dxa" w:w="2880"/>
          </w:tcPr>
          <w:p>
            <w:r>
              <w:t>Inventory and Supplies Procurement</w:t>
            </w:r>
          </w:p>
        </w:tc>
        <w:tc>
          <w:tcPr>
            <w:tcW w:type="dxa" w:w="2880"/>
          </w:tcPr>
          <w:p>
            <w:r>
              <w:t>$15,000</w:t>
            </w:r>
          </w:p>
        </w:tc>
        <w:tc>
          <w:tcPr>
            <w:tcW w:type="dxa" w:w="2880"/>
          </w:tcPr>
          <w:p>
            <w:r>
              <w:t>$50,000</w:t>
            </w:r>
          </w:p>
        </w:tc>
      </w:tr>
      <w:tr>
        <w:tc>
          <w:tcPr>
            <w:tcW w:type="dxa" w:w="2880"/>
          </w:tcPr>
          <w:p>
            <w:r>
              <w:t>Equipment and Tooling for Manufacturing</w:t>
            </w:r>
          </w:p>
        </w:tc>
        <w:tc>
          <w:tcPr>
            <w:tcW w:type="dxa" w:w="2880"/>
          </w:tcPr>
          <w:p>
            <w:r>
              <w:t>$30,000</w:t>
            </w:r>
          </w:p>
        </w:tc>
        <w:tc>
          <w:tcPr>
            <w:tcW w:type="dxa" w:w="2880"/>
          </w:tcPr>
          <w:p>
            <w:r>
              <w:t>$100,000</w:t>
            </w:r>
          </w:p>
        </w:tc>
      </w:tr>
      <w:tr>
        <w:tc>
          <w:tcPr>
            <w:tcW w:type="dxa" w:w="2880"/>
          </w:tcPr>
          <w:p>
            <w:r>
              <w:t>Branding, Marketing, and Website Development</w:t>
            </w:r>
          </w:p>
        </w:tc>
        <w:tc>
          <w:tcPr>
            <w:tcW w:type="dxa" w:w="2880"/>
          </w:tcPr>
          <w:p>
            <w:r>
              <w:t>$5,000</w:t>
            </w:r>
          </w:p>
        </w:tc>
        <w:tc>
          <w:tcPr>
            <w:tcW w:type="dxa" w:w="2880"/>
          </w:tcPr>
          <w:p>
            <w:r>
              <w:t>$20,000</w:t>
            </w:r>
          </w:p>
        </w:tc>
      </w:tr>
      <w:tr>
        <w:tc>
          <w:tcPr>
            <w:tcW w:type="dxa" w:w="2880"/>
          </w:tcPr>
          <w:p>
            <w:r>
              <w:t>Regulatory Compliance and Certifications</w:t>
            </w:r>
          </w:p>
        </w:tc>
        <w:tc>
          <w:tcPr>
            <w:tcW w:type="dxa" w:w="2880"/>
          </w:tcPr>
          <w:p>
            <w:r>
              <w:t>$3,000</w:t>
            </w:r>
          </w:p>
        </w:tc>
        <w:tc>
          <w:tcPr>
            <w:tcW w:type="dxa" w:w="2880"/>
          </w:tcPr>
          <w:p>
            <w:r>
              <w:t>$10,000</w:t>
            </w:r>
          </w:p>
        </w:tc>
      </w:tr>
      <w:tr>
        <w:tc>
          <w:tcPr>
            <w:tcW w:type="dxa" w:w="2880"/>
          </w:tcPr>
          <w:p>
            <w:r>
              <w:t>Staff Hiring and Training</w:t>
            </w:r>
          </w:p>
        </w:tc>
        <w:tc>
          <w:tcPr>
            <w:tcW w:type="dxa" w:w="2880"/>
          </w:tcPr>
          <w:p>
            <w:r>
              <w:t>$15,000</w:t>
            </w:r>
          </w:p>
        </w:tc>
        <w:tc>
          <w:tcPr>
            <w:tcW w:type="dxa" w:w="2880"/>
          </w:tcPr>
          <w:p>
            <w:r>
              <w:t>$40,000</w:t>
            </w:r>
          </w:p>
        </w:tc>
      </w:tr>
      <w:tr>
        <w:tc>
          <w:tcPr>
            <w:tcW w:type="dxa" w:w="2880"/>
          </w:tcPr>
          <w:p>
            <w:r>
              <w:t>Legal and Accounting Fees</w:t>
            </w:r>
          </w:p>
        </w:tc>
        <w:tc>
          <w:tcPr>
            <w:tcW w:type="dxa" w:w="2880"/>
          </w:tcPr>
          <w:p>
            <w:r>
              <w:t>$3,000</w:t>
            </w:r>
          </w:p>
        </w:tc>
        <w:tc>
          <w:tcPr>
            <w:tcW w:type="dxa" w:w="2880"/>
          </w:tcPr>
          <w:p>
            <w:r>
              <w:t>$10,000</w:t>
            </w:r>
          </w:p>
        </w:tc>
      </w:tr>
      <w:tr>
        <w:tc>
          <w:tcPr>
            <w:tcW w:type="dxa" w:w="2880"/>
          </w:tcPr>
          <w:p>
            <w:r>
              <w:t>Initial Marketing and Advertising Campaigns</w:t>
            </w:r>
          </w:p>
        </w:tc>
        <w:tc>
          <w:tcPr>
            <w:tcW w:type="dxa" w:w="2880"/>
          </w:tcPr>
          <w:p>
            <w:r>
              <w:t>$5,000</w:t>
            </w:r>
          </w:p>
        </w:tc>
        <w:tc>
          <w:tcPr>
            <w:tcW w:type="dxa" w:w="2880"/>
          </w:tcPr>
          <w:p>
            <w:r>
              <w:t>$15,000</w:t>
            </w:r>
          </w:p>
        </w:tc>
      </w:tr>
      <w:tr>
        <w:tc>
          <w:tcPr>
            <w:tcW w:type="dxa" w:w="2880"/>
          </w:tcPr>
          <w:p>
            <w:r>
              <w:t>Miscellaneous (Office Supplies, Utilities)</w:t>
            </w:r>
          </w:p>
        </w:tc>
        <w:tc>
          <w:tcPr>
            <w:tcW w:type="dxa" w:w="2880"/>
          </w:tcPr>
          <w:p>
            <w:r>
              <w:t>$5,000</w:t>
            </w:r>
          </w:p>
        </w:tc>
        <w:tc>
          <w:tcPr>
            <w:tcW w:type="dxa" w:w="2880"/>
          </w:tcPr>
          <w:p>
            <w:r>
              <w:t>$10,000</w:t>
            </w:r>
          </w:p>
        </w:tc>
      </w:tr>
      <w:tr>
        <w:tc>
          <w:tcPr>
            <w:tcW w:type="dxa" w:w="2880"/>
          </w:tcPr>
          <w:p>
            <w:r>
              <w:t>Total</w:t>
            </w:r>
          </w:p>
        </w:tc>
        <w:tc>
          <w:tcPr>
            <w:tcW w:type="dxa" w:w="2880"/>
          </w:tcPr>
          <w:p>
            <w:r>
              <w:t>$91,000</w:t>
            </w:r>
          </w:p>
        </w:tc>
        <w:tc>
          <w:tcPr>
            <w:tcW w:type="dxa" w:w="2880"/>
          </w:tcPr>
          <w:p>
            <w:r>
              <w:t>$285,000</w:t>
            </w:r>
          </w:p>
        </w:tc>
      </w:tr>
    </w:tbl>
    <w:p>
      <w:r>
        <w:rPr>
          <w:i/>
        </w:rPr>
        <w:t>Budget figures are preliminary estimates informed by industry benchmarks [15] and will be updated as vendor quotes, partnership agreements, and grant funding are confirmed.</w:t>
      </w:r>
    </w:p>
    <w:p>
      <w:r>
        <w:rPr>
          <w:b/>
        </w:rPr>
        <w:t>Startup Funding Strategy.</w:t>
      </w:r>
      <w:r>
        <w:t xml:space="preserve"> The gap between startup costs and Year 1 operating revenue will be bridged through a phased funding approach: (1) an initial seed round of $30,000–$50,000 from community angel investors and the founder's personal investment; (2) targeted grant applications to NSERC PromoScience, the Canada Council for the Arts, and BC provincial community development programs during the Foundation phase (Months 1–3); and (3) a crowdfunding campaign during the Build-Out phase targeting $15,000–$25,000. Equipment donations from Camosun College and UVic ($15,000–$40,000 offset) further reduce the cash requirement. This layered approach ensures that no single funding source carries disproportionate risk.</w:t>
      </w:r>
    </w:p>
    <w:p>
      <w:r>
        <w:rPr>
          <w:b/>
        </w:rPr>
        <w:t>Table 3: Projected Annual Revenue (Year 1–3)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Revenue Source</w:t>
            </w:r>
          </w:p>
        </w:tc>
        <w:tc>
          <w:tcPr>
            <w:tcW w:type="dxa" w:w="2160"/>
          </w:tcPr>
          <w:p>
            <w:r>
              <w:t>Year 1 (CAD)</w:t>
            </w:r>
          </w:p>
        </w:tc>
        <w:tc>
          <w:tcPr>
            <w:tcW w:type="dxa" w:w="2160"/>
          </w:tcPr>
          <w:p>
            <w:r>
              <w:t>Year 2 (CAD)</w:t>
            </w:r>
          </w:p>
        </w:tc>
        <w:tc>
          <w:tcPr>
            <w:tcW w:type="dxa" w:w="2160"/>
          </w:tcPr>
          <w:p>
            <w:r>
              <w:t>Year 3 (CAD)</w:t>
            </w:r>
          </w:p>
        </w:tc>
      </w:tr>
      <w:tr>
        <w:tc>
          <w:tcPr>
            <w:tcW w:type="dxa" w:w="2160"/>
          </w:tcPr>
          <w:p>
            <w:r>
              <w:t>Workshop Fees</w:t>
            </w:r>
          </w:p>
        </w:tc>
        <w:tc>
          <w:tcPr>
            <w:tcW w:type="dxa" w:w="2160"/>
          </w:tcPr>
          <w:p>
            <w:r>
              <w:t>$12,000</w:t>
            </w:r>
          </w:p>
        </w:tc>
        <w:tc>
          <w:tcPr>
            <w:tcW w:type="dxa" w:w="2160"/>
          </w:tcPr>
          <w:p>
            <w:r>
              <w:t>$24,000</w:t>
            </w:r>
          </w:p>
        </w:tc>
        <w:tc>
          <w:tcPr>
            <w:tcW w:type="dxa" w:w="2160"/>
          </w:tcPr>
          <w:p>
            <w:r>
              <w:t>$36,000</w:t>
            </w:r>
          </w:p>
        </w:tc>
      </w:tr>
      <w:tr>
        <w:tc>
          <w:tcPr>
            <w:tcW w:type="dxa" w:w="2160"/>
          </w:tcPr>
          <w:p>
            <w:r>
              <w:t>Room Rentals</w:t>
            </w:r>
          </w:p>
        </w:tc>
        <w:tc>
          <w:tcPr>
            <w:tcW w:type="dxa" w:w="2160"/>
          </w:tcPr>
          <w:p>
            <w:r>
              <w:t>$8,000</w:t>
            </w:r>
          </w:p>
        </w:tc>
        <w:tc>
          <w:tcPr>
            <w:tcW w:type="dxa" w:w="2160"/>
          </w:tcPr>
          <w:p>
            <w:r>
              <w:t>$15,000</w:t>
            </w:r>
          </w:p>
        </w:tc>
        <w:tc>
          <w:tcPr>
            <w:tcW w:type="dxa" w:w="2160"/>
          </w:tcPr>
          <w:p>
            <w:r>
              <w:t>$20,000</w:t>
            </w:r>
          </w:p>
        </w:tc>
      </w:tr>
      <w:tr>
        <w:tc>
          <w:tcPr>
            <w:tcW w:type="dxa" w:w="2160"/>
          </w:tcPr>
          <w:p>
            <w:r>
              <w:t>Corporate Sponsorships</w:t>
            </w:r>
          </w:p>
        </w:tc>
        <w:tc>
          <w:tcPr>
            <w:tcW w:type="dxa" w:w="2160"/>
          </w:tcPr>
          <w:p>
            <w:r>
              <w:t>$20,000</w:t>
            </w:r>
          </w:p>
        </w:tc>
        <w:tc>
          <w:tcPr>
            <w:tcW w:type="dxa" w:w="2160"/>
          </w:tcPr>
          <w:p>
            <w:r>
              <w:t>$30,000</w:t>
            </w:r>
          </w:p>
        </w:tc>
        <w:tc>
          <w:tcPr>
            <w:tcW w:type="dxa" w:w="2160"/>
          </w:tcPr>
          <w:p>
            <w:r>
              <w:t>$35,000</w:t>
            </w:r>
          </w:p>
        </w:tc>
      </w:tr>
      <w:tr>
        <w:tc>
          <w:tcPr>
            <w:tcW w:type="dxa" w:w="2160"/>
          </w:tcPr>
          <w:p>
            <w:r>
              <w:t>Government Grants</w:t>
            </w:r>
          </w:p>
        </w:tc>
        <w:tc>
          <w:tcPr>
            <w:tcW w:type="dxa" w:w="2160"/>
          </w:tcPr>
          <w:p>
            <w:r>
              <w:t>$25,000</w:t>
            </w:r>
          </w:p>
        </w:tc>
        <w:tc>
          <w:tcPr>
            <w:tcW w:type="dxa" w:w="2160"/>
          </w:tcPr>
          <w:p>
            <w:r>
              <w:t>$30,000</w:t>
            </w:r>
          </w:p>
        </w:tc>
        <w:tc>
          <w:tcPr>
            <w:tcW w:type="dxa" w:w="2160"/>
          </w:tcPr>
          <w:p>
            <w:r>
              <w:t>$25,000</w:t>
            </w:r>
          </w:p>
        </w:tc>
      </w:tr>
      <w:tr>
        <w:tc>
          <w:tcPr>
            <w:tcW w:type="dxa" w:w="2160"/>
          </w:tcPr>
          <w:p>
            <w:r>
              <w:t>Merchandise Sales</w:t>
            </w:r>
          </w:p>
        </w:tc>
        <w:tc>
          <w:tcPr>
            <w:tcW w:type="dxa" w:w="2160"/>
          </w:tcPr>
          <w:p>
            <w:r>
              <w:t>$3,000</w:t>
            </w:r>
          </w:p>
        </w:tc>
        <w:tc>
          <w:tcPr>
            <w:tcW w:type="dxa" w:w="2160"/>
          </w:tcPr>
          <w:p>
            <w:r>
              <w:t>$6,000</w:t>
            </w:r>
          </w:p>
        </w:tc>
        <w:tc>
          <w:tcPr>
            <w:tcW w:type="dxa" w:w="2160"/>
          </w:tcPr>
          <w:p>
            <w:r>
              <w:t>$8,000</w:t>
            </w:r>
          </w:p>
        </w:tc>
      </w:tr>
      <w:tr>
        <w:tc>
          <w:tcPr>
            <w:tcW w:type="dxa" w:w="2160"/>
          </w:tcPr>
          <w:p>
            <w:r>
              <w:t>Fundraiser Events</w:t>
            </w:r>
          </w:p>
        </w:tc>
        <w:tc>
          <w:tcPr>
            <w:tcW w:type="dxa" w:w="2160"/>
          </w:tcPr>
          <w:p>
            <w:r>
              <w:t>$10,000</w:t>
            </w:r>
          </w:p>
        </w:tc>
        <w:tc>
          <w:tcPr>
            <w:tcW w:type="dxa" w:w="2160"/>
          </w:tcPr>
          <w:p>
            <w:r>
              <w:t>$18,000</w:t>
            </w:r>
          </w:p>
        </w:tc>
        <w:tc>
          <w:tcPr>
            <w:tcW w:type="dxa" w:w="2160"/>
          </w:tcPr>
          <w:p>
            <w:r>
              <w:t>$22,000</w:t>
            </w:r>
          </w:p>
        </w:tc>
      </w:tr>
      <w:tr>
        <w:tc>
          <w:tcPr>
            <w:tcW w:type="dxa" w:w="2160"/>
          </w:tcPr>
          <w:p>
            <w:r>
              <w:t>Membership Tiers</w:t>
            </w:r>
          </w:p>
        </w:tc>
        <w:tc>
          <w:tcPr>
            <w:tcW w:type="dxa" w:w="2160"/>
          </w:tcPr>
          <w:p>
            <w:r>
              <w:t>$5,000</w:t>
            </w:r>
          </w:p>
        </w:tc>
        <w:tc>
          <w:tcPr>
            <w:tcW w:type="dxa" w:w="2160"/>
          </w:tcPr>
          <w:p>
            <w:r>
              <w:t>$15,000</w:t>
            </w:r>
          </w:p>
        </w:tc>
        <w:tc>
          <w:tcPr>
            <w:tcW w:type="dxa" w:w="2160"/>
          </w:tcPr>
          <w:p>
            <w:r>
              <w:t>$25,000</w:t>
            </w:r>
          </w:p>
        </w:tc>
      </w:tr>
      <w:tr>
        <w:tc>
          <w:tcPr>
            <w:tcW w:type="dxa" w:w="2160"/>
          </w:tcPr>
          <w:p>
            <w:r>
              <w:t>Total Projected Revenue</w:t>
            </w:r>
          </w:p>
        </w:tc>
        <w:tc>
          <w:tcPr>
            <w:tcW w:type="dxa" w:w="2160"/>
          </w:tcPr>
          <w:p>
            <w:r>
              <w:t>$83,000</w:t>
            </w:r>
          </w:p>
        </w:tc>
        <w:tc>
          <w:tcPr>
            <w:tcW w:type="dxa" w:w="2160"/>
          </w:tcPr>
          <w:p>
            <w:r>
              <w:t>$138,000</w:t>
            </w:r>
          </w:p>
        </w:tc>
        <w:tc>
          <w:tcPr>
            <w:tcW w:type="dxa" w:w="2160"/>
          </w:tcPr>
          <w:p>
            <w:r>
              <w:t>$171,000</w:t>
            </w:r>
          </w:p>
        </w:tc>
      </w:tr>
    </w:tbl>
    <w:p>
      <w:r>
        <w:rPr>
          <w:i/>
        </w:rPr>
        <w:t>Year 1 projections reflect a six-month ramp-up. Government grants decrease in Year 3 as earned revenue grows, reflecting a deliberate transition toward self-sufficiency [14].</w:t>
      </w:r>
    </w:p>
    <w:p>
      <w:r>
        <w:rPr>
          <w:b/>
        </w:rPr>
        <w:t>Risk Mitigation.</w:t>
      </w:r>
      <w:r>
        <w:t xml:space="preserve"> Three primary risks are anticipated. First, if the facility partnership is delayed, Crossroads will operate a reduced "pop-up" model using rented community centre space while continuing negotiations. Second, if grant funding falls short, the startup scope will be scaled to the low-end budget ($91,000) with a narrower initial discipline offering, expanding as revenue allows. Third, if participation is below projections, marketing spend will be reallocated to targeted outreach, free trial workshops, and school partnership programming to build the participant base.</w:t>
      </w:r>
    </w:p>
    <w:p>
      <w:r>
        <w:br w:type="page"/>
      </w:r>
    </w:p>
    <w:p>
      <w:pPr>
        <w:pStyle w:val="Heading2"/>
      </w:pPr>
      <w:r>
        <w:t>5. Evaluation Plan</w:t>
      </w:r>
    </w:p>
    <w:p>
      <w:r>
        <w:t>Crossroads' evaluation strategy rests on three pillars: participant feedback, quantitative outcome monitoring, and continuous adaptation.</w:t>
      </w:r>
    </w:p>
    <w:p>
      <w:r>
        <w:rPr>
          <w:b/>
        </w:rPr>
        <w:t>Participant Feedback.</w:t>
      </w:r>
      <w:r>
        <w:t xml:space="preserve"> Post-session digital surveys (5–7 Likert-scale questions with open-ended fields) are administered after every session. Quarterly focus groups (6–10 participants, stratified by demographic) capture nuanced perspectives. Monthly mentor and volunteer debriefs provide front-line observational data. An annual comprehensive survey captures longitudinal data on satisfaction, skill growth, and barriers.</w:t>
      </w:r>
    </w:p>
    <w:p>
      <w:r>
        <w:rPr>
          <w:b/>
        </w:rPr>
        <w:t>Program Outcome Monitoring.</w:t>
      </w:r>
      <w:r>
        <w:t xml:space="preserve"> Key performance indicators are tracked monthly and reported quarterly:</w:t>
      </w:r>
    </w:p>
    <w:p>
      <w:r>
        <w:rPr>
          <w:b/>
        </w:rPr>
        <w:t>Table 4: Evaluation Metrics and Performance Targets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Domain</w:t>
            </w:r>
          </w:p>
        </w:tc>
        <w:tc>
          <w:tcPr>
            <w:tcW w:type="dxa" w:w="2160"/>
          </w:tcPr>
          <w:p>
            <w:r>
              <w:t>Metric</w:t>
            </w:r>
          </w:p>
        </w:tc>
        <w:tc>
          <w:tcPr>
            <w:tcW w:type="dxa" w:w="2160"/>
          </w:tcPr>
          <w:p>
            <w:r>
              <w:t>Year 1 Target</w:t>
            </w:r>
          </w:p>
        </w:tc>
        <w:tc>
          <w:tcPr>
            <w:tcW w:type="dxa" w:w="2160"/>
          </w:tcPr>
          <w:p>
            <w:r>
              <w:t>Year 3 Target</w:t>
            </w:r>
          </w:p>
        </w:tc>
      </w:tr>
      <w:tr>
        <w:tc>
          <w:tcPr>
            <w:tcW w:type="dxa" w:w="2160"/>
          </w:tcPr>
          <w:p>
            <w:r>
              <w:t>Participation</w:t>
            </w:r>
          </w:p>
        </w:tc>
        <w:tc>
          <w:tcPr>
            <w:tcW w:type="dxa" w:w="2160"/>
          </w:tcPr>
          <w:p>
            <w:r>
              <w:t>Unique participants per quarter</w:t>
            </w:r>
          </w:p>
        </w:tc>
        <w:tc>
          <w:tcPr>
            <w:tcW w:type="dxa" w:w="2160"/>
          </w:tcPr>
          <w:p>
            <w:r>
              <w:t>150</w:t>
            </w:r>
          </w:p>
        </w:tc>
        <w:tc>
          <w:tcPr>
            <w:tcW w:type="dxa" w:w="2160"/>
          </w:tcPr>
          <w:p>
            <w:r>
              <w:t>500</w:t>
            </w:r>
          </w:p>
        </w:tc>
      </w:tr>
      <w:tr>
        <w:tc>
          <w:tcPr>
            <w:tcW w:type="dxa" w:w="2160"/>
          </w:tcPr>
          <w:p>
            <w:r>
              <w:t>Participation</w:t>
            </w:r>
          </w:p>
        </w:tc>
        <w:tc>
          <w:tcPr>
            <w:tcW w:type="dxa" w:w="2160"/>
          </w:tcPr>
          <w:p>
            <w:r>
              <w:t>Sessions delivered per month</w:t>
            </w:r>
          </w:p>
        </w:tc>
        <w:tc>
          <w:tcPr>
            <w:tcW w:type="dxa" w:w="2160"/>
          </w:tcPr>
          <w:p>
            <w:r>
              <w:t>12</w:t>
            </w:r>
          </w:p>
        </w:tc>
        <w:tc>
          <w:tcPr>
            <w:tcW w:type="dxa" w:w="2160"/>
          </w:tcPr>
          <w:p>
            <w:r>
              <w:t>30</w:t>
            </w:r>
          </w:p>
        </w:tc>
      </w:tr>
      <w:tr>
        <w:tc>
          <w:tcPr>
            <w:tcW w:type="dxa" w:w="2160"/>
          </w:tcPr>
          <w:p>
            <w:r>
              <w:t>Participation</w:t>
            </w:r>
          </w:p>
        </w:tc>
        <w:tc>
          <w:tcPr>
            <w:tcW w:type="dxa" w:w="2160"/>
          </w:tcPr>
          <w:p>
            <w:r>
              <w:t>Demographic diversity (% underserved)</w:t>
            </w:r>
          </w:p>
        </w:tc>
        <w:tc>
          <w:tcPr>
            <w:tcW w:type="dxa" w:w="2160"/>
          </w:tcPr>
          <w:p>
            <w:r>
              <w:t>20%</w:t>
            </w:r>
          </w:p>
        </w:tc>
        <w:tc>
          <w:tcPr>
            <w:tcW w:type="dxa" w:w="2160"/>
          </w:tcPr>
          <w:p>
            <w:r>
              <w:t>35%</w:t>
            </w:r>
          </w:p>
        </w:tc>
      </w:tr>
      <w:tr>
        <w:tc>
          <w:tcPr>
            <w:tcW w:type="dxa" w:w="2160"/>
          </w:tcPr>
          <w:p>
            <w:r>
              <w:t>Retention</w:t>
            </w:r>
          </w:p>
        </w:tc>
        <w:tc>
          <w:tcPr>
            <w:tcW w:type="dxa" w:w="2160"/>
          </w:tcPr>
          <w:p>
            <w:r>
              <w:t>Return rate (2+ visits)</w:t>
            </w:r>
          </w:p>
        </w:tc>
        <w:tc>
          <w:tcPr>
            <w:tcW w:type="dxa" w:w="2160"/>
          </w:tcPr>
          <w:p>
            <w:r>
              <w:t>40%</w:t>
            </w:r>
          </w:p>
        </w:tc>
        <w:tc>
          <w:tcPr>
            <w:tcW w:type="dxa" w:w="2160"/>
          </w:tcPr>
          <w:p>
            <w:r>
              <w:t>60%</w:t>
            </w:r>
          </w:p>
        </w:tc>
      </w:tr>
      <w:tr>
        <w:tc>
          <w:tcPr>
            <w:tcW w:type="dxa" w:w="2160"/>
          </w:tcPr>
          <w:p>
            <w:r>
              <w:t>Learning Outcomes</w:t>
            </w:r>
          </w:p>
        </w:tc>
        <w:tc>
          <w:tcPr>
            <w:tcW w:type="dxa" w:w="2160"/>
          </w:tcPr>
          <w:p>
            <w:r>
              <w:t>Participants reporting skill improvement</w:t>
            </w:r>
          </w:p>
        </w:tc>
        <w:tc>
          <w:tcPr>
            <w:tcW w:type="dxa" w:w="2160"/>
          </w:tcPr>
          <w:p>
            <w:r>
              <w:t>70%</w:t>
            </w:r>
          </w:p>
        </w:tc>
        <w:tc>
          <w:tcPr>
            <w:tcW w:type="dxa" w:w="2160"/>
          </w:tcPr>
          <w:p>
            <w:r>
              <w:t>85%</w:t>
            </w:r>
          </w:p>
        </w:tc>
      </w:tr>
      <w:tr>
        <w:tc>
          <w:tcPr>
            <w:tcW w:type="dxa" w:w="2160"/>
          </w:tcPr>
          <w:p>
            <w:r>
              <w:t>Learning Outcomes</w:t>
            </w:r>
          </w:p>
        </w:tc>
        <w:tc>
          <w:tcPr>
            <w:tcW w:type="dxa" w:w="2160"/>
          </w:tcPr>
          <w:p>
            <w:r>
              <w:t>Collaborative projects per quarter</w:t>
            </w:r>
          </w:p>
        </w:tc>
        <w:tc>
          <w:tcPr>
            <w:tcW w:type="dxa" w:w="2160"/>
          </w:tcPr>
          <w:p>
            <w:r>
              <w:t>5</w:t>
            </w:r>
          </w:p>
        </w:tc>
        <w:tc>
          <w:tcPr>
            <w:tcW w:type="dxa" w:w="2160"/>
          </w:tcPr>
          <w:p>
            <w:r>
              <w:t>20</w:t>
            </w:r>
          </w:p>
        </w:tc>
      </w:tr>
      <w:tr>
        <w:tc>
          <w:tcPr>
            <w:tcW w:type="dxa" w:w="2160"/>
          </w:tcPr>
          <w:p>
            <w:r>
              <w:t>Financial Sustainability</w:t>
            </w:r>
          </w:p>
        </w:tc>
        <w:tc>
          <w:tcPr>
            <w:tcW w:type="dxa" w:w="2160"/>
          </w:tcPr>
          <w:p>
            <w:r>
              <w:t>Revenue diversification (no source &gt; 30%)</w:t>
            </w:r>
          </w:p>
        </w:tc>
        <w:tc>
          <w:tcPr>
            <w:tcW w:type="dxa" w:w="2160"/>
          </w:tcPr>
          <w:p>
            <w:r>
              <w:t>Achieved</w:t>
            </w:r>
          </w:p>
        </w:tc>
        <w:tc>
          <w:tcPr>
            <w:tcW w:type="dxa" w:w="2160"/>
          </w:tcPr>
          <w:p>
            <w:r>
              <w:t>Maintained</w:t>
            </w:r>
          </w:p>
        </w:tc>
      </w:tr>
      <w:tr>
        <w:tc>
          <w:tcPr>
            <w:tcW w:type="dxa" w:w="2160"/>
          </w:tcPr>
          <w:p>
            <w:r>
              <w:t>Financial Sustainability</w:t>
            </w:r>
          </w:p>
        </w:tc>
        <w:tc>
          <w:tcPr>
            <w:tcW w:type="dxa" w:w="2160"/>
          </w:tcPr>
          <w:p>
            <w:r>
              <w:t>Earned revenue as % of total income</w:t>
            </w:r>
          </w:p>
        </w:tc>
        <w:tc>
          <w:tcPr>
            <w:tcW w:type="dxa" w:w="2160"/>
          </w:tcPr>
          <w:p>
            <w:r>
              <w:t>30%</w:t>
            </w:r>
          </w:p>
        </w:tc>
        <w:tc>
          <w:tcPr>
            <w:tcW w:type="dxa" w:w="2160"/>
          </w:tcPr>
          <w:p>
            <w:r>
              <w:t>55%</w:t>
            </w:r>
          </w:p>
        </w:tc>
      </w:tr>
      <w:tr>
        <w:tc>
          <w:tcPr>
            <w:tcW w:type="dxa" w:w="2160"/>
          </w:tcPr>
          <w:p>
            <w:r>
              <w:t>Community Engagement</w:t>
            </w:r>
          </w:p>
        </w:tc>
        <w:tc>
          <w:tcPr>
            <w:tcW w:type="dxa" w:w="2160"/>
          </w:tcPr>
          <w:p>
            <w:r>
              <w:t>Event attendance per event</w:t>
            </w:r>
          </w:p>
        </w:tc>
        <w:tc>
          <w:tcPr>
            <w:tcW w:type="dxa" w:w="2160"/>
          </w:tcPr>
          <w:p>
            <w:r>
              <w:t>75</w:t>
            </w:r>
          </w:p>
        </w:tc>
        <w:tc>
          <w:tcPr>
            <w:tcW w:type="dxa" w:w="2160"/>
          </w:tcPr>
          <w:p>
            <w:r>
              <w:t>200</w:t>
            </w:r>
          </w:p>
        </w:tc>
      </w:tr>
      <w:tr>
        <w:tc>
          <w:tcPr>
            <w:tcW w:type="dxa" w:w="2160"/>
          </w:tcPr>
          <w:p>
            <w:r>
              <w:t>Community Engagement</w:t>
            </w:r>
          </w:p>
        </w:tc>
        <w:tc>
          <w:tcPr>
            <w:tcW w:type="dxa" w:w="2160"/>
          </w:tcPr>
          <w:p>
            <w:r>
              <w:t>Active partnerships</w:t>
            </w:r>
          </w:p>
        </w:tc>
        <w:tc>
          <w:tcPr>
            <w:tcW w:type="dxa" w:w="2160"/>
          </w:tcPr>
          <w:p>
            <w:r>
              <w:t>8</w:t>
            </w:r>
          </w:p>
        </w:tc>
        <w:tc>
          <w:tcPr>
            <w:tcW w:type="dxa" w:w="2160"/>
          </w:tcPr>
          <w:p>
            <w:r>
              <w:t>20</w:t>
            </w:r>
          </w:p>
        </w:tc>
      </w:tr>
    </w:tbl>
    <w:p>
      <w:r>
        <w:rPr>
          <w:i/>
        </w:rPr>
        <w:t>Targets are informed by benchmarks from comparable Canadian community STEM organizations [14].</w:t>
      </w:r>
    </w:p>
    <w:p>
      <w:r>
        <w:rPr>
          <w:b/>
        </w:rPr>
        <w:t>Continuous Adaptation.</w:t>
      </w:r>
      <w:r>
        <w:t xml:space="preserve"> A three-tier review cycle drives improvement: monthly staff reviews adjust workshop content and scheduling; quarterly board reviews assess KPIs, focus group findings, and financial performance, authorizing strategic changes; annual comprehensive reviews produce updated strategic plans with revised targets and priorities. An annual impact report is published on the website and distributed to all funders and partners.</w:t>
      </w:r>
    </w:p>
    <w:p>
      <w:r>
        <w:br w:type="page"/>
      </w:r>
    </w:p>
    <w:p>
      <w:pPr>
        <w:pStyle w:val="Heading2"/>
      </w:pPr>
      <w:r>
        <w:t>6. Conclusion</w:t>
      </w:r>
    </w:p>
    <w:p>
      <w:r>
        <w:t>Crossroads addresses a documented gap in community-based STEM education in Victoria, British Columbia: the absence of an accessible, interdisciplinary, hands-on learning environment serving individuals regardless of age, income, or prior experience. This proposal has demonstrated that the need is well-supported by research on experiential learning [4], [5], third-space community engagement [1], and Canadian educational equity [6], and that the project is designed with the specificity and pragmatism necessary to succeed.</w:t>
      </w:r>
    </w:p>
    <w:p>
      <w:r>
        <w:t>The facility's six modular zones, fifteen-discipline scope, mentorship-driven programming model grounded in situated learning theory [10], and diversified financial structure with no single revenue source exceeding 30% of income collectively position Crossroads for viability. Available resources — confirmed institutional partnership pathways, surplus equipment pipelines, local business sponsorship interest, and founder expertise — provide the concrete foundation to launch. The phased startup funding strategy, conservative revenue projections reaching $171,000 by Year 3, and explicit risk mitigation plans demonstrate that this project has been planned for real-world conditions, not idealized ones.</w:t>
      </w:r>
    </w:p>
    <w:p>
      <w:r>
        <w:t>Crossroads is fundamentally about equity — ensuring that a young person's ability to explore robotics, chemistry, or computer science is not determined by family income, school budget, or postal code. This proposal is an invitation to invest in an institution that strengthens communities by strengthening the people within them.</w:t>
      </w:r>
    </w:p>
    <w:p>
      <w:r>
        <w:br w:type="page"/>
      </w:r>
    </w:p>
    <w:p>
      <w:pPr>
        <w:pStyle w:val="Heading2"/>
      </w:pPr>
      <w:r>
        <w:t>References</w:t>
      </w:r>
    </w:p>
    <w:p>
      <w:r>
        <w:t xml:space="preserve">[1] R. Oldenburg, </w:t>
      </w:r>
      <w:r>
        <w:rPr>
          <w:i/>
        </w:rPr>
        <w:t>The Great Good Place: Cafes, Coffee Shops, Bookstores, Bars, Hair Salons, and Other Hangouts at the Heart of a Community</w:t>
      </w:r>
      <w:r>
        <w:t>, 3rd ed. New York, NY, USA: Da Capo Press, 1999.</w:t>
      </w:r>
    </w:p>
    <w:p>
      <w:r>
        <w:t>[2] Statistics Canada, "Non-profit institutions and volunteering: Economic contribution," Government of Canada, Ottawa, ON, Canada, 2023. [Online]. Available: https://www.statcan.gc.ca/en/subjects-start/society_and_community/non_profit_organizations_and_volunteering</w:t>
      </w:r>
    </w:p>
    <w:p>
      <w:r>
        <w:t>[3] British Columbia Ministry of Education and Child Care, "Student Learning Survey: Provincial results," Government of British Columbia, Victoria, BC, Canada, 2023. [Online]. Available: https://www2.gov.bc.ca/gov/content/education-training/k-12/support/student-learning-survey</w:t>
      </w:r>
    </w:p>
    <w:p>
      <w:r>
        <w:t xml:space="preserve">[4] D. A. Kolb, </w:t>
      </w:r>
      <w:r>
        <w:rPr>
          <w:i/>
        </w:rPr>
        <w:t>Experiential Learning: Experience as the Source of Learning and Development</w:t>
      </w:r>
      <w:r>
        <w:t>, 2nd ed. Upper Saddle River, NJ, USA: Pearson Education, 2015.</w:t>
      </w:r>
    </w:p>
    <w:p>
      <w:r>
        <w:t xml:space="preserve">[5] A. Y. Kolb and D. A. Kolb, "Learning styles and learning spaces: Enhancing experiential learning in higher education," </w:t>
      </w:r>
      <w:r>
        <w:rPr>
          <w:i/>
        </w:rPr>
        <w:t>Academy of Management Learning &amp; Education</w:t>
      </w:r>
      <w:r>
        <w:t>, vol. 4, no. 2, pp. 193–212, Jun. 2005. [Online]. Available: https://doi.org/10.5465/amle.2005.17268566</w:t>
      </w:r>
    </w:p>
    <w:p>
      <w:r>
        <w:t>[6] Council of Canadian Academies, "Some Assembly Required: STEM Skills and Canada's Economic Productivity," Ottawa, ON, Canada, 2015. [Online]. Available: https://cca-reports.ca/reports/some-assembly-required-stem-skills-and-canadas-economic-productivity/</w:t>
      </w:r>
    </w:p>
    <w:p>
      <w:r>
        <w:t xml:space="preserve">[7] N. S. Hein, "The role of makerspaces in municipal libraries: A critical review," </w:t>
      </w:r>
      <w:r>
        <w:rPr>
          <w:i/>
        </w:rPr>
        <w:t>Public Library Quarterly</w:t>
      </w:r>
      <w:r>
        <w:t>, vol. 39, no. 4, pp. 319–337, 2020. [Online]. Available: https://doi.org/10.1080/01616846.2020.1747842</w:t>
      </w:r>
    </w:p>
    <w:p>
      <w:r>
        <w:t xml:space="preserve">[8] D. Oblinger, Ed., </w:t>
      </w:r>
      <w:r>
        <w:rPr>
          <w:i/>
        </w:rPr>
        <w:t>Learning Spaces</w:t>
      </w:r>
      <w:r>
        <w:t>. Boulder, CO, USA: EDUCAUSE, 2006. [Online]. Available: https://library.educause.edu/resources/2006/1/learning-spaces</w:t>
      </w:r>
    </w:p>
    <w:p>
      <w:r>
        <w:t xml:space="preserve">[9] National Research Council, </w:t>
      </w:r>
      <w:r>
        <w:rPr>
          <w:i/>
        </w:rPr>
        <w:t>Identifying and Supporting Productive STEM Programs in Out-of-School Settings</w:t>
      </w:r>
      <w:r>
        <w:t>. Washington, DC, USA: The National Academies Press, 2015. [Online]. Available: https://nap.nationalacademies.org/catalog/21740/identifying-and-supporting-productive-stem-programs-in-out-of-school-settings</w:t>
      </w:r>
    </w:p>
    <w:p>
      <w:r>
        <w:t xml:space="preserve">[10] J. Lave and E. Wenger, </w:t>
      </w:r>
      <w:r>
        <w:rPr>
          <w:i/>
        </w:rPr>
        <w:t>Situated Learning: Legitimate Peripheral Participation</w:t>
      </w:r>
      <w:r>
        <w:t>. Cambridge, UK: Cambridge University Press, 1991.</w:t>
      </w:r>
    </w:p>
    <w:p>
      <w:r>
        <w:t>[11] WorkSafeBC, "Education health and safety guidelines," Workers' Compensation Board of British Columbia, Richmond, BC, Canada, 2024. [Online]. Available: https://www.worksafebc.com/en/health-safety/industries/education</w:t>
      </w:r>
    </w:p>
    <w:p>
      <w:r>
        <w:t xml:space="preserve">[12] </w:t>
      </w:r>
      <w:r>
        <w:rPr>
          <w:i/>
        </w:rPr>
        <w:t>Canada Not-for-profit Corporations Act</w:t>
      </w:r>
      <w:r>
        <w:t>, S.C. 2009, c. 23. Government of Canada, Ottawa, ON, Canada, 2009. [Online]. Available: https://laws-lois.justice.gc.ca/eng/acts/c-1.7/</w:t>
      </w:r>
    </w:p>
    <w:p>
      <w:r>
        <w:t>[13] British Columbia Ministry of Education, "Applied design, skills, and technologies curriculum," Government of British Columbia, Victoria, BC, Canada, 2024. [Online]. Available: https://curriculum.gov.bc.ca/curriculum/adst</w:t>
      </w:r>
    </w:p>
    <w:p>
      <w:r>
        <w:t>[14] Imagine Canada, "Sector Monitor and Research," Ottawa, ON, Canada, 2024. [Online]. Available: https://www.imaginecanada.ca/en/research</w:t>
      </w:r>
    </w:p>
    <w:p>
      <w:r>
        <w:t>[15] Innovation, Science and Economic Development Canada, "SME Research and Statistics," Government of Canada, Ottawa, ON, Canada, 2023. [Online]. Available: https://ised-isde.canada.ca/site/sme-research-statistics/en</w:t>
      </w:r>
    </w:p>
    <w:p>
      <w:r>
        <w:br w:type="page"/>
      </w:r>
    </w:p>
    <w:p>
      <w:pPr>
        <w:pStyle w:val="Heading2"/>
      </w:pPr>
      <w:r>
        <w:t>Appendices</w:t>
      </w:r>
    </w:p>
    <w:p>
      <w:pPr>
        <w:pStyle w:val="Heading3"/>
      </w:pPr>
      <w:r>
        <w:t>Appendix A: Equipment Requirements by Discipline</w:t>
      </w:r>
    </w:p>
    <w:p>
      <w:r>
        <w:t>The table below supplements Table 2 with representative learning activities and key safety considerations for each discipline. Full equipment specifications will be finalized during the Build-Out phase (see Appendix B).</w:t>
      </w:r>
    </w:p>
    <w:tbl>
      <w:tblPr>
        <w:tblStyle w:val="TableGrid"/>
        <w:tblW w:type="auto" w:w="0"/>
        <w:tblLook w:firstColumn="1" w:firstRow="1" w:lastColumn="0" w:lastRow="0" w:noHBand="0" w:noVBand="1" w:val="04A0"/>
      </w:tblPr>
      <w:tblGrid>
        <w:gridCol w:w="2880"/>
        <w:gridCol w:w="2880"/>
        <w:gridCol w:w="2880"/>
      </w:tblGrid>
      <w:tr>
        <w:tc>
          <w:tcPr>
            <w:tcW w:type="dxa" w:w="2880"/>
          </w:tcPr>
          <w:p>
            <w:r>
              <w:t>Discipline</w:t>
            </w:r>
          </w:p>
        </w:tc>
        <w:tc>
          <w:tcPr>
            <w:tcW w:type="dxa" w:w="2880"/>
          </w:tcPr>
          <w:p>
            <w:r>
              <w:t>Sample Activities</w:t>
            </w:r>
          </w:p>
        </w:tc>
        <w:tc>
          <w:tcPr>
            <w:tcW w:type="dxa" w:w="2880"/>
          </w:tcPr>
          <w:p>
            <w:r>
              <w:t>Key Safety Considerations</w:t>
            </w:r>
          </w:p>
        </w:tc>
      </w:tr>
      <w:tr>
        <w:tc>
          <w:tcPr>
            <w:tcW w:type="dxa" w:w="2880"/>
          </w:tcPr>
          <w:p>
            <w:r>
              <w:t>Chemistry</w:t>
            </w:r>
          </w:p>
        </w:tc>
        <w:tc>
          <w:tcPr>
            <w:tcW w:type="dxa" w:w="2880"/>
          </w:tcPr>
          <w:p>
            <w:r>
              <w:t>Titrations, crystallization, flame tests, polymer synthesis</w:t>
            </w:r>
          </w:p>
        </w:tc>
        <w:tc>
          <w:tcPr>
            <w:tcW w:type="dxa" w:w="2880"/>
          </w:tcPr>
          <w:p>
            <w:r>
              <w:t>Fume hoods, WHMIS-compliant storage, eyewash stations, spill kits</w:t>
            </w:r>
          </w:p>
        </w:tc>
      </w:tr>
      <w:tr>
        <w:tc>
          <w:tcPr>
            <w:tcW w:type="dxa" w:w="2880"/>
          </w:tcPr>
          <w:p>
            <w:r>
              <w:t>Physics</w:t>
            </w:r>
          </w:p>
        </w:tc>
        <w:tc>
          <w:tcPr>
            <w:tcW w:type="dxa" w:w="2880"/>
          </w:tcPr>
          <w:p>
            <w:r>
              <w:t>Lenz's Law demonstrations, motor construction, speed of sound measurement</w:t>
            </w:r>
          </w:p>
        </w:tc>
        <w:tc>
          <w:tcPr>
            <w:tcW w:type="dxa" w:w="2880"/>
          </w:tcPr>
          <w:p>
            <w:r>
              <w:t>Class II laser safety, electrical grounding, magnetic shielding</w:t>
            </w:r>
          </w:p>
        </w:tc>
      </w:tr>
      <w:tr>
        <w:tc>
          <w:tcPr>
            <w:tcW w:type="dxa" w:w="2880"/>
          </w:tcPr>
          <w:p>
            <w:r>
              <w:t>Mathematics</w:t>
            </w:r>
          </w:p>
        </w:tc>
        <w:tc>
          <w:tcPr>
            <w:tcW w:type="dxa" w:w="2880"/>
          </w:tcPr>
          <w:p>
            <w:r>
              <w:t>Fractal art, statistical analysis, algorithm coding, surveying</w:t>
            </w:r>
          </w:p>
        </w:tc>
        <w:tc>
          <w:tcPr>
            <w:tcW w:type="dxa" w:w="2880"/>
          </w:tcPr>
          <w:p>
            <w:r>
              <w:t>Standard workstation ergonomics</w:t>
            </w:r>
          </w:p>
        </w:tc>
      </w:tr>
      <w:tr>
        <w:tc>
          <w:tcPr>
            <w:tcW w:type="dxa" w:w="2880"/>
          </w:tcPr>
          <w:p>
            <w:r>
              <w:t>Biology</w:t>
            </w:r>
          </w:p>
        </w:tc>
        <w:tc>
          <w:tcPr>
            <w:tcW w:type="dxa" w:w="2880"/>
          </w:tcPr>
          <w:p>
            <w:r>
              <w:t>Cell observation, bacterial cultures, DNA extraction, bioinformatics</w:t>
            </w:r>
          </w:p>
        </w:tc>
        <w:tc>
          <w:tcPr>
            <w:tcW w:type="dxa" w:w="2880"/>
          </w:tcPr>
          <w:p>
            <w:r>
              <w:t>Refrigerated storage, biosafety protocols, sharps disposal</w:t>
            </w:r>
          </w:p>
        </w:tc>
      </w:tr>
      <w:tr>
        <w:tc>
          <w:tcPr>
            <w:tcW w:type="dxa" w:w="2880"/>
          </w:tcPr>
          <w:p>
            <w:r>
              <w:t>Finance</w:t>
            </w:r>
          </w:p>
        </w:tc>
        <w:tc>
          <w:tcPr>
            <w:tcW w:type="dxa" w:w="2880"/>
          </w:tcPr>
          <w:p>
            <w:r>
              <w:t>Personal budgeting, stock portfolios, financial statement analysis</w:t>
            </w:r>
          </w:p>
        </w:tc>
        <w:tc>
          <w:tcPr>
            <w:tcW w:type="dxa" w:w="2880"/>
          </w:tcPr>
          <w:p>
            <w:r>
              <w:t>Standard workstation ergonomics</w:t>
            </w:r>
          </w:p>
        </w:tc>
      </w:tr>
      <w:tr>
        <w:tc>
          <w:tcPr>
            <w:tcW w:type="dxa" w:w="2880"/>
          </w:tcPr>
          <w:p>
            <w:r>
              <w:t>Computer Science</w:t>
            </w:r>
          </w:p>
        </w:tc>
        <w:tc>
          <w:tcPr>
            <w:tcW w:type="dxa" w:w="2880"/>
          </w:tcPr>
          <w:p>
            <w:r>
              <w:t>Python/C++ programming, web development, cybersecurity, game design</w:t>
            </w:r>
          </w:p>
        </w:tc>
        <w:tc>
          <w:tcPr>
            <w:tcW w:type="dxa" w:w="2880"/>
          </w:tcPr>
          <w:p>
            <w:r>
              <w:t>Electrical safety, data security protocols</w:t>
            </w:r>
          </w:p>
        </w:tc>
      </w:tr>
      <w:tr>
        <w:tc>
          <w:tcPr>
            <w:tcW w:type="dxa" w:w="2880"/>
          </w:tcPr>
          <w:p>
            <w:r>
              <w:t>Statistics</w:t>
            </w:r>
          </w:p>
        </w:tc>
        <w:tc>
          <w:tcPr>
            <w:tcW w:type="dxa" w:w="2880"/>
          </w:tcPr>
          <w:p>
            <w:r>
              <w:t>Survey design, regression modeling, Bayesian reasoning</w:t>
            </w:r>
          </w:p>
        </w:tc>
        <w:tc>
          <w:tcPr>
            <w:tcW w:type="dxa" w:w="2880"/>
          </w:tcPr>
          <w:p>
            <w:r>
              <w:t>Standard workstation ergonomics</w:t>
            </w:r>
          </w:p>
        </w:tc>
      </w:tr>
      <w:tr>
        <w:tc>
          <w:tcPr>
            <w:tcW w:type="dxa" w:w="2880"/>
          </w:tcPr>
          <w:p>
            <w:r>
              <w:t>Engineering</w:t>
            </w:r>
          </w:p>
        </w:tc>
        <w:tc>
          <w:tcPr>
            <w:tcW w:type="dxa" w:w="2880"/>
          </w:tcPr>
          <w:p>
            <w:r>
              <w:t>Bridge load-testing, PCB fabrication, 3D printing, reverse-engineering</w:t>
            </w:r>
          </w:p>
        </w:tc>
        <w:tc>
          <w:tcPr>
            <w:tcW w:type="dxa" w:w="2880"/>
          </w:tcPr>
          <w:p>
            <w:r>
              <w:t>Machine guarding, hearing protection, dust collection</w:t>
            </w:r>
          </w:p>
        </w:tc>
      </w:tr>
      <w:tr>
        <w:tc>
          <w:tcPr>
            <w:tcW w:type="dxa" w:w="2880"/>
          </w:tcPr>
          <w:p>
            <w:r>
              <w:t>Robotics</w:t>
            </w:r>
          </w:p>
        </w:tc>
        <w:tc>
          <w:tcPr>
            <w:tcW w:type="dxa" w:w="2880"/>
          </w:tcPr>
          <w:p>
            <w:r>
              <w:t>Line-following robots, maze solvers, robotic arms, Sumo challenges</w:t>
            </w:r>
          </w:p>
        </w:tc>
        <w:tc>
          <w:tcPr>
            <w:tcW w:type="dxa" w:w="2880"/>
          </w:tcPr>
          <w:p>
            <w:r>
              <w:t>Battery handling, soldering ventilation</w:t>
            </w:r>
          </w:p>
        </w:tc>
      </w:tr>
      <w:tr>
        <w:tc>
          <w:tcPr>
            <w:tcW w:type="dxa" w:w="2880"/>
          </w:tcPr>
          <w:p>
            <w:r>
              <w:t>Manufacturing</w:t>
            </w:r>
          </w:p>
        </w:tc>
        <w:tc>
          <w:tcPr>
            <w:tcW w:type="dxa" w:w="2880"/>
          </w:tcPr>
          <w:p>
            <w:r>
              <w:t>Machining from drawings, additive manufacturing, quality control</w:t>
            </w:r>
          </w:p>
        </w:tc>
        <w:tc>
          <w:tcPr>
            <w:tcW w:type="dxa" w:w="2880"/>
          </w:tcPr>
          <w:p>
            <w:r>
              <w:t>Face shields, hearing protection, machine lockout/tagout</w:t>
            </w:r>
          </w:p>
        </w:tc>
      </w:tr>
      <w:tr>
        <w:tc>
          <w:tcPr>
            <w:tcW w:type="dxa" w:w="2880"/>
          </w:tcPr>
          <w:p>
            <w:r>
              <w:t>Material Engineering</w:t>
            </w:r>
          </w:p>
        </w:tc>
        <w:tc>
          <w:tcPr>
            <w:tcW w:type="dxa" w:w="2880"/>
          </w:tcPr>
          <w:p>
            <w:r>
              <w:t>Tensile testing, grain structure analysis, composite layups</w:t>
            </w:r>
          </w:p>
        </w:tc>
        <w:tc>
          <w:tcPr>
            <w:tcW w:type="dxa" w:w="2880"/>
          </w:tcPr>
          <w:p>
            <w:r>
              <w:t>Heat treatment safety, chemical handling</w:t>
            </w:r>
          </w:p>
        </w:tc>
      </w:tr>
      <w:tr>
        <w:tc>
          <w:tcPr>
            <w:tcW w:type="dxa" w:w="2880"/>
          </w:tcPr>
          <w:p>
            <w:r>
              <w:t>Architecture</w:t>
            </w:r>
          </w:p>
        </w:tc>
        <w:tc>
          <w:tcPr>
            <w:tcW w:type="dxa" w:w="2880"/>
          </w:tcPr>
          <w:p>
            <w:r>
              <w:t>Tiny house design, scaled models, urban planning, load analysis</w:t>
            </w:r>
          </w:p>
        </w:tc>
        <w:tc>
          <w:tcPr>
            <w:tcW w:type="dxa" w:w="2880"/>
          </w:tcPr>
          <w:p>
            <w:r>
              <w:t>Hot wire cutter safety, laser cutter protocols</w:t>
            </w:r>
          </w:p>
        </w:tc>
      </w:tr>
      <w:tr>
        <w:tc>
          <w:tcPr>
            <w:tcW w:type="dxa" w:w="2880"/>
          </w:tcPr>
          <w:p>
            <w:r>
              <w:t>Art &amp; Design</w:t>
            </w:r>
          </w:p>
        </w:tc>
        <w:tc>
          <w:tcPr>
            <w:tcW w:type="dxa" w:w="2880"/>
          </w:tcPr>
          <w:p>
            <w:r>
              <w:t>Digital illustration, 3D modeling, screen printing, mural design</w:t>
            </w:r>
          </w:p>
        </w:tc>
        <w:tc>
          <w:tcPr>
            <w:tcW w:type="dxa" w:w="2880"/>
          </w:tcPr>
          <w:p>
            <w:r>
              <w:t>Ventilation for print chemicals, ergonomic workstations</w:t>
            </w:r>
          </w:p>
        </w:tc>
      </w:tr>
      <w:tr>
        <w:tc>
          <w:tcPr>
            <w:tcW w:type="dxa" w:w="2880"/>
          </w:tcPr>
          <w:p>
            <w:r>
              <w:t>Environmental Science</w:t>
            </w:r>
          </w:p>
        </w:tc>
        <w:tc>
          <w:tcPr>
            <w:tcW w:type="dxa" w:w="2880"/>
          </w:tcPr>
          <w:p>
            <w:r>
              <w:t>Water/soil/air testing, solar device construction, sustainability planning</w:t>
            </w:r>
          </w:p>
        </w:tc>
        <w:tc>
          <w:tcPr>
            <w:tcW w:type="dxa" w:w="2880"/>
          </w:tcPr>
          <w:p>
            <w:r>
              <w:t>Field safety protocols, chemical handling</w:t>
            </w:r>
          </w:p>
        </w:tc>
      </w:tr>
      <w:tr>
        <w:tc>
          <w:tcPr>
            <w:tcW w:type="dxa" w:w="2880"/>
          </w:tcPr>
          <w:p>
            <w:r>
              <w:t>Health &amp; Wellness</w:t>
            </w:r>
          </w:p>
        </w:tc>
        <w:tc>
          <w:tcPr>
            <w:tcW w:type="dxa" w:w="2880"/>
          </w:tcPr>
          <w:p>
            <w:r>
              <w:t>First aid/CPR certification, mindfulness, nutrition education</w:t>
            </w:r>
          </w:p>
        </w:tc>
        <w:tc>
          <w:tcPr>
            <w:tcW w:type="dxa" w:w="2880"/>
          </w:tcPr>
          <w:p>
            <w:r>
              <w:t>Standard first aid safety</w:t>
            </w:r>
          </w:p>
        </w:tc>
      </w:tr>
    </w:tbl>
    <w:p>
      <w:pPr>
        <w:pStyle w:val="Heading3"/>
      </w:pPr>
      <w:r>
        <w:t>Appendix B: Implementation Timeline</w:t>
      </w:r>
    </w:p>
    <w:tbl>
      <w:tblPr>
        <w:tblStyle w:val="TableGrid"/>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Timeline</w:t>
            </w:r>
          </w:p>
        </w:tc>
        <w:tc>
          <w:tcPr>
            <w:tcW w:type="dxa" w:w="2880"/>
          </w:tcPr>
          <w:p>
            <w:r>
              <w:t>Key Activities</w:t>
            </w:r>
          </w:p>
        </w:tc>
      </w:tr>
      <w:tr>
        <w:tc>
          <w:tcPr>
            <w:tcW w:type="dxa" w:w="2880"/>
          </w:tcPr>
          <w:p>
            <w:r>
              <w:t>Phase 1: Foundation</w:t>
            </w:r>
          </w:p>
        </w:tc>
        <w:tc>
          <w:tcPr>
            <w:tcW w:type="dxa" w:w="2880"/>
          </w:tcPr>
          <w:p>
            <w:r>
              <w:t>Months 1–3</w:t>
            </w:r>
          </w:p>
        </w:tc>
        <w:tc>
          <w:tcPr>
            <w:tcW w:type="dxa" w:w="2880"/>
          </w:tcPr>
          <w:p>
            <w:r>
              <w:t>Incorporate nonprofit; recruit board; secure seed/grant funding; finalize facility partnership; begin equipment sourcing</w:t>
            </w:r>
          </w:p>
        </w:tc>
      </w:tr>
      <w:tr>
        <w:tc>
          <w:tcPr>
            <w:tcW w:type="dxa" w:w="2880"/>
          </w:tcPr>
          <w:p>
            <w:r>
              <w:t>Phase 2: Build-Out</w:t>
            </w:r>
          </w:p>
        </w:tc>
        <w:tc>
          <w:tcPr>
            <w:tcW w:type="dxa" w:w="2880"/>
          </w:tcPr>
          <w:p>
            <w:r>
              <w:t>Months 4–6</w:t>
            </w:r>
          </w:p>
        </w:tc>
        <w:tc>
          <w:tcPr>
            <w:tcW w:type="dxa" w:w="2880"/>
          </w:tcPr>
          <w:p>
            <w:r>
              <w:t>Facility renovation and zone setup; equipment installation and safety certification; hire program director and lab supervisors; develop programming schedule</w:t>
            </w:r>
          </w:p>
        </w:tc>
      </w:tr>
      <w:tr>
        <w:tc>
          <w:tcPr>
            <w:tcW w:type="dxa" w:w="2880"/>
          </w:tcPr>
          <w:p>
            <w:r>
              <w:t>Phase 3: Soft Launch</w:t>
            </w:r>
          </w:p>
        </w:tc>
        <w:tc>
          <w:tcPr>
            <w:tcW w:type="dxa" w:w="2880"/>
          </w:tcPr>
          <w:p>
            <w:r>
              <w:t>Months 7–9</w:t>
            </w:r>
          </w:p>
        </w:tc>
        <w:tc>
          <w:tcPr>
            <w:tcW w:type="dxa" w:w="2880"/>
          </w:tcPr>
          <w:p>
            <w:r>
              <w:t>Open to founding members at reduced capacity; pilot workshops; collect feedback; train volunteer cohort</w:t>
            </w:r>
          </w:p>
        </w:tc>
      </w:tr>
      <w:tr>
        <w:tc>
          <w:tcPr>
            <w:tcW w:type="dxa" w:w="2880"/>
          </w:tcPr>
          <w:p>
            <w:r>
              <w:t>Phase 4: Full Launch</w:t>
            </w:r>
          </w:p>
        </w:tc>
        <w:tc>
          <w:tcPr>
            <w:tcW w:type="dxa" w:w="2880"/>
          </w:tcPr>
          <w:p>
            <w:r>
              <w:t>Months 10–12</w:t>
            </w:r>
          </w:p>
        </w:tc>
        <w:tc>
          <w:tcPr>
            <w:tcW w:type="dxa" w:w="2880"/>
          </w:tcPr>
          <w:p>
            <w:r>
              <w:t>Open to public; full programming schedule; first fundraiser event; corporate sponsorship outreach; first quarterly impact report</w:t>
            </w:r>
          </w:p>
        </w:tc>
      </w:tr>
      <w:tr>
        <w:tc>
          <w:tcPr>
            <w:tcW w:type="dxa" w:w="2880"/>
          </w:tcPr>
          <w:p>
            <w:r>
              <w:t>Phase 5: Growth</w:t>
            </w:r>
          </w:p>
        </w:tc>
        <w:tc>
          <w:tcPr>
            <w:tcW w:type="dxa" w:w="2880"/>
          </w:tcPr>
          <w:p>
            <w:r>
              <w:t>Year 2–3</w:t>
            </w:r>
          </w:p>
        </w:tc>
        <w:tc>
          <w:tcPr>
            <w:tcW w:type="dxa" w:w="2880"/>
          </w:tcPr>
          <w:p>
            <w:r>
              <w:t>Expand programming scope and frequency; increase staffing; deepen partnerships; pursue additional grants; target self-sufficiency by end of Year 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