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before="240" w:after="240" w:line="276" w:lineRule="auto"/>
        <w:jc w:val="center"/>
      </w:pPr>
      <w:r>
        <w:rPr>
          <w:rFonts w:ascii="Times New Roman" w:hAnsi="Times New Roman" w:eastAsia="Times New Roman" w:cs="Times New Roman"/>
          <w:b/>
          <w:sz w:val="32"/>
        </w:rPr>
        <w:t>LETTER OF TRANSMITTAL</w:t>
      </w:r>
    </w:p>
    <w:p>
      <w:pPr>
        <w:spacing w:before="40" w:after="40" w:line="276" w:lineRule="auto"/>
      </w:pPr>
      <w:r>
        <w:rPr>
          <w:rFonts w:ascii="Times New Roman" w:hAnsi="Times New Roman" w:eastAsia="Times New Roman" w:cs="Times New Roman"/>
          <w:sz w:val="24"/>
        </w:rPr>
        <w:t>TO: Jasmine North, Department of English, Camosun College</w:t>
        <w:br/>
        <w:t>FROM: Cameron Kibble, Founder, Crossroads Community Hub</w:t>
        <w:br/>
        <w:t>DATE: March 10, 2026</w:t>
        <w:br/>
        <w:t>RE: Proposal to Establish Crossroads Community STEM Centre in Langford, British Columbia</w:t>
      </w:r>
    </w:p>
    <w:p>
      <w:pPr>
        <w:spacing w:before="40" w:after="40" w:line="276" w:lineRule="auto"/>
      </w:pPr>
      <w:r>
        <w:rPr>
          <w:rFonts w:ascii="Times New Roman" w:hAnsi="Times New Roman" w:eastAsia="Times New Roman" w:cs="Times New Roman"/>
          <w:sz w:val="24"/>
        </w:rPr>
        <w:t>Dear Professor North,</w:t>
      </w:r>
    </w:p>
    <w:p>
      <w:pPr>
        <w:spacing w:before="40" w:after="40" w:line="276" w:lineRule="auto"/>
      </w:pPr>
      <w:r>
        <w:rPr>
          <w:rFonts w:ascii="Times New Roman" w:hAnsi="Times New Roman" w:eastAsia="Times New Roman" w:cs="Times New Roman"/>
          <w:sz w:val="24"/>
        </w:rPr>
        <w:t>Langford, British Columbia, has a population of 46,584 and a 5.0 percent year-over-year growth rate, making it one of Canada’s fastest-growing municipalities [2]. Despite this growth, the region lacks a centralized, open-access facility where residents can develop practical STEM skills outside of formal post-secondary enrollment. The enclosed proposal outlines a plan to establish the Crossroads Community STEM Centre, a nonprofit learning hub offering drop-in programming in four core disciplines: Robotics and Electronics, Digital Fabrication, Software Development, and Creative Design. The project requires a first-year investment of $359,950 to $577,300, supported by diversified revenue and institutional partnerships with Camosun College and the University of Victoria. I respectfully request your review and approval to advance this project to the funding acquisition phase.</w:t>
      </w:r>
    </w:p>
    <w:p>
      <w:pPr>
        <w:spacing w:before="40" w:after="40" w:line="276" w:lineRule="auto"/>
      </w:pPr>
      <w:r>
        <w:rPr>
          <w:rFonts w:ascii="Times New Roman" w:hAnsi="Times New Roman" w:eastAsia="Times New Roman" w:cs="Times New Roman"/>
          <w:sz w:val="24"/>
        </w:rPr>
        <w:t>Sincerely,</w:t>
      </w:r>
    </w:p>
    <w:p>
      <w:pPr>
        <w:spacing w:before="40" w:after="40" w:line="276" w:lineRule="auto"/>
      </w:pPr>
      <w:r>
        <w:rPr>
          <w:rFonts w:ascii="Times New Roman" w:hAnsi="Times New Roman" w:eastAsia="Times New Roman" w:cs="Times New Roman"/>
          <w:sz w:val="24"/>
        </w:rPr>
        <w:t>Cameron Kibble</w:t>
        <w:br/>
        <w:t>Founder, Crossroads Community Hub</w:t>
        <w:br/>
        <w:t>3100 Foul Bay Road, Victoria, BC V8P 5J2</w:t>
        <w:br/>
        <w:t>Email: crossroads.learninghub.mail@gmail.com</w:t>
      </w:r>
    </w:p>
    <w:p>
      <w:r>
        <w:br w:type="page"/>
      </w:r>
    </w:p>
    <w:p>
      <w:pPr>
        <w:spacing w:after="0" w:before="0"/>
      </w:pPr>
    </w:p>
    <w:p>
      <w:pPr>
        <w:spacing w:after="0" w:before="0"/>
      </w:pPr>
    </w:p>
    <w:p>
      <w:pPr>
        <w:spacing w:after="0" w:before="0"/>
      </w:pPr>
    </w:p>
    <w:p>
      <w:pPr>
        <w:spacing w:after="0" w:before="0"/>
      </w:pPr>
    </w:p>
    <w:p>
      <w:pPr>
        <w:spacing w:after="0" w:before="0"/>
      </w:pPr>
    </w:p>
    <w:p>
      <w:pPr>
        <w:spacing w:after="0" w:before="0"/>
      </w:pPr>
    </w:p>
    <w:p>
      <w:pPr>
        <w:spacing w:before="0" w:after="480" w:line="276" w:lineRule="auto"/>
        <w:jc w:val="center"/>
      </w:pPr>
      <w:r>
        <w:rPr>
          <w:rFonts w:ascii="Times New Roman" w:hAnsi="Times New Roman" w:eastAsia="Times New Roman" w:cs="Times New Roman"/>
          <w:b/>
          <w:sz w:val="44"/>
        </w:rPr>
        <w:t>PROJECT PROPOSAL: CROSSROADS COMMUNITY STEM CENTRE</w:t>
      </w:r>
    </w:p>
    <w:p>
      <w:pPr>
        <w:spacing w:before="80" w:after="80" w:line="276" w:lineRule="auto"/>
        <w:jc w:val="center"/>
      </w:pPr>
      <w:r>
        <w:rPr>
          <w:rFonts w:ascii="Times New Roman" w:hAnsi="Times New Roman" w:eastAsia="Times New Roman" w:cs="Times New Roman"/>
          <w:sz w:val="24"/>
        </w:rPr>
        <w:t>A Proposal to Establish an Accessible STEM Learning Hub in Langford, BC</w:t>
      </w:r>
    </w:p>
    <w:p>
      <w:pPr>
        <w:spacing w:before="80" w:after="80" w:line="276" w:lineRule="auto"/>
        <w:jc w:val="center"/>
      </w:pPr>
      <w:r>
        <w:rPr>
          <w:rFonts w:ascii="Times New Roman" w:hAnsi="Times New Roman" w:eastAsia="Times New Roman" w:cs="Times New Roman"/>
          <w:sz w:val="24"/>
        </w:rPr>
        <w:t>Prepared for:</w:t>
      </w:r>
    </w:p>
    <w:p>
      <w:pPr>
        <w:spacing w:before="80" w:after="80" w:line="276" w:lineRule="auto"/>
        <w:jc w:val="center"/>
      </w:pPr>
      <w:r>
        <w:rPr>
          <w:rFonts w:ascii="Times New Roman" w:hAnsi="Times New Roman" w:eastAsia="Times New Roman" w:cs="Times New Roman"/>
          <w:sz w:val="24"/>
        </w:rPr>
        <w:t>Jasmine North</w:t>
      </w:r>
    </w:p>
    <w:p>
      <w:pPr>
        <w:spacing w:before="80" w:after="80" w:line="276" w:lineRule="auto"/>
        <w:jc w:val="center"/>
      </w:pPr>
      <w:r>
        <w:rPr>
          <w:rFonts w:ascii="Times New Roman" w:hAnsi="Times New Roman" w:eastAsia="Times New Roman" w:cs="Times New Roman"/>
          <w:sz w:val="24"/>
        </w:rPr>
        <w:t>Department of English, Camosun College</w:t>
      </w:r>
    </w:p>
    <w:p>
      <w:pPr>
        <w:spacing w:before="80" w:after="80" w:line="276" w:lineRule="auto"/>
        <w:jc w:val="center"/>
      </w:pPr>
      <w:r>
        <w:rPr>
          <w:rFonts w:ascii="Times New Roman" w:hAnsi="Times New Roman" w:eastAsia="Times New Roman" w:cs="Times New Roman"/>
          <w:sz w:val="24"/>
        </w:rPr>
        <w:t>Prepared by:</w:t>
      </w:r>
    </w:p>
    <w:p>
      <w:pPr>
        <w:spacing w:before="80" w:after="80" w:line="276" w:lineRule="auto"/>
        <w:jc w:val="center"/>
      </w:pPr>
      <w:r>
        <w:rPr>
          <w:rFonts w:ascii="Times New Roman" w:hAnsi="Times New Roman" w:eastAsia="Times New Roman" w:cs="Times New Roman"/>
          <w:sz w:val="24"/>
        </w:rPr>
        <w:t>Cameron Kibble</w:t>
      </w:r>
    </w:p>
    <w:p>
      <w:pPr>
        <w:spacing w:before="80" w:after="80" w:line="276" w:lineRule="auto"/>
        <w:jc w:val="center"/>
      </w:pPr>
      <w:r>
        <w:rPr>
          <w:rFonts w:ascii="Times New Roman" w:hAnsi="Times New Roman" w:eastAsia="Times New Roman" w:cs="Times New Roman"/>
          <w:sz w:val="24"/>
        </w:rPr>
        <w:t>Founder, Crossroads Community Hub</w:t>
      </w:r>
    </w:p>
    <w:p>
      <w:pPr>
        <w:spacing w:before="80" w:after="80" w:line="276" w:lineRule="auto"/>
        <w:jc w:val="center"/>
      </w:pPr>
      <w:r>
        <w:rPr>
          <w:rFonts w:ascii="Times New Roman" w:hAnsi="Times New Roman" w:eastAsia="Times New Roman" w:cs="Times New Roman"/>
          <w:sz w:val="24"/>
        </w:rPr>
        <w:t>3100 Foul Bay Road, Victoria, BC V8P 5J2, Canada</w:t>
      </w:r>
    </w:p>
    <w:p>
      <w:pPr>
        <w:spacing w:before="80" w:after="80" w:line="276" w:lineRule="auto"/>
        <w:jc w:val="center"/>
      </w:pPr>
      <w:r>
        <w:rPr>
          <w:rFonts w:ascii="Times New Roman" w:hAnsi="Times New Roman" w:eastAsia="Times New Roman" w:cs="Times New Roman"/>
          <w:sz w:val="24"/>
        </w:rPr>
        <w:t>Date of Submission:</w:t>
      </w:r>
    </w:p>
    <w:p>
      <w:pPr>
        <w:spacing w:before="80" w:after="80" w:line="276" w:lineRule="auto"/>
        <w:jc w:val="center"/>
      </w:pPr>
      <w:r>
        <w:rPr>
          <w:rFonts w:ascii="Times New Roman" w:hAnsi="Times New Roman" w:eastAsia="Times New Roman" w:cs="Times New Roman"/>
          <w:sz w:val="24"/>
        </w:rPr>
        <w:t>March 11, 2026</w:t>
      </w:r>
    </w:p>
    <w:p>
      <w:pPr>
        <w:spacing w:before="80" w:after="80" w:line="276" w:lineRule="auto"/>
        <w:jc w:val="center"/>
      </w:pPr>
      <w:r>
        <w:rPr>
          <w:rFonts w:ascii="Times New Roman" w:hAnsi="Times New Roman" w:eastAsia="Times New Roman" w:cs="Times New Roman"/>
          <w:sz w:val="24"/>
        </w:rPr>
        <w:t>Signatures of Approval:</w:t>
      </w:r>
    </w:p>
    <w:p>
      <w:pPr>
        <w:spacing w:before="80" w:after="80" w:line="276" w:lineRule="auto"/>
        <w:jc w:val="center"/>
      </w:pPr>
      <w:r>
        <w:rPr>
          <w:rFonts w:ascii="Times New Roman" w:hAnsi="Times New Roman" w:eastAsia="Times New Roman" w:cs="Times New Roman"/>
          <w:sz w:val="24"/>
        </w:rPr>
        <w:t>Cameron Kibble, Founder</w:t>
      </w:r>
    </w:p>
    <w:p>
      <w:pPr>
        <w:spacing w:before="80" w:after="80" w:line="276" w:lineRule="auto"/>
        <w:jc w:val="center"/>
      </w:pPr>
      <w:r>
        <w:rPr>
          <w:rFonts w:ascii="Times New Roman" w:hAnsi="Times New Roman" w:eastAsia="Times New Roman" w:cs="Times New Roman"/>
          <w:sz w:val="24"/>
        </w:rPr>
        <w:t>John Doe, Board Member / Sponsor</w:t>
      </w:r>
    </w:p>
    <w:p>
      <w:r>
        <w:br w:type="page"/>
      </w:r>
    </w:p>
    <w:p>
      <w:pPr>
        <w:pStyle w:val="Heading2"/>
        <w:jc w:val="left"/>
      </w:pPr>
      <w:r>
        <w:rPr>
          <w:rFonts w:ascii="Times New Roman" w:hAnsi="Times New Roman" w:eastAsia="Times New Roman" w:cs="Times New Roman"/>
          <w:b/>
          <w:sz w:val="28"/>
        </w:rPr>
        <w:t>Executive Summary</w:t>
      </w:r>
    </w:p>
    <w:p>
      <w:pPr>
        <w:spacing w:before="0" w:after="120" w:line="276" w:lineRule="auto"/>
      </w:pPr>
      <w:r>
        <w:rPr>
          <w:rFonts w:ascii="Times New Roman" w:hAnsi="Times New Roman" w:eastAsia="Times New Roman" w:cs="Times New Roman"/>
          <w:sz w:val="24"/>
        </w:rPr>
        <w:t>Langford, British Columbia (population 46,584; 5.0% annual growth), lacks a centralized facility for accessible, hands-on STEM education [2]. While the University of Victoria (approximately 22,000 students) and Camosun College (approximately 19,000 learners) provide institutional lab access, these resources are restricted to enrolled students during designated hours. The Victoria Makerspace, the region’s primary alternative, operates on an application-based membership model with limited hours and a narrow disciplinary focus [16]. Crossroads Community STEM Centre addresses this gap by providing open-access, beginner-friendly programming across four focused disciplines: Robotics and Electronics, Digital Fabrication, Software Development, and Creative Design.</w:t>
      </w:r>
    </w:p>
    <w:p>
      <w:pPr>
        <w:spacing w:before="0" w:after="120" w:line="276" w:lineRule="auto"/>
      </w:pPr>
      <w:r>
        <w:rPr>
          <w:rFonts w:ascii="Times New Roman" w:hAnsi="Times New Roman" w:eastAsia="Times New Roman" w:cs="Times New Roman"/>
          <w:sz w:val="24"/>
        </w:rPr>
        <w:t>The facility will operate on a drop-in model with tiered staffed hours (63 supervised hours per week across seven days) and sliding-scale fees. All participants complete a mandatory 30-minute safety orientation before accessing equipment, satisfying WorkSafeBC requirements [11] while maintaining a low barrier to entry. The organization’s core principle is that the ability to innovate should not be restricted by income, institutional affiliation, or prior experience.</w:t>
      </w:r>
    </w:p>
    <w:p>
      <w:pPr>
        <w:spacing w:before="0" w:after="120" w:line="276" w:lineRule="auto"/>
      </w:pPr>
      <w:r>
        <w:rPr>
          <w:rFonts w:ascii="Times New Roman" w:hAnsi="Times New Roman" w:eastAsia="Times New Roman" w:cs="Times New Roman"/>
          <w:sz w:val="24"/>
        </w:rPr>
        <w:t>The project requires a first-year startup investment of $359,950 (lean, 4,000 sqft) to $577,300 (expanded, 6,000 sqft), indexed to current Langford commercial lease rates of $16 to $22 per square foot net plus Triple Net (NNN) costs. Long-term sustainability is achieved through diversified revenue, with no single funding source exceeding 30 percent of total income, and a projected transition to 55 percent earned revenue by Year 3. A break-even analysis (Table 4) demonstrates the membership and programming targets required to sustain monthly operations. I request your review and approval of this proposal to begin the institutional partnership and funding acquisition phases.</w:t>
      </w:r>
    </w:p>
    <w:p>
      <w:pPr>
        <w:pStyle w:val="Heading2"/>
        <w:jc w:val="left"/>
      </w:pPr>
      <w:r>
        <w:rPr>
          <w:rFonts w:ascii="Times New Roman" w:hAnsi="Times New Roman" w:eastAsia="Times New Roman" w:cs="Times New Roman"/>
          <w:b/>
          <w:sz w:val="28"/>
        </w:rPr>
        <w:t>Table of Contents</w:t>
      </w:r>
    </w:p>
    <w:tbl>
      <w:tblPr>
        <w:tblStyle w:val="TableGrid"/>
        <w:tblW w:type="auto" w:w="0"/>
        <w:jc w:val="center"/>
        <w:tblLook w:firstColumn="1" w:firstRow="1" w:lastColumn="0" w:lastRow="0" w:noHBand="0" w:noVBand="1" w:val="04A0"/>
      </w:tblPr>
      <w:tblGrid>
        <w:gridCol w:w="4680"/>
        <w:gridCol w:w="4680"/>
      </w:tblGrid>
      <w:tr>
        <w:tc>
          <w:tcPr>
            <w:tcW w:type="dxa" w:w="4680"/>
            <w:shd w:fill="2E4057" w:val="clear"/>
          </w:tcPr>
          <w:p>
            <w:r>
              <w:rPr>
                <w:rFonts w:ascii="Times New Roman" w:hAnsi="Times New Roman"/>
                <w:b/>
                <w:color w:val="FFFFFF"/>
                <w:sz w:val="20"/>
              </w:rPr>
            </w:r>
            <w:r>
              <w:rPr>
                <w:rFonts w:ascii="Times New Roman" w:hAnsi="Times New Roman" w:eastAsia="Times New Roman" w:cs="Times New Roman"/>
                <w:b/>
                <w:color w:val="FFFFFF"/>
                <w:sz w:val="20"/>
              </w:rPr>
              <w:t>Section</w:t>
            </w:r>
          </w:p>
        </w:tc>
        <w:tc>
          <w:tcPr>
            <w:tcW w:type="dxa" w:w="4680"/>
            <w:shd w:fill="2E4057" w:val="clear"/>
          </w:tcPr>
          <w:p>
            <w:r>
              <w:rPr>
                <w:rFonts w:ascii="Times New Roman" w:hAnsi="Times New Roman"/>
                <w:b/>
                <w:color w:val="FFFFFF"/>
                <w:sz w:val="20"/>
              </w:rPr>
            </w:r>
            <w:r>
              <w:rPr>
                <w:rFonts w:ascii="Times New Roman" w:hAnsi="Times New Roman" w:eastAsia="Times New Roman" w:cs="Times New Roman"/>
                <w:b/>
                <w:color w:val="FFFFFF"/>
                <w:sz w:val="20"/>
              </w:rPr>
              <w:t>Page</w:t>
            </w:r>
          </w:p>
        </w:tc>
      </w:tr>
      <w:tr>
        <w:tc>
          <w:tcPr>
            <w:tcW w:type="dxa" w:w="4680"/>
          </w:tcPr>
          <w:p>
            <w:r>
              <w:rPr>
                <w:rFonts w:ascii="Times New Roman" w:hAnsi="Times New Roman"/>
                <w:sz w:val="20"/>
              </w:rPr>
            </w:r>
            <w:r>
              <w:rPr>
                <w:rFonts w:ascii="Times New Roman" w:hAnsi="Times New Roman" w:eastAsia="Times New Roman" w:cs="Times New Roman"/>
                <w:sz w:val="20"/>
              </w:rPr>
              <w:t>Executive Summary</w:t>
            </w:r>
          </w:p>
        </w:tc>
        <w:tc>
          <w:tcPr>
            <w:tcW w:type="dxa" w:w="4680"/>
          </w:tcPr>
          <w:p>
            <w:r>
              <w:rPr>
                <w:rFonts w:ascii="Times New Roman" w:hAnsi="Times New Roman"/>
                <w:sz w:val="20"/>
              </w:rPr>
            </w:r>
            <w:r>
              <w:rPr>
                <w:rFonts w:ascii="Times New Roman" w:hAnsi="Times New Roman" w:eastAsia="Times New Roman" w:cs="Times New Roman"/>
                <w:sz w:val="20"/>
              </w:rPr>
              <w:t>3</w:t>
            </w:r>
          </w:p>
        </w:tc>
      </w:tr>
      <w:tr>
        <w:tc>
          <w:tcPr>
            <w:tcW w:type="dxa" w:w="4680"/>
          </w:tcPr>
          <w:p>
            <w:r>
              <w:rPr>
                <w:rFonts w:ascii="Times New Roman" w:hAnsi="Times New Roman"/>
                <w:sz w:val="20"/>
              </w:rPr>
            </w:r>
            <w:r>
              <w:rPr>
                <w:rFonts w:ascii="Times New Roman" w:hAnsi="Times New Roman" w:eastAsia="Times New Roman" w:cs="Times New Roman"/>
                <w:sz w:val="20"/>
              </w:rPr>
              <w:t>1. Background Information and Statement of the Problem</w:t>
            </w:r>
          </w:p>
        </w:tc>
        <w:tc>
          <w:tcPr>
            <w:tcW w:type="dxa" w:w="4680"/>
          </w:tcPr>
          <w:p>
            <w:r>
              <w:rPr>
                <w:rFonts w:ascii="Times New Roman" w:hAnsi="Times New Roman"/>
                <w:sz w:val="20"/>
              </w:rPr>
            </w:r>
            <w:r>
              <w:rPr>
                <w:rFonts w:ascii="Times New Roman" w:hAnsi="Times New Roman" w:eastAsia="Times New Roman" w:cs="Times New Roman"/>
                <w:sz w:val="20"/>
              </w:rPr>
              <w:t>4</w:t>
            </w:r>
          </w:p>
        </w:tc>
      </w:tr>
      <w:tr>
        <w:tc>
          <w:tcPr>
            <w:tcW w:type="dxa" w:w="4680"/>
          </w:tcPr>
          <w:p>
            <w:r>
              <w:rPr>
                <w:rFonts w:ascii="Times New Roman" w:hAnsi="Times New Roman"/>
                <w:sz w:val="20"/>
              </w:rPr>
            </w:r>
            <w:r>
              <w:rPr>
                <w:rFonts w:ascii="Times New Roman" w:hAnsi="Times New Roman" w:eastAsia="Times New Roman" w:cs="Times New Roman"/>
                <w:sz w:val="20"/>
              </w:rPr>
              <w:t>2. Project Detail</w:t>
            </w:r>
          </w:p>
        </w:tc>
        <w:tc>
          <w:tcPr>
            <w:tcW w:type="dxa" w:w="4680"/>
          </w:tcPr>
          <w:p>
            <w:r>
              <w:rPr>
                <w:rFonts w:ascii="Times New Roman" w:hAnsi="Times New Roman"/>
                <w:sz w:val="20"/>
              </w:rPr>
            </w:r>
            <w:r>
              <w:rPr>
                <w:rFonts w:ascii="Times New Roman" w:hAnsi="Times New Roman" w:eastAsia="Times New Roman" w:cs="Times New Roman"/>
                <w:sz w:val="20"/>
              </w:rPr>
              <w:t>5</w:t>
            </w:r>
          </w:p>
        </w:tc>
      </w:tr>
      <w:tr>
        <w:tc>
          <w:tcPr>
            <w:tcW w:type="dxa" w:w="4680"/>
          </w:tcPr>
          <w:p>
            <w:r>
              <w:rPr>
                <w:rFonts w:ascii="Times New Roman" w:hAnsi="Times New Roman"/>
                <w:sz w:val="20"/>
              </w:rPr>
            </w:r>
            <w:r>
              <w:rPr>
                <w:rFonts w:ascii="Times New Roman" w:hAnsi="Times New Roman" w:eastAsia="Times New Roman" w:cs="Times New Roman"/>
                <w:sz w:val="20"/>
              </w:rPr>
              <w:t>– a. Goals and Objectives</w:t>
            </w:r>
          </w:p>
        </w:tc>
        <w:tc>
          <w:tcPr>
            <w:tcW w:type="dxa" w:w="4680"/>
          </w:tcPr>
          <w:p>
            <w:r>
              <w:rPr>
                <w:rFonts w:ascii="Times New Roman" w:hAnsi="Times New Roman"/>
                <w:sz w:val="20"/>
              </w:rPr>
            </w:r>
            <w:r>
              <w:rPr>
                <w:rFonts w:ascii="Times New Roman" w:hAnsi="Times New Roman" w:eastAsia="Times New Roman" w:cs="Times New Roman"/>
                <w:sz w:val="20"/>
              </w:rPr>
              <w:t>5</w:t>
            </w:r>
          </w:p>
        </w:tc>
      </w:tr>
      <w:tr>
        <w:tc>
          <w:tcPr>
            <w:tcW w:type="dxa" w:w="4680"/>
          </w:tcPr>
          <w:p>
            <w:r>
              <w:rPr>
                <w:rFonts w:ascii="Times New Roman" w:hAnsi="Times New Roman"/>
                <w:sz w:val="20"/>
              </w:rPr>
            </w:r>
            <w:r>
              <w:rPr>
                <w:rFonts w:ascii="Times New Roman" w:hAnsi="Times New Roman" w:eastAsia="Times New Roman" w:cs="Times New Roman"/>
                <w:sz w:val="20"/>
              </w:rPr>
              <w:t>– b. Clientele</w:t>
            </w:r>
          </w:p>
        </w:tc>
        <w:tc>
          <w:tcPr>
            <w:tcW w:type="dxa" w:w="4680"/>
          </w:tcPr>
          <w:p>
            <w:r>
              <w:rPr>
                <w:rFonts w:ascii="Times New Roman" w:hAnsi="Times New Roman"/>
                <w:sz w:val="20"/>
              </w:rPr>
            </w:r>
            <w:r>
              <w:rPr>
                <w:rFonts w:ascii="Times New Roman" w:hAnsi="Times New Roman" w:eastAsia="Times New Roman" w:cs="Times New Roman"/>
                <w:sz w:val="20"/>
              </w:rPr>
              <w:t>5</w:t>
            </w:r>
          </w:p>
        </w:tc>
      </w:tr>
      <w:tr>
        <w:tc>
          <w:tcPr>
            <w:tcW w:type="dxa" w:w="4680"/>
          </w:tcPr>
          <w:p>
            <w:r>
              <w:rPr>
                <w:rFonts w:ascii="Times New Roman" w:hAnsi="Times New Roman"/>
                <w:sz w:val="20"/>
              </w:rPr>
            </w:r>
            <w:r>
              <w:rPr>
                <w:rFonts w:ascii="Times New Roman" w:hAnsi="Times New Roman" w:eastAsia="Times New Roman" w:cs="Times New Roman"/>
                <w:sz w:val="20"/>
              </w:rPr>
              <w:t>– c. Methods and Action Plan</w:t>
            </w:r>
          </w:p>
        </w:tc>
        <w:tc>
          <w:tcPr>
            <w:tcW w:type="dxa" w:w="4680"/>
          </w:tcPr>
          <w:p>
            <w:r>
              <w:rPr>
                <w:rFonts w:ascii="Times New Roman" w:hAnsi="Times New Roman"/>
                <w:sz w:val="20"/>
              </w:rPr>
            </w:r>
            <w:r>
              <w:rPr>
                <w:rFonts w:ascii="Times New Roman" w:hAnsi="Times New Roman" w:eastAsia="Times New Roman" w:cs="Times New Roman"/>
                <w:sz w:val="20"/>
              </w:rPr>
              <w:t>6</w:t>
            </w:r>
          </w:p>
        </w:tc>
      </w:tr>
      <w:tr>
        <w:tc>
          <w:tcPr>
            <w:tcW w:type="dxa" w:w="4680"/>
          </w:tcPr>
          <w:p>
            <w:r>
              <w:rPr>
                <w:rFonts w:ascii="Times New Roman" w:hAnsi="Times New Roman"/>
                <w:sz w:val="20"/>
              </w:rPr>
            </w:r>
            <w:r>
              <w:rPr>
                <w:rFonts w:ascii="Times New Roman" w:hAnsi="Times New Roman" w:eastAsia="Times New Roman" w:cs="Times New Roman"/>
                <w:sz w:val="20"/>
              </w:rPr>
              <w:t>– d. Staff and Administration</w:t>
            </w:r>
          </w:p>
        </w:tc>
        <w:tc>
          <w:tcPr>
            <w:tcW w:type="dxa" w:w="4680"/>
          </w:tcPr>
          <w:p>
            <w:r>
              <w:rPr>
                <w:rFonts w:ascii="Times New Roman" w:hAnsi="Times New Roman"/>
                <w:sz w:val="20"/>
              </w:rPr>
            </w:r>
            <w:r>
              <w:rPr>
                <w:rFonts w:ascii="Times New Roman" w:hAnsi="Times New Roman" w:eastAsia="Times New Roman" w:cs="Times New Roman"/>
                <w:sz w:val="20"/>
              </w:rPr>
              <w:t>7</w:t>
            </w:r>
          </w:p>
        </w:tc>
      </w:tr>
      <w:tr>
        <w:tc>
          <w:tcPr>
            <w:tcW w:type="dxa" w:w="4680"/>
          </w:tcPr>
          <w:p>
            <w:r>
              <w:rPr>
                <w:rFonts w:ascii="Times New Roman" w:hAnsi="Times New Roman"/>
                <w:sz w:val="20"/>
              </w:rPr>
            </w:r>
            <w:r>
              <w:rPr>
                <w:rFonts w:ascii="Times New Roman" w:hAnsi="Times New Roman" w:eastAsia="Times New Roman" w:cs="Times New Roman"/>
                <w:sz w:val="20"/>
              </w:rPr>
              <w:t>3. Available Resources</w:t>
            </w:r>
          </w:p>
        </w:tc>
        <w:tc>
          <w:tcPr>
            <w:tcW w:type="dxa" w:w="4680"/>
          </w:tcPr>
          <w:p>
            <w:r>
              <w:rPr>
                <w:rFonts w:ascii="Times New Roman" w:hAnsi="Times New Roman"/>
                <w:sz w:val="20"/>
              </w:rPr>
            </w:r>
            <w:r>
              <w:rPr>
                <w:rFonts w:ascii="Times New Roman" w:hAnsi="Times New Roman" w:eastAsia="Times New Roman" w:cs="Times New Roman"/>
                <w:sz w:val="20"/>
              </w:rPr>
              <w:t>7</w:t>
            </w:r>
          </w:p>
        </w:tc>
      </w:tr>
      <w:tr>
        <w:tc>
          <w:tcPr>
            <w:tcW w:type="dxa" w:w="4680"/>
          </w:tcPr>
          <w:p>
            <w:r>
              <w:rPr>
                <w:rFonts w:ascii="Times New Roman" w:hAnsi="Times New Roman"/>
                <w:sz w:val="20"/>
              </w:rPr>
            </w:r>
            <w:r>
              <w:rPr>
                <w:rFonts w:ascii="Times New Roman" w:hAnsi="Times New Roman" w:eastAsia="Times New Roman" w:cs="Times New Roman"/>
                <w:sz w:val="20"/>
              </w:rPr>
              <w:t>4. Needed Resources</w:t>
            </w:r>
          </w:p>
        </w:tc>
        <w:tc>
          <w:tcPr>
            <w:tcW w:type="dxa" w:w="4680"/>
          </w:tcPr>
          <w:p>
            <w:r>
              <w:rPr>
                <w:rFonts w:ascii="Times New Roman" w:hAnsi="Times New Roman"/>
                <w:sz w:val="20"/>
              </w:rPr>
            </w:r>
            <w:r>
              <w:rPr>
                <w:rFonts w:ascii="Times New Roman" w:hAnsi="Times New Roman" w:eastAsia="Times New Roman" w:cs="Times New Roman"/>
                <w:sz w:val="20"/>
              </w:rPr>
              <w:t>8</w:t>
            </w:r>
          </w:p>
        </w:tc>
      </w:tr>
      <w:tr>
        <w:tc>
          <w:tcPr>
            <w:tcW w:type="dxa" w:w="4680"/>
          </w:tcPr>
          <w:p>
            <w:r>
              <w:rPr>
                <w:rFonts w:ascii="Times New Roman" w:hAnsi="Times New Roman"/>
                <w:sz w:val="20"/>
              </w:rPr>
            </w:r>
            <w:r>
              <w:rPr>
                <w:rFonts w:ascii="Times New Roman" w:hAnsi="Times New Roman" w:eastAsia="Times New Roman" w:cs="Times New Roman"/>
                <w:sz w:val="20"/>
              </w:rPr>
              <w:t>– a. Personnel</w:t>
            </w:r>
          </w:p>
        </w:tc>
        <w:tc>
          <w:tcPr>
            <w:tcW w:type="dxa" w:w="4680"/>
          </w:tcPr>
          <w:p>
            <w:r>
              <w:rPr>
                <w:rFonts w:ascii="Times New Roman" w:hAnsi="Times New Roman"/>
                <w:sz w:val="20"/>
              </w:rPr>
            </w:r>
            <w:r>
              <w:rPr>
                <w:rFonts w:ascii="Times New Roman" w:hAnsi="Times New Roman" w:eastAsia="Times New Roman" w:cs="Times New Roman"/>
                <w:sz w:val="20"/>
              </w:rPr>
              <w:t>8</w:t>
            </w:r>
          </w:p>
        </w:tc>
      </w:tr>
      <w:tr>
        <w:tc>
          <w:tcPr>
            <w:tcW w:type="dxa" w:w="4680"/>
          </w:tcPr>
          <w:p>
            <w:r>
              <w:rPr>
                <w:rFonts w:ascii="Times New Roman" w:hAnsi="Times New Roman"/>
                <w:sz w:val="20"/>
              </w:rPr>
            </w:r>
            <w:r>
              <w:rPr>
                <w:rFonts w:ascii="Times New Roman" w:hAnsi="Times New Roman" w:eastAsia="Times New Roman" w:cs="Times New Roman"/>
                <w:sz w:val="20"/>
              </w:rPr>
              <w:t>– b. Facilities</w:t>
            </w:r>
          </w:p>
        </w:tc>
        <w:tc>
          <w:tcPr>
            <w:tcW w:type="dxa" w:w="4680"/>
          </w:tcPr>
          <w:p>
            <w:r>
              <w:rPr>
                <w:rFonts w:ascii="Times New Roman" w:hAnsi="Times New Roman"/>
                <w:sz w:val="20"/>
              </w:rPr>
            </w:r>
            <w:r>
              <w:rPr>
                <w:rFonts w:ascii="Times New Roman" w:hAnsi="Times New Roman" w:eastAsia="Times New Roman" w:cs="Times New Roman"/>
                <w:sz w:val="20"/>
              </w:rPr>
              <w:t>8</w:t>
            </w:r>
          </w:p>
        </w:tc>
      </w:tr>
      <w:tr>
        <w:tc>
          <w:tcPr>
            <w:tcW w:type="dxa" w:w="4680"/>
          </w:tcPr>
          <w:p>
            <w:r>
              <w:rPr>
                <w:rFonts w:ascii="Times New Roman" w:hAnsi="Times New Roman"/>
                <w:sz w:val="20"/>
              </w:rPr>
            </w:r>
            <w:r>
              <w:rPr>
                <w:rFonts w:ascii="Times New Roman" w:hAnsi="Times New Roman" w:eastAsia="Times New Roman" w:cs="Times New Roman"/>
                <w:sz w:val="20"/>
              </w:rPr>
              <w:t>– c. Equipment, Supplies, and Communication</w:t>
            </w:r>
          </w:p>
        </w:tc>
        <w:tc>
          <w:tcPr>
            <w:tcW w:type="dxa" w:w="4680"/>
          </w:tcPr>
          <w:p>
            <w:r>
              <w:rPr>
                <w:rFonts w:ascii="Times New Roman" w:hAnsi="Times New Roman"/>
                <w:sz w:val="20"/>
              </w:rPr>
            </w:r>
            <w:r>
              <w:rPr>
                <w:rFonts w:ascii="Times New Roman" w:hAnsi="Times New Roman" w:eastAsia="Times New Roman" w:cs="Times New Roman"/>
                <w:sz w:val="20"/>
              </w:rPr>
              <w:t>9</w:t>
            </w:r>
          </w:p>
        </w:tc>
      </w:tr>
      <w:tr>
        <w:tc>
          <w:tcPr>
            <w:tcW w:type="dxa" w:w="4680"/>
          </w:tcPr>
          <w:p>
            <w:r>
              <w:rPr>
                <w:rFonts w:ascii="Times New Roman" w:hAnsi="Times New Roman"/>
                <w:sz w:val="20"/>
              </w:rPr>
            </w:r>
            <w:r>
              <w:rPr>
                <w:rFonts w:ascii="Times New Roman" w:hAnsi="Times New Roman" w:eastAsia="Times New Roman" w:cs="Times New Roman"/>
                <w:sz w:val="20"/>
              </w:rPr>
              <w:t>– d. Budget</w:t>
            </w:r>
          </w:p>
        </w:tc>
        <w:tc>
          <w:tcPr>
            <w:tcW w:type="dxa" w:w="4680"/>
          </w:tcPr>
          <w:p>
            <w:r>
              <w:rPr>
                <w:rFonts w:ascii="Times New Roman" w:hAnsi="Times New Roman"/>
                <w:sz w:val="20"/>
              </w:rPr>
            </w:r>
            <w:r>
              <w:rPr>
                <w:rFonts w:ascii="Times New Roman" w:hAnsi="Times New Roman" w:eastAsia="Times New Roman" w:cs="Times New Roman"/>
                <w:sz w:val="20"/>
              </w:rPr>
              <w:t>9</w:t>
            </w:r>
          </w:p>
        </w:tc>
      </w:tr>
      <w:tr>
        <w:tc>
          <w:tcPr>
            <w:tcW w:type="dxa" w:w="4680"/>
          </w:tcPr>
          <w:p>
            <w:r>
              <w:rPr>
                <w:rFonts w:ascii="Times New Roman" w:hAnsi="Times New Roman"/>
                <w:sz w:val="20"/>
              </w:rPr>
            </w:r>
            <w:r>
              <w:rPr>
                <w:rFonts w:ascii="Times New Roman" w:hAnsi="Times New Roman" w:eastAsia="Times New Roman" w:cs="Times New Roman"/>
                <w:sz w:val="20"/>
              </w:rPr>
              <w:t>5. Risk Mitigation and Sustainability Plan</w:t>
            </w:r>
          </w:p>
        </w:tc>
        <w:tc>
          <w:tcPr>
            <w:tcW w:type="dxa" w:w="4680"/>
          </w:tcPr>
          <w:p>
            <w:r>
              <w:rPr>
                <w:rFonts w:ascii="Times New Roman" w:hAnsi="Times New Roman"/>
                <w:sz w:val="20"/>
              </w:rPr>
            </w:r>
            <w:r>
              <w:rPr>
                <w:rFonts w:ascii="Times New Roman" w:hAnsi="Times New Roman" w:eastAsia="Times New Roman" w:cs="Times New Roman"/>
                <w:sz w:val="20"/>
              </w:rPr>
              <w:t>11</w:t>
            </w:r>
          </w:p>
        </w:tc>
      </w:tr>
      <w:tr>
        <w:tc>
          <w:tcPr>
            <w:tcW w:type="dxa" w:w="4680"/>
          </w:tcPr>
          <w:p>
            <w:r>
              <w:rPr>
                <w:rFonts w:ascii="Times New Roman" w:hAnsi="Times New Roman"/>
                <w:sz w:val="20"/>
              </w:rPr>
            </w:r>
            <w:r>
              <w:rPr>
                <w:rFonts w:ascii="Times New Roman" w:hAnsi="Times New Roman" w:eastAsia="Times New Roman" w:cs="Times New Roman"/>
                <w:sz w:val="20"/>
              </w:rPr>
              <w:t>6. Evaluation Plan</w:t>
            </w:r>
          </w:p>
        </w:tc>
        <w:tc>
          <w:tcPr>
            <w:tcW w:type="dxa" w:w="4680"/>
          </w:tcPr>
          <w:p>
            <w:r>
              <w:rPr>
                <w:rFonts w:ascii="Times New Roman" w:hAnsi="Times New Roman"/>
                <w:sz w:val="20"/>
              </w:rPr>
            </w:r>
            <w:r>
              <w:rPr>
                <w:rFonts w:ascii="Times New Roman" w:hAnsi="Times New Roman" w:eastAsia="Times New Roman" w:cs="Times New Roman"/>
                <w:sz w:val="20"/>
              </w:rPr>
              <w:t>12</w:t>
            </w:r>
          </w:p>
        </w:tc>
      </w:tr>
      <w:tr>
        <w:tc>
          <w:tcPr>
            <w:tcW w:type="dxa" w:w="4680"/>
          </w:tcPr>
          <w:p>
            <w:r>
              <w:rPr>
                <w:rFonts w:ascii="Times New Roman" w:hAnsi="Times New Roman"/>
                <w:sz w:val="20"/>
              </w:rPr>
            </w:r>
            <w:r>
              <w:rPr>
                <w:rFonts w:ascii="Times New Roman" w:hAnsi="Times New Roman" w:eastAsia="Times New Roman" w:cs="Times New Roman"/>
                <w:sz w:val="20"/>
              </w:rPr>
              <w:t>7. Conclusion and Action Statement</w:t>
            </w:r>
          </w:p>
        </w:tc>
        <w:tc>
          <w:tcPr>
            <w:tcW w:type="dxa" w:w="4680"/>
          </w:tcPr>
          <w:p>
            <w:r>
              <w:rPr>
                <w:rFonts w:ascii="Times New Roman" w:hAnsi="Times New Roman"/>
                <w:sz w:val="20"/>
              </w:rPr>
            </w:r>
            <w:r>
              <w:rPr>
                <w:rFonts w:ascii="Times New Roman" w:hAnsi="Times New Roman" w:eastAsia="Times New Roman" w:cs="Times New Roman"/>
                <w:sz w:val="20"/>
              </w:rPr>
              <w:t>12</w:t>
            </w:r>
          </w:p>
        </w:tc>
      </w:tr>
      <w:tr>
        <w:tc>
          <w:tcPr>
            <w:tcW w:type="dxa" w:w="4680"/>
          </w:tcPr>
          <w:p>
            <w:r>
              <w:rPr>
                <w:rFonts w:ascii="Times New Roman" w:hAnsi="Times New Roman"/>
                <w:sz w:val="20"/>
              </w:rPr>
            </w:r>
            <w:r>
              <w:rPr>
                <w:rFonts w:ascii="Times New Roman" w:hAnsi="Times New Roman" w:eastAsia="Times New Roman" w:cs="Times New Roman"/>
                <w:sz w:val="20"/>
              </w:rPr>
              <w:t>8. References</w:t>
            </w:r>
          </w:p>
        </w:tc>
        <w:tc>
          <w:tcPr>
            <w:tcW w:type="dxa" w:w="4680"/>
          </w:tcPr>
          <w:p>
            <w:r>
              <w:rPr>
                <w:rFonts w:ascii="Times New Roman" w:hAnsi="Times New Roman"/>
                <w:sz w:val="20"/>
              </w:rPr>
            </w:r>
            <w:r>
              <w:rPr>
                <w:rFonts w:ascii="Times New Roman" w:hAnsi="Times New Roman" w:eastAsia="Times New Roman" w:cs="Times New Roman"/>
                <w:sz w:val="20"/>
              </w:rPr>
              <w:t>13</w:t>
            </w:r>
          </w:p>
        </w:tc>
      </w:tr>
      <w:tr>
        <w:tc>
          <w:tcPr>
            <w:tcW w:type="dxa" w:w="4680"/>
          </w:tcPr>
          <w:p>
            <w:r>
              <w:rPr>
                <w:rFonts w:ascii="Times New Roman" w:hAnsi="Times New Roman"/>
                <w:sz w:val="20"/>
              </w:rPr>
            </w:r>
            <w:r>
              <w:rPr>
                <w:rFonts w:ascii="Times New Roman" w:hAnsi="Times New Roman" w:eastAsia="Times New Roman" w:cs="Times New Roman"/>
                <w:sz w:val="20"/>
              </w:rPr>
              <w:t>9. Appendices</w:t>
            </w:r>
          </w:p>
        </w:tc>
        <w:tc>
          <w:tcPr>
            <w:tcW w:type="dxa" w:w="4680"/>
          </w:tcPr>
          <w:p>
            <w:r>
              <w:rPr>
                <w:rFonts w:ascii="Times New Roman" w:hAnsi="Times New Roman"/>
                <w:sz w:val="20"/>
              </w:rPr>
            </w:r>
            <w:r>
              <w:rPr>
                <w:rFonts w:ascii="Times New Roman" w:hAnsi="Times New Roman" w:eastAsia="Times New Roman" w:cs="Times New Roman"/>
                <w:sz w:val="20"/>
              </w:rPr>
              <w:t>14</w:t>
            </w:r>
          </w:p>
        </w:tc>
      </w:tr>
    </w:tbl>
    <w:p>
      <w:pPr>
        <w:spacing w:before="0" w:after="120"/>
      </w:pPr>
    </w:p>
    <w:p>
      <w:pPr>
        <w:pStyle w:val="Heading2"/>
        <w:jc w:val="left"/>
      </w:pPr>
      <w:r>
        <w:rPr>
          <w:rFonts w:ascii="Times New Roman" w:hAnsi="Times New Roman" w:eastAsia="Times New Roman" w:cs="Times New Roman"/>
          <w:b/>
          <w:sz w:val="28"/>
        </w:rPr>
        <w:t>List of Figures and Tables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4057" w:val="clear"/>
          </w:tcPr>
          <w:p>
            <w:r>
              <w:rPr>
                <w:rFonts w:ascii="Times New Roman" w:hAnsi="Times New Roman"/>
                <w:b/>
                <w:color w:val="FFFFFF"/>
                <w:sz w:val="20"/>
              </w:rPr>
            </w:r>
            <w:r>
              <w:rPr>
                <w:rFonts w:ascii="Times New Roman" w:hAnsi="Times New Roman" w:eastAsia="Times New Roman" w:cs="Times New Roman"/>
                <w:b/>
                <w:color w:val="FFFFFF"/>
                <w:sz w:val="20"/>
              </w:rPr>
              <w:t>Label</w:t>
            </w:r>
          </w:p>
        </w:tc>
        <w:tc>
          <w:tcPr>
            <w:tcW w:type="dxa" w:w="3120"/>
            <w:shd w:fill="2E4057" w:val="clear"/>
          </w:tcPr>
          <w:p>
            <w:r>
              <w:rPr>
                <w:rFonts w:ascii="Times New Roman" w:hAnsi="Times New Roman"/>
                <w:b/>
                <w:color w:val="FFFFFF"/>
                <w:sz w:val="20"/>
              </w:rPr>
            </w:r>
            <w:r>
              <w:rPr>
                <w:rFonts w:ascii="Times New Roman" w:hAnsi="Times New Roman" w:eastAsia="Times New Roman" w:cs="Times New Roman"/>
                <w:b/>
                <w:color w:val="FFFFFF"/>
                <w:sz w:val="20"/>
              </w:rPr>
              <w:t>Description</w:t>
            </w:r>
          </w:p>
        </w:tc>
        <w:tc>
          <w:tcPr>
            <w:tcW w:type="dxa" w:w="3120"/>
            <w:shd w:fill="2E4057" w:val="clear"/>
          </w:tcPr>
          <w:p>
            <w:r>
              <w:rPr>
                <w:rFonts w:ascii="Times New Roman" w:hAnsi="Times New Roman"/>
                <w:b/>
                <w:color w:val="FFFFFF"/>
                <w:sz w:val="20"/>
              </w:rPr>
            </w:r>
            <w:r>
              <w:rPr>
                <w:rFonts w:ascii="Times New Roman" w:hAnsi="Times New Roman" w:eastAsia="Times New Roman" w:cs="Times New Roman"/>
                <w:b/>
                <w:color w:val="FFFFFF"/>
                <w:sz w:val="20"/>
              </w:rPr>
              <w:t>Location</w:t>
            </w:r>
          </w:p>
        </w:tc>
      </w:tr>
      <w:tr>
        <w:tc>
          <w:tcPr>
            <w:tcW w:type="dxa" w:w="3120"/>
          </w:tcPr>
          <w:p>
            <w:r>
              <w:rPr>
                <w:rFonts w:ascii="Times New Roman" w:hAnsi="Times New Roman"/>
                <w:sz w:val="20"/>
              </w:rPr>
            </w:r>
            <w:r>
              <w:rPr>
                <w:rFonts w:ascii="Times New Roman" w:hAnsi="Times New Roman" w:eastAsia="Times New Roman" w:cs="Times New Roman"/>
                <w:sz w:val="20"/>
              </w:rPr>
              <w:t>Table 1</w:t>
            </w:r>
          </w:p>
        </w:tc>
        <w:tc>
          <w:tcPr>
            <w:tcW w:type="dxa" w:w="3120"/>
          </w:tcPr>
          <w:p>
            <w:r>
              <w:rPr>
                <w:rFonts w:ascii="Times New Roman" w:hAnsi="Times New Roman"/>
                <w:sz w:val="20"/>
              </w:rPr>
            </w:r>
            <w:r>
              <w:rPr>
                <w:rFonts w:ascii="Times New Roman" w:hAnsi="Times New Roman" w:eastAsia="Times New Roman" w:cs="Times New Roman"/>
                <w:sz w:val="20"/>
              </w:rPr>
              <w:t>Student Labor Expenditure, Pre-Launch Phase</w:t>
            </w:r>
          </w:p>
        </w:tc>
        <w:tc>
          <w:tcPr>
            <w:tcW w:type="dxa" w:w="3120"/>
          </w:tcPr>
          <w:p>
            <w:r>
              <w:rPr>
                <w:rFonts w:ascii="Times New Roman" w:hAnsi="Times New Roman"/>
                <w:sz w:val="20"/>
              </w:rPr>
            </w:r>
            <w:r>
              <w:rPr>
                <w:rFonts w:ascii="Times New Roman" w:hAnsi="Times New Roman" w:eastAsia="Times New Roman" w:cs="Times New Roman"/>
                <w:sz w:val="20"/>
              </w:rPr>
              <w:t>Section 4d</w:t>
            </w:r>
          </w:p>
        </w:tc>
      </w:tr>
      <w:tr>
        <w:tc>
          <w:tcPr>
            <w:tcW w:type="dxa" w:w="3120"/>
          </w:tcPr>
          <w:p>
            <w:r>
              <w:rPr>
                <w:rFonts w:ascii="Times New Roman" w:hAnsi="Times New Roman"/>
                <w:sz w:val="20"/>
              </w:rPr>
            </w:r>
            <w:r>
              <w:rPr>
                <w:rFonts w:ascii="Times New Roman" w:hAnsi="Times New Roman" w:eastAsia="Times New Roman" w:cs="Times New Roman"/>
                <w:sz w:val="20"/>
              </w:rPr>
              <w:t>Table 2</w:t>
            </w:r>
          </w:p>
        </w:tc>
        <w:tc>
          <w:tcPr>
            <w:tcW w:type="dxa" w:w="3120"/>
          </w:tcPr>
          <w:p>
            <w:r>
              <w:rPr>
                <w:rFonts w:ascii="Times New Roman" w:hAnsi="Times New Roman"/>
                <w:sz w:val="20"/>
              </w:rPr>
            </w:r>
            <w:r>
              <w:rPr>
                <w:rFonts w:ascii="Times New Roman" w:hAnsi="Times New Roman" w:eastAsia="Times New Roman" w:cs="Times New Roman"/>
                <w:sz w:val="20"/>
              </w:rPr>
              <w:t>Estimated Startup Budget Summary</w:t>
            </w:r>
          </w:p>
        </w:tc>
        <w:tc>
          <w:tcPr>
            <w:tcW w:type="dxa" w:w="3120"/>
          </w:tcPr>
          <w:p>
            <w:r>
              <w:rPr>
                <w:rFonts w:ascii="Times New Roman" w:hAnsi="Times New Roman"/>
                <w:sz w:val="20"/>
              </w:rPr>
            </w:r>
            <w:r>
              <w:rPr>
                <w:rFonts w:ascii="Times New Roman" w:hAnsi="Times New Roman" w:eastAsia="Times New Roman" w:cs="Times New Roman"/>
                <w:sz w:val="20"/>
              </w:rPr>
              <w:t>Section 4d</w:t>
            </w:r>
          </w:p>
        </w:tc>
      </w:tr>
      <w:tr>
        <w:tc>
          <w:tcPr>
            <w:tcW w:type="dxa" w:w="3120"/>
          </w:tcPr>
          <w:p>
            <w:r>
              <w:rPr>
                <w:rFonts w:ascii="Times New Roman" w:hAnsi="Times New Roman"/>
                <w:sz w:val="20"/>
              </w:rPr>
            </w:r>
            <w:r>
              <w:rPr>
                <w:rFonts w:ascii="Times New Roman" w:hAnsi="Times New Roman" w:eastAsia="Times New Roman" w:cs="Times New Roman"/>
                <w:sz w:val="20"/>
              </w:rPr>
              <w:t>Table 3</w:t>
            </w:r>
          </w:p>
        </w:tc>
        <w:tc>
          <w:tcPr>
            <w:tcW w:type="dxa" w:w="3120"/>
          </w:tcPr>
          <w:p>
            <w:r>
              <w:rPr>
                <w:rFonts w:ascii="Times New Roman" w:hAnsi="Times New Roman"/>
                <w:sz w:val="20"/>
              </w:rPr>
            </w:r>
            <w:r>
              <w:rPr>
                <w:rFonts w:ascii="Times New Roman" w:hAnsi="Times New Roman" w:eastAsia="Times New Roman" w:cs="Times New Roman"/>
                <w:sz w:val="20"/>
              </w:rPr>
              <w:t>Integrated Startup Budget, First Year</w:t>
            </w:r>
          </w:p>
        </w:tc>
        <w:tc>
          <w:tcPr>
            <w:tcW w:type="dxa" w:w="3120"/>
          </w:tcPr>
          <w:p>
            <w:r>
              <w:rPr>
                <w:rFonts w:ascii="Times New Roman" w:hAnsi="Times New Roman"/>
                <w:sz w:val="20"/>
              </w:rPr>
            </w:r>
            <w:r>
              <w:rPr>
                <w:rFonts w:ascii="Times New Roman" w:hAnsi="Times New Roman" w:eastAsia="Times New Roman" w:cs="Times New Roman"/>
                <w:sz w:val="20"/>
              </w:rPr>
              <w:t>Section 4d</w:t>
            </w:r>
          </w:p>
        </w:tc>
      </w:tr>
      <w:tr>
        <w:tc>
          <w:tcPr>
            <w:tcW w:type="dxa" w:w="3120"/>
          </w:tcPr>
          <w:p>
            <w:r>
              <w:rPr>
                <w:rFonts w:ascii="Times New Roman" w:hAnsi="Times New Roman"/>
                <w:sz w:val="20"/>
              </w:rPr>
            </w:r>
            <w:r>
              <w:rPr>
                <w:rFonts w:ascii="Times New Roman" w:hAnsi="Times New Roman" w:eastAsia="Times New Roman" w:cs="Times New Roman"/>
                <w:sz w:val="20"/>
              </w:rPr>
              <w:t>Table 4</w:t>
            </w:r>
          </w:p>
        </w:tc>
        <w:tc>
          <w:tcPr>
            <w:tcW w:type="dxa" w:w="3120"/>
          </w:tcPr>
          <w:p>
            <w:r>
              <w:rPr>
                <w:rFonts w:ascii="Times New Roman" w:hAnsi="Times New Roman"/>
                <w:sz w:val="20"/>
              </w:rPr>
            </w:r>
            <w:r>
              <w:rPr>
                <w:rFonts w:ascii="Times New Roman" w:hAnsi="Times New Roman" w:eastAsia="Times New Roman" w:cs="Times New Roman"/>
                <w:sz w:val="20"/>
              </w:rPr>
              <w:t>Monthly Break-Even Analysis</w:t>
            </w:r>
          </w:p>
        </w:tc>
        <w:tc>
          <w:tcPr>
            <w:tcW w:type="dxa" w:w="3120"/>
          </w:tcPr>
          <w:p>
            <w:r>
              <w:rPr>
                <w:rFonts w:ascii="Times New Roman" w:hAnsi="Times New Roman"/>
                <w:sz w:val="20"/>
              </w:rPr>
            </w:r>
            <w:r>
              <w:rPr>
                <w:rFonts w:ascii="Times New Roman" w:hAnsi="Times New Roman" w:eastAsia="Times New Roman" w:cs="Times New Roman"/>
                <w:sz w:val="20"/>
              </w:rPr>
              <w:t>Section 5.2</w:t>
            </w:r>
          </w:p>
        </w:tc>
      </w:tr>
      <w:tr>
        <w:tc>
          <w:tcPr>
            <w:tcW w:type="dxa" w:w="3120"/>
          </w:tcPr>
          <w:p>
            <w:r>
              <w:rPr>
                <w:rFonts w:ascii="Times New Roman" w:hAnsi="Times New Roman"/>
                <w:sz w:val="20"/>
              </w:rPr>
            </w:r>
            <w:r>
              <w:rPr>
                <w:rFonts w:ascii="Times New Roman" w:hAnsi="Times New Roman" w:eastAsia="Times New Roman" w:cs="Times New Roman"/>
                <w:sz w:val="20"/>
              </w:rPr>
              <w:t>Table 5</w:t>
            </w:r>
          </w:p>
        </w:tc>
        <w:tc>
          <w:tcPr>
            <w:tcW w:type="dxa" w:w="3120"/>
          </w:tcPr>
          <w:p>
            <w:r>
              <w:rPr>
                <w:rFonts w:ascii="Times New Roman" w:hAnsi="Times New Roman"/>
                <w:sz w:val="20"/>
              </w:rPr>
            </w:r>
            <w:r>
              <w:rPr>
                <w:rFonts w:ascii="Times New Roman" w:hAnsi="Times New Roman" w:eastAsia="Times New Roman" w:cs="Times New Roman"/>
                <w:sz w:val="20"/>
              </w:rPr>
              <w:t>Clientele Personas</w:t>
            </w:r>
          </w:p>
        </w:tc>
        <w:tc>
          <w:tcPr>
            <w:tcW w:type="dxa" w:w="3120"/>
          </w:tcPr>
          <w:p>
            <w:r>
              <w:rPr>
                <w:rFonts w:ascii="Times New Roman" w:hAnsi="Times New Roman"/>
                <w:sz w:val="20"/>
              </w:rPr>
            </w:r>
            <w:r>
              <w:rPr>
                <w:rFonts w:ascii="Times New Roman" w:hAnsi="Times New Roman" w:eastAsia="Times New Roman" w:cs="Times New Roman"/>
                <w:sz w:val="20"/>
              </w:rPr>
              <w:t>Section 2b</w:t>
            </w:r>
          </w:p>
        </w:tc>
      </w:tr>
    </w:tbl>
    <w:p>
      <w:pPr>
        <w:spacing w:before="0" w:after="120"/>
      </w:pPr>
    </w:p>
    <w:p>
      <w:pPr>
        <w:pStyle w:val="Heading2"/>
        <w:jc w:val="left"/>
      </w:pPr>
      <w:r>
        <w:rPr>
          <w:rFonts w:ascii="Times New Roman" w:hAnsi="Times New Roman" w:eastAsia="Times New Roman" w:cs="Times New Roman"/>
          <w:b/>
          <w:sz w:val="28"/>
        </w:rPr>
        <w:t>1. Background Information and Statement of the Problem</w:t>
      </w:r>
    </w:p>
    <w:p>
      <w:pPr>
        <w:spacing w:before="0" w:after="120" w:line="276" w:lineRule="auto"/>
      </w:pPr>
      <w:r>
        <w:rPr>
          <w:rFonts w:ascii="Times New Roman" w:hAnsi="Times New Roman" w:eastAsia="Times New Roman" w:cs="Times New Roman"/>
          <w:sz w:val="24"/>
        </w:rPr>
        <w:t>Langford is Vancouver Island’s fastest-growing municipality, with a 2024 population of 46,584 and a 5.0 percent year-over-year growth rate [2]. Despite this expansion, the West Shore region lacks a centralized, open-access facility where residents can develop practical technical skills outside of formal enrollment at a post-secondary institution. Access to advanced tools and lab environments in Canada is concentrated within universities and colleges that impose tuition, enrollment, and scheduling barriers. Residents who are not enrolled students, including career changers, youth exploring STEM interests, and retirees with technical expertise, have no local facility offering structured, hands-on access to industrial-grade equipment.</w:t>
      </w:r>
    </w:p>
    <w:p>
      <w:pPr>
        <w:spacing w:before="0" w:after="120" w:line="276" w:lineRule="auto"/>
      </w:pPr>
      <w:r>
        <w:rPr>
          <w:rFonts w:ascii="Times New Roman" w:hAnsi="Times New Roman" w:eastAsia="Times New Roman" w:cs="Times New Roman"/>
          <w:sz w:val="24"/>
        </w:rPr>
        <w:t>A closer examination of existing alternatives confirms this gap. The Victoria Makerspace, the primary local facility, operates on an application-based membership model with limited operating hours and a club-oriented atmosphere focused on a narrow range of hobbyist disciplines. Community feedback on public forums consistently identifies barriers for beginners and a lack of structured programming [16]. The University of Victoria and Camosun College maintain well-equipped labs, but access is restricted to enrolled students during designated hours. A preliminary needs assessment survey of 54 respondents in the Langford and Greater Victoria area (Appendix F) indicates that 78 percent of respondents identified “lack of affordable access to tools and lab space” as the primary barrier to developing technical skills, and 65 percent expressed interest in a drop-in community STEM facility.</w:t>
      </w:r>
    </w:p>
    <w:p>
      <w:pPr>
        <w:spacing w:before="0" w:after="120" w:line="276" w:lineRule="auto"/>
      </w:pPr>
      <w:r>
        <w:rPr>
          <w:rFonts w:ascii="Times New Roman" w:hAnsi="Times New Roman" w:eastAsia="Times New Roman" w:cs="Times New Roman"/>
          <w:sz w:val="24"/>
        </w:rPr>
        <w:t>The British Columbia Ministry of Education’s Applied Design, Skills, and Technologies (ADST) curriculum emphasizes experiential learning, prototyping, and iterative design across K-12 education [13]. However, students leaving the K-12 system have limited options to continue this hands-on learning outside of post-secondary enrollment. Crossroads is positioned to extend the ADST model into the community setting, bridging the gap between secondary education and professional practice.</w:t>
      </w:r>
    </w:p>
    <w:p>
      <w:pPr>
        <w:spacing w:before="0" w:after="120" w:line="276" w:lineRule="auto"/>
      </w:pPr>
      <w:r>
        <w:rPr>
          <w:rFonts w:ascii="Times New Roman" w:hAnsi="Times New Roman" w:eastAsia="Times New Roman" w:cs="Times New Roman"/>
          <w:sz w:val="24"/>
        </w:rPr>
        <w:t>Research supports this approach. Kolb’s experiential learning cycle demonstrates that concrete experience and active experimentation produce deeper understanding and higher retention than passive instruction [4], [5]. Oldenburg’s concept of the “third place” describes an informal gathering space, distinct from home and work, that anchors community life and levels social hierarchies [1]. Crossroads combines these frameworks: a third-place facility where residents learn through direct interaction with professional-grade tools, supported by structured mentorship and peer collaboration. The model addresses both technical skill development and social connectivity in a region where rapid population growth has outpaced community infrastructure.</w:t>
      </w:r>
    </w:p>
    <w:p>
      <w:pPr>
        <w:pStyle w:val="Heading2"/>
        <w:jc w:val="left"/>
      </w:pPr>
      <w:r>
        <w:rPr>
          <w:rFonts w:ascii="Times New Roman" w:hAnsi="Times New Roman" w:eastAsia="Times New Roman" w:cs="Times New Roman"/>
          <w:b/>
          <w:sz w:val="28"/>
        </w:rPr>
        <w:t>2. Project Detail</w:t>
      </w:r>
    </w:p>
    <w:p>
      <w:pPr>
        <w:pStyle w:val="Heading3"/>
        <w:jc w:val="left"/>
      </w:pPr>
      <w:r>
        <w:rPr>
          <w:rFonts w:ascii="Times New Roman" w:hAnsi="Times New Roman" w:eastAsia="Times New Roman" w:cs="Times New Roman"/>
          <w:b/>
          <w:sz w:val="24"/>
        </w:rPr>
        <w:t>a. Goals and Objectives</w:t>
      </w:r>
    </w:p>
    <w:p>
      <w:pPr>
        <w:spacing w:before="0" w:after="120" w:line="276" w:lineRule="auto"/>
      </w:pPr>
      <w:r>
        <w:rPr>
          <w:rFonts w:ascii="Times New Roman" w:hAnsi="Times New Roman" w:eastAsia="Times New Roman" w:cs="Times New Roman"/>
          <w:sz w:val="24"/>
        </w:rPr>
        <w:t>Crossroads is guided by the following goals and measurable objectives:</w:t>
      </w:r>
    </w:p>
    <w:p>
      <w:pPr>
        <w:pStyle w:val="ListBullet"/>
        <w:spacing w:before="0" w:after="60" w:line="276" w:lineRule="auto"/>
      </w:pPr>
      <w:r>
        <w:rPr>
          <w:rFonts w:ascii="Times New Roman" w:hAnsi="Times New Roman" w:eastAsia="Times New Roman" w:cs="Times New Roman"/>
          <w:b/>
          <w:sz w:val="24"/>
        </w:rPr>
        <w:t>Focused Facility:</w:t>
      </w:r>
      <w:r>
        <w:rPr>
          <w:rFonts w:ascii="Times New Roman" w:hAnsi="Times New Roman" w:eastAsia="Times New Roman" w:cs="Times New Roman"/>
          <w:sz w:val="24"/>
        </w:rPr>
        <w:t xml:space="preserve"> Establish four modular zones (Main Lab, Collaboration Space, Learning Commons, and Community Area) within six months of securing a facility [8].</w:t>
      </w:r>
    </w:p>
    <w:p>
      <w:pPr>
        <w:pStyle w:val="ListBullet"/>
        <w:spacing w:before="0" w:after="60" w:line="276" w:lineRule="auto"/>
      </w:pPr>
      <w:r>
        <w:rPr>
          <w:rFonts w:ascii="Times New Roman" w:hAnsi="Times New Roman" w:eastAsia="Times New Roman" w:cs="Times New Roman"/>
          <w:b/>
          <w:sz w:val="24"/>
        </w:rPr>
        <w:t>Equitable Access:</w:t>
      </w:r>
      <w:r>
        <w:rPr>
          <w:rFonts w:ascii="Times New Roman" w:hAnsi="Times New Roman" w:eastAsia="Times New Roman" w:cs="Times New Roman"/>
          <w:sz w:val="24"/>
        </w:rPr>
        <w:t xml:space="preserve"> Provide 3D printers, laser cutters, electronics workstations, and design tools via a sliding-scale fee structure [9].</w:t>
      </w:r>
    </w:p>
    <w:p>
      <w:pPr>
        <w:pStyle w:val="ListBullet"/>
        <w:spacing w:before="0" w:after="60" w:line="276" w:lineRule="auto"/>
      </w:pPr>
      <w:r>
        <w:rPr>
          <w:rFonts w:ascii="Times New Roman" w:hAnsi="Times New Roman" w:eastAsia="Times New Roman" w:cs="Times New Roman"/>
          <w:b/>
          <w:sz w:val="24"/>
        </w:rPr>
        <w:t>Mentorship:</w:t>
      </w:r>
      <w:r>
        <w:rPr>
          <w:rFonts w:ascii="Times New Roman" w:hAnsi="Times New Roman" w:eastAsia="Times New Roman" w:cs="Times New Roman"/>
          <w:sz w:val="24"/>
        </w:rPr>
        <w:t xml:space="preserve"> Pair participants with professional mentors to support situated learning and skill transfer [10].</w:t>
      </w:r>
    </w:p>
    <w:p>
      <w:pPr>
        <w:pStyle w:val="ListBullet"/>
        <w:spacing w:before="0" w:after="60" w:line="276" w:lineRule="auto"/>
      </w:pPr>
      <w:r>
        <w:rPr>
          <w:rFonts w:ascii="Times New Roman" w:hAnsi="Times New Roman" w:eastAsia="Times New Roman" w:cs="Times New Roman"/>
          <w:b/>
          <w:sz w:val="24"/>
        </w:rPr>
        <w:t>Tangible Outcomes:</w:t>
      </w:r>
      <w:r>
        <w:rPr>
          <w:rFonts w:ascii="Times New Roman" w:hAnsi="Times New Roman" w:eastAsia="Times New Roman" w:cs="Times New Roman"/>
          <w:sz w:val="24"/>
        </w:rPr>
        <w:t xml:space="preserve"> Structure every session to produce a deliverable, such as a prototype, coded application, or design artifact.</w:t>
      </w:r>
    </w:p>
    <w:p>
      <w:pPr>
        <w:pStyle w:val="ListBullet"/>
        <w:spacing w:before="0" w:after="60" w:line="276" w:lineRule="auto"/>
      </w:pPr>
      <w:r>
        <w:rPr>
          <w:rFonts w:ascii="Times New Roman" w:hAnsi="Times New Roman" w:eastAsia="Times New Roman" w:cs="Times New Roman"/>
          <w:b/>
          <w:sz w:val="24"/>
        </w:rPr>
        <w:t>Financial Sustainability:</w:t>
      </w:r>
      <w:r>
        <w:rPr>
          <w:rFonts w:ascii="Times New Roman" w:hAnsi="Times New Roman" w:eastAsia="Times New Roman" w:cs="Times New Roman"/>
          <w:sz w:val="24"/>
        </w:rPr>
        <w:t xml:space="preserve"> Maintain diversified revenue with no single funding source exceeding 30 percent of total income.</w:t>
      </w:r>
    </w:p>
    <w:p>
      <w:pPr>
        <w:pStyle w:val="Heading3"/>
        <w:jc w:val="left"/>
      </w:pPr>
      <w:r>
        <w:rPr>
          <w:rFonts w:ascii="Times New Roman" w:hAnsi="Times New Roman" w:eastAsia="Times New Roman" w:cs="Times New Roman"/>
          <w:b/>
          <w:sz w:val="24"/>
        </w:rPr>
        <w:t>b. Clientele</w:t>
      </w:r>
    </w:p>
    <w:p>
      <w:pPr>
        <w:spacing w:before="0" w:after="120" w:line="276" w:lineRule="auto"/>
      </w:pPr>
      <w:r>
        <w:rPr>
          <w:rFonts w:ascii="Times New Roman" w:hAnsi="Times New Roman" w:eastAsia="Times New Roman" w:cs="Times New Roman"/>
          <w:sz w:val="24"/>
        </w:rPr>
        <w:t>The drop-in model targets specific demographics within the Greater Victoria region. The following table summarizes the four primary user personas guiding program design:</w:t>
      </w:r>
    </w:p>
    <w:p>
      <w:pPr>
        <w:spacing w:before="0" w:after="120" w:line="276" w:lineRule="auto"/>
      </w:pPr>
      <w:r>
        <w:rPr>
          <w:rFonts w:ascii="Times New Roman" w:hAnsi="Times New Roman" w:eastAsia="Times New Roman" w:cs="Times New Roman"/>
          <w:b/>
          <w:sz w:val="24"/>
        </w:rPr>
        <w:t>Table 5: Clientele Personas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4057" w:val="clear"/>
          </w:tcPr>
          <w:p>
            <w:r>
              <w:rPr>
                <w:rFonts w:ascii="Times New Roman" w:hAnsi="Times New Roman"/>
                <w:b/>
                <w:color w:val="FFFFFF"/>
                <w:sz w:val="20"/>
              </w:rPr>
            </w:r>
            <w:r>
              <w:rPr>
                <w:rFonts w:ascii="Times New Roman" w:hAnsi="Times New Roman" w:eastAsia="Times New Roman" w:cs="Times New Roman"/>
                <w:b/>
                <w:color w:val="FFFFFF"/>
                <w:sz w:val="20"/>
              </w:rPr>
              <w:t>Persona</w:t>
            </w:r>
          </w:p>
        </w:tc>
        <w:tc>
          <w:tcPr>
            <w:tcW w:type="dxa" w:w="2340"/>
            <w:shd w:fill="2E4057" w:val="clear"/>
          </w:tcPr>
          <w:p>
            <w:r>
              <w:rPr>
                <w:rFonts w:ascii="Times New Roman" w:hAnsi="Times New Roman"/>
                <w:b/>
                <w:color w:val="FFFFFF"/>
                <w:sz w:val="20"/>
              </w:rPr>
            </w:r>
            <w:r>
              <w:rPr>
                <w:rFonts w:ascii="Times New Roman" w:hAnsi="Times New Roman" w:eastAsia="Times New Roman" w:cs="Times New Roman"/>
                <w:b/>
                <w:color w:val="FFFFFF"/>
                <w:sz w:val="20"/>
              </w:rPr>
              <w:t>Demographics</w:t>
            </w:r>
          </w:p>
        </w:tc>
        <w:tc>
          <w:tcPr>
            <w:tcW w:type="dxa" w:w="2340"/>
            <w:shd w:fill="2E4057" w:val="clear"/>
          </w:tcPr>
          <w:p>
            <w:r>
              <w:rPr>
                <w:rFonts w:ascii="Times New Roman" w:hAnsi="Times New Roman"/>
                <w:b/>
                <w:color w:val="FFFFFF"/>
                <w:sz w:val="20"/>
              </w:rPr>
            </w:r>
            <w:r>
              <w:rPr>
                <w:rFonts w:ascii="Times New Roman" w:hAnsi="Times New Roman" w:eastAsia="Times New Roman" w:cs="Times New Roman"/>
                <w:b/>
                <w:color w:val="FFFFFF"/>
                <w:sz w:val="20"/>
              </w:rPr>
              <w:t>Primary Needs</w:t>
            </w:r>
          </w:p>
        </w:tc>
        <w:tc>
          <w:tcPr>
            <w:tcW w:type="dxa" w:w="2340"/>
            <w:shd w:fill="2E4057" w:val="clear"/>
          </w:tcPr>
          <w:p>
            <w:r>
              <w:rPr>
                <w:rFonts w:ascii="Times New Roman" w:hAnsi="Times New Roman"/>
                <w:b/>
                <w:color w:val="FFFFFF"/>
                <w:sz w:val="20"/>
              </w:rPr>
            </w:r>
            <w:r>
              <w:rPr>
                <w:rFonts w:ascii="Times New Roman" w:hAnsi="Times New Roman" w:eastAsia="Times New Roman" w:cs="Times New Roman"/>
                <w:b/>
                <w:color w:val="FFFFFF"/>
                <w:sz w:val="20"/>
              </w:rPr>
              <w:t>Est. Share</w:t>
            </w:r>
          </w:p>
        </w:tc>
      </w:tr>
      <w:tr>
        <w:tc>
          <w:tcPr>
            <w:tcW w:type="dxa" w:w="2340"/>
          </w:tcPr>
          <w:p>
            <w:r>
              <w:rPr>
                <w:rFonts w:ascii="Times New Roman" w:hAnsi="Times New Roman"/>
                <w:sz w:val="20"/>
              </w:rPr>
            </w:r>
            <w:r>
              <w:rPr>
                <w:rFonts w:ascii="Times New Roman" w:hAnsi="Times New Roman" w:eastAsia="Times New Roman" w:cs="Times New Roman"/>
                <w:sz w:val="20"/>
              </w:rPr>
              <w:t>Curious Beginners</w:t>
            </w:r>
          </w:p>
        </w:tc>
        <w:tc>
          <w:tcPr>
            <w:tcW w:type="dxa" w:w="2340"/>
          </w:tcPr>
          <w:p>
            <w:r>
              <w:rPr>
                <w:rFonts w:ascii="Times New Roman" w:hAnsi="Times New Roman"/>
                <w:sz w:val="20"/>
              </w:rPr>
            </w:r>
            <w:r>
              <w:rPr>
                <w:rFonts w:ascii="Times New Roman" w:hAnsi="Times New Roman" w:eastAsia="Times New Roman" w:cs="Times New Roman"/>
                <w:sz w:val="20"/>
              </w:rPr>
              <w:t>All ages, no prior technical experience</w:t>
            </w:r>
          </w:p>
        </w:tc>
        <w:tc>
          <w:tcPr>
            <w:tcW w:type="dxa" w:w="2340"/>
          </w:tcPr>
          <w:p>
            <w:r>
              <w:rPr>
                <w:rFonts w:ascii="Times New Roman" w:hAnsi="Times New Roman"/>
                <w:sz w:val="20"/>
              </w:rPr>
            </w:r>
            <w:r>
              <w:rPr>
                <w:rFonts w:ascii="Times New Roman" w:hAnsi="Times New Roman" w:eastAsia="Times New Roman" w:cs="Times New Roman"/>
                <w:sz w:val="20"/>
              </w:rPr>
              <w:t>Low-pressure environment to explore STEM interests</w:t>
            </w:r>
          </w:p>
        </w:tc>
        <w:tc>
          <w:tcPr>
            <w:tcW w:type="dxa" w:w="2340"/>
          </w:tcPr>
          <w:p>
            <w:r>
              <w:rPr>
                <w:rFonts w:ascii="Times New Roman" w:hAnsi="Times New Roman"/>
                <w:sz w:val="20"/>
              </w:rPr>
            </w:r>
            <w:r>
              <w:rPr>
                <w:rFonts w:ascii="Times New Roman" w:hAnsi="Times New Roman" w:eastAsia="Times New Roman" w:cs="Times New Roman"/>
                <w:sz w:val="20"/>
              </w:rPr>
              <w:t>35%</w:t>
            </w:r>
          </w:p>
        </w:tc>
      </w:tr>
      <w:tr>
        <w:tc>
          <w:tcPr>
            <w:tcW w:type="dxa" w:w="2340"/>
          </w:tcPr>
          <w:p>
            <w:r>
              <w:rPr>
                <w:rFonts w:ascii="Times New Roman" w:hAnsi="Times New Roman"/>
                <w:sz w:val="20"/>
              </w:rPr>
            </w:r>
            <w:r>
              <w:rPr>
                <w:rFonts w:ascii="Times New Roman" w:hAnsi="Times New Roman" w:eastAsia="Times New Roman" w:cs="Times New Roman"/>
                <w:sz w:val="20"/>
              </w:rPr>
              <w:t>Experienced Makers</w:t>
            </w:r>
          </w:p>
        </w:tc>
        <w:tc>
          <w:tcPr>
            <w:tcW w:type="dxa" w:w="2340"/>
          </w:tcPr>
          <w:p>
            <w:r>
              <w:rPr>
                <w:rFonts w:ascii="Times New Roman" w:hAnsi="Times New Roman"/>
                <w:sz w:val="20"/>
              </w:rPr>
            </w:r>
            <w:r>
              <w:rPr>
                <w:rFonts w:ascii="Times New Roman" w:hAnsi="Times New Roman" w:eastAsia="Times New Roman" w:cs="Times New Roman"/>
                <w:sz w:val="20"/>
              </w:rPr>
              <w:t>Hobbyists and professionals</w:t>
            </w:r>
          </w:p>
        </w:tc>
        <w:tc>
          <w:tcPr>
            <w:tcW w:type="dxa" w:w="2340"/>
          </w:tcPr>
          <w:p>
            <w:r>
              <w:rPr>
                <w:rFonts w:ascii="Times New Roman" w:hAnsi="Times New Roman"/>
                <w:sz w:val="20"/>
              </w:rPr>
            </w:r>
            <w:r>
              <w:rPr>
                <w:rFonts w:ascii="Times New Roman" w:hAnsi="Times New Roman" w:eastAsia="Times New Roman" w:cs="Times New Roman"/>
                <w:sz w:val="20"/>
              </w:rPr>
              <w:t>Industrial-grade tools not available in home workshops; collaborative community</w:t>
            </w:r>
          </w:p>
        </w:tc>
        <w:tc>
          <w:tcPr>
            <w:tcW w:type="dxa" w:w="2340"/>
          </w:tcPr>
          <w:p>
            <w:r>
              <w:rPr>
                <w:rFonts w:ascii="Times New Roman" w:hAnsi="Times New Roman"/>
                <w:sz w:val="20"/>
              </w:rPr>
            </w:r>
            <w:r>
              <w:rPr>
                <w:rFonts w:ascii="Times New Roman" w:hAnsi="Times New Roman" w:eastAsia="Times New Roman" w:cs="Times New Roman"/>
                <w:sz w:val="20"/>
              </w:rPr>
              <w:t>25%</w:t>
            </w:r>
          </w:p>
        </w:tc>
      </w:tr>
      <w:tr>
        <w:tc>
          <w:tcPr>
            <w:tcW w:type="dxa" w:w="2340"/>
          </w:tcPr>
          <w:p>
            <w:r>
              <w:rPr>
                <w:rFonts w:ascii="Times New Roman" w:hAnsi="Times New Roman"/>
                <w:sz w:val="20"/>
              </w:rPr>
            </w:r>
            <w:r>
              <w:rPr>
                <w:rFonts w:ascii="Times New Roman" w:hAnsi="Times New Roman" w:eastAsia="Times New Roman" w:cs="Times New Roman"/>
                <w:sz w:val="20"/>
              </w:rPr>
              <w:t>Students and Educators</w:t>
            </w:r>
          </w:p>
        </w:tc>
        <w:tc>
          <w:tcPr>
            <w:tcW w:type="dxa" w:w="2340"/>
          </w:tcPr>
          <w:p>
            <w:r>
              <w:rPr>
                <w:rFonts w:ascii="Times New Roman" w:hAnsi="Times New Roman"/>
                <w:sz w:val="20"/>
              </w:rPr>
            </w:r>
            <w:r>
              <w:rPr>
                <w:rFonts w:ascii="Times New Roman" w:hAnsi="Times New Roman" w:eastAsia="Times New Roman" w:cs="Times New Roman"/>
                <w:sz w:val="20"/>
              </w:rPr>
              <w:t>Post-secondary students; K-12 teachers</w:t>
            </w:r>
          </w:p>
        </w:tc>
        <w:tc>
          <w:tcPr>
            <w:tcW w:type="dxa" w:w="2340"/>
          </w:tcPr>
          <w:p>
            <w:r>
              <w:rPr>
                <w:rFonts w:ascii="Times New Roman" w:hAnsi="Times New Roman"/>
                <w:sz w:val="20"/>
              </w:rPr>
            </w:r>
            <w:r>
              <w:rPr>
                <w:rFonts w:ascii="Times New Roman" w:hAnsi="Times New Roman" w:eastAsia="Times New Roman" w:cs="Times New Roman"/>
                <w:sz w:val="20"/>
              </w:rPr>
              <w:t>Supplementary lab time beyond institutional hours; ADST curriculum resources [13]</w:t>
            </w:r>
          </w:p>
        </w:tc>
        <w:tc>
          <w:tcPr>
            <w:tcW w:type="dxa" w:w="2340"/>
          </w:tcPr>
          <w:p>
            <w:r>
              <w:rPr>
                <w:rFonts w:ascii="Times New Roman" w:hAnsi="Times New Roman"/>
                <w:sz w:val="20"/>
              </w:rPr>
            </w:r>
            <w:r>
              <w:rPr>
                <w:rFonts w:ascii="Times New Roman" w:hAnsi="Times New Roman" w:eastAsia="Times New Roman" w:cs="Times New Roman"/>
                <w:sz w:val="20"/>
              </w:rPr>
              <w:t>25%</w:t>
            </w:r>
          </w:p>
        </w:tc>
      </w:tr>
      <w:tr>
        <w:tc>
          <w:tcPr>
            <w:tcW w:type="dxa" w:w="2340"/>
          </w:tcPr>
          <w:p>
            <w:r>
              <w:rPr>
                <w:rFonts w:ascii="Times New Roman" w:hAnsi="Times New Roman"/>
                <w:sz w:val="20"/>
              </w:rPr>
            </w:r>
            <w:r>
              <w:rPr>
                <w:rFonts w:ascii="Times New Roman" w:hAnsi="Times New Roman" w:eastAsia="Times New Roman" w:cs="Times New Roman"/>
                <w:sz w:val="20"/>
              </w:rPr>
              <w:t>Community Builders</w:t>
            </w:r>
          </w:p>
        </w:tc>
        <w:tc>
          <w:tcPr>
            <w:tcW w:type="dxa" w:w="2340"/>
          </w:tcPr>
          <w:p>
            <w:r>
              <w:rPr>
                <w:rFonts w:ascii="Times New Roman" w:hAnsi="Times New Roman"/>
                <w:sz w:val="20"/>
              </w:rPr>
            </w:r>
            <w:r>
              <w:rPr>
                <w:rFonts w:ascii="Times New Roman" w:hAnsi="Times New Roman" w:eastAsia="Times New Roman" w:cs="Times New Roman"/>
                <w:sz w:val="20"/>
              </w:rPr>
              <w:t>Retirees, volunteers</w:t>
            </w:r>
          </w:p>
        </w:tc>
        <w:tc>
          <w:tcPr>
            <w:tcW w:type="dxa" w:w="2340"/>
          </w:tcPr>
          <w:p>
            <w:r>
              <w:rPr>
                <w:rFonts w:ascii="Times New Roman" w:hAnsi="Times New Roman"/>
                <w:sz w:val="20"/>
              </w:rPr>
            </w:r>
            <w:r>
              <w:rPr>
                <w:rFonts w:ascii="Times New Roman" w:hAnsi="Times New Roman" w:eastAsia="Times New Roman" w:cs="Times New Roman"/>
                <w:sz w:val="20"/>
              </w:rPr>
              <w:t>Social connection through mentorship, event organization, and peer support</w:t>
            </w:r>
          </w:p>
        </w:tc>
        <w:tc>
          <w:tcPr>
            <w:tcW w:type="dxa" w:w="2340"/>
          </w:tcPr>
          <w:p>
            <w:r>
              <w:rPr>
                <w:rFonts w:ascii="Times New Roman" w:hAnsi="Times New Roman"/>
                <w:sz w:val="20"/>
              </w:rPr>
            </w:r>
            <w:r>
              <w:rPr>
                <w:rFonts w:ascii="Times New Roman" w:hAnsi="Times New Roman" w:eastAsia="Times New Roman" w:cs="Times New Roman"/>
                <w:sz w:val="20"/>
              </w:rPr>
              <w:t>15%</w:t>
            </w:r>
          </w:p>
        </w:tc>
      </w:tr>
    </w:tbl>
    <w:p>
      <w:pPr>
        <w:spacing w:before="0" w:after="120"/>
      </w:pPr>
    </w:p>
    <w:p>
      <w:pPr>
        <w:spacing w:before="0" w:after="120" w:line="276" w:lineRule="auto"/>
      </w:pPr>
      <w:r>
        <w:rPr>
          <w:rFonts w:ascii="Times New Roman" w:hAnsi="Times New Roman" w:eastAsia="Times New Roman" w:cs="Times New Roman"/>
          <w:sz w:val="24"/>
        </w:rPr>
        <w:t>Key target populations include youth (ages 12 to 18) focusing on out-of-school STEM development [3], post-secondary students requiring supplementary tool access, adult career changers seeking flexible non-traditional schedules [6], and retirees contributing as volunteer mentors. Targeted outreach for low-income and Indigenous youth will ensure equitable access to resources.</w:t>
      </w:r>
    </w:p>
    <w:p>
      <w:pPr>
        <w:pStyle w:val="Heading3"/>
        <w:jc w:val="left"/>
      </w:pPr>
      <w:r>
        <w:rPr>
          <w:rFonts w:ascii="Times New Roman" w:hAnsi="Times New Roman" w:eastAsia="Times New Roman" w:cs="Times New Roman"/>
          <w:b/>
          <w:sz w:val="24"/>
        </w:rPr>
        <w:t>c. Methods and Action Plan</w:t>
      </w:r>
    </w:p>
    <w:p>
      <w:pPr>
        <w:spacing w:before="0" w:after="120" w:line="276" w:lineRule="auto"/>
      </w:pPr>
      <w:r>
        <w:rPr>
          <w:rFonts w:ascii="Times New Roman" w:hAnsi="Times New Roman" w:eastAsia="Times New Roman" w:cs="Times New Roman"/>
          <w:sz w:val="24"/>
        </w:rPr>
        <w:t>Crossroads will operate as a drop-in community learning center with tiered staffed hours. Rather than attempting to cover all STEM fields, the facility focuses on four core program areas supportable by the allocated equipment budget:</w:t>
      </w:r>
    </w:p>
    <w:p>
      <w:pPr>
        <w:pStyle w:val="ListBullet"/>
        <w:spacing w:before="0" w:after="60" w:line="276" w:lineRule="auto"/>
      </w:pPr>
      <w:r>
        <w:rPr>
          <w:rFonts w:ascii="Times New Roman" w:hAnsi="Times New Roman" w:eastAsia="Times New Roman" w:cs="Times New Roman"/>
          <w:b/>
          <w:sz w:val="24"/>
        </w:rPr>
        <w:t>Robotics and Electronics:</w:t>
      </w:r>
      <w:r>
        <w:rPr>
          <w:rFonts w:ascii="Times New Roman" w:hAnsi="Times New Roman" w:eastAsia="Times New Roman" w:cs="Times New Roman"/>
          <w:sz w:val="24"/>
        </w:rPr>
        <w:t xml:space="preserve"> Arduino and Raspberry Pi kits, soldering stations, oscilloscopes, component inventory, and test benches for circuit design and embedded systems.</w:t>
      </w:r>
    </w:p>
    <w:p>
      <w:pPr>
        <w:pStyle w:val="ListBullet"/>
        <w:spacing w:before="0" w:after="60" w:line="276" w:lineRule="auto"/>
      </w:pPr>
      <w:r>
        <w:rPr>
          <w:rFonts w:ascii="Times New Roman" w:hAnsi="Times New Roman" w:eastAsia="Times New Roman" w:cs="Times New Roman"/>
          <w:b/>
          <w:sz w:val="24"/>
        </w:rPr>
        <w:t>Digital Fabrication:</w:t>
      </w:r>
      <w:r>
        <w:rPr>
          <w:rFonts w:ascii="Times New Roman" w:hAnsi="Times New Roman" w:eastAsia="Times New Roman" w:cs="Times New Roman"/>
          <w:sz w:val="24"/>
        </w:rPr>
        <w:t xml:space="preserve"> FDM 3D printers, a 40W laser cutter, a benchtop CNC router, and materials for rapid prototyping and mechanical design.</w:t>
      </w:r>
    </w:p>
    <w:p>
      <w:pPr>
        <w:pStyle w:val="ListBullet"/>
        <w:spacing w:before="0" w:after="60" w:line="276" w:lineRule="auto"/>
      </w:pPr>
      <w:r>
        <w:rPr>
          <w:rFonts w:ascii="Times New Roman" w:hAnsi="Times New Roman" w:eastAsia="Times New Roman" w:cs="Times New Roman"/>
          <w:b/>
          <w:sz w:val="24"/>
        </w:rPr>
        <w:t>Software Development:</w:t>
      </w:r>
      <w:r>
        <w:rPr>
          <w:rFonts w:ascii="Times New Roman" w:hAnsi="Times New Roman" w:eastAsia="Times New Roman" w:cs="Times New Roman"/>
          <w:sz w:val="24"/>
        </w:rPr>
        <w:t xml:space="preserve"> Workstations equipped with IDEs, networking equipment, and tools for web development, data analysis, and introductory cybersecurity.</w:t>
      </w:r>
    </w:p>
    <w:p>
      <w:pPr>
        <w:pStyle w:val="ListBullet"/>
        <w:spacing w:before="0" w:after="60" w:line="276" w:lineRule="auto"/>
      </w:pPr>
      <w:r>
        <w:rPr>
          <w:rFonts w:ascii="Times New Roman" w:hAnsi="Times New Roman" w:eastAsia="Times New Roman" w:cs="Times New Roman"/>
          <w:b/>
          <w:sz w:val="24"/>
        </w:rPr>
        <w:t>Creative and Applied Design:</w:t>
      </w:r>
      <w:r>
        <w:rPr>
          <w:rFonts w:ascii="Times New Roman" w:hAnsi="Times New Roman" w:eastAsia="Times New Roman" w:cs="Times New Roman"/>
          <w:sz w:val="24"/>
        </w:rPr>
        <w:t xml:space="preserve"> Design software licenses, drawing tablets, physical modeling tools, and display space for artistic and technical showcases.</w:t>
      </w:r>
    </w:p>
    <w:p>
      <w:pPr>
        <w:spacing w:before="0" w:after="120" w:line="276" w:lineRule="auto"/>
      </w:pPr>
      <w:r>
        <w:rPr>
          <w:rFonts w:ascii="Times New Roman" w:hAnsi="Times New Roman" w:eastAsia="Times New Roman" w:cs="Times New Roman"/>
          <w:b/>
          <w:sz w:val="24"/>
        </w:rPr>
        <w:t>Operating Hours (Tiered Model):</w:t>
      </w:r>
    </w:p>
    <w:p>
      <w:pPr>
        <w:spacing w:before="0" w:after="120" w:line="276" w:lineRule="auto"/>
      </w:pPr>
      <w:r>
        <w:rPr>
          <w:rFonts w:ascii="Times New Roman" w:hAnsi="Times New Roman" w:eastAsia="Times New Roman" w:cs="Times New Roman"/>
          <w:sz w:val="24"/>
        </w:rPr>
        <w:t>Staffed hours with on-site safety supervisors will cover 63 hours per week: Monday through Friday, 10:00 AM to 8:00 PM (50 hours); Saturday, 10:00 AM to 6:00 PM (8 hours); and Sunday, 12:00 PM to 5:00 PM (5 hours). Member self-access to low-risk zones (software workstations, design tools) will be available Monday through Friday from 8:00 PM to 10:00 PM via card access (10 additional hours). This tiered model provides 73 hours of weekly access covered by two full-time safety supervisors working staggered shifts.</w:t>
      </w:r>
    </w:p>
    <w:p>
      <w:pPr>
        <w:spacing w:before="0" w:after="120" w:line="276" w:lineRule="auto"/>
      </w:pPr>
      <w:r>
        <w:rPr>
          <w:rFonts w:ascii="Times New Roman" w:hAnsi="Times New Roman" w:eastAsia="Times New Roman" w:cs="Times New Roman"/>
          <w:b/>
          <w:sz w:val="24"/>
        </w:rPr>
        <w:t>Safety Orientation:</w:t>
      </w:r>
    </w:p>
    <w:p>
      <w:pPr>
        <w:spacing w:before="0" w:after="120" w:line="276" w:lineRule="auto"/>
      </w:pPr>
      <w:r>
        <w:rPr>
          <w:rFonts w:ascii="Times New Roman" w:hAnsi="Times New Roman" w:eastAsia="Times New Roman" w:cs="Times New Roman"/>
          <w:sz w:val="24"/>
        </w:rPr>
        <w:t>All new participants complete a mandatory 30-minute safety orientation (offered free of charge) before accessing any equipment. This orientation covers facility rules, emergency procedures, and equipment-specific hazards per WorkSafeBC guidelines [11]. Unlike an application-based model that evaluates candidates for membership, this orientation is a pass/attend requirement with no approval barrier. Any individual who completes the orientation may immediately use the facility on a drop-in basis.</w:t>
      </w:r>
    </w:p>
    <w:p>
      <w:pPr>
        <w:spacing w:before="0" w:after="120" w:line="276" w:lineRule="auto"/>
      </w:pPr>
      <w:r>
        <w:rPr>
          <w:rFonts w:ascii="Times New Roman" w:hAnsi="Times New Roman" w:eastAsia="Times New Roman" w:cs="Times New Roman"/>
          <w:sz w:val="24"/>
        </w:rPr>
        <w:t>Programming follows six delivery models: weekly workshops, expert-led sessions, peer projects, community events, customized learning tracks, and continuous feedback loops.</w:t>
      </w:r>
    </w:p>
    <w:p>
      <w:pPr>
        <w:spacing w:before="0" w:after="120" w:line="276" w:lineRule="auto"/>
      </w:pPr>
      <w:r>
        <w:rPr>
          <w:rFonts w:ascii="Times New Roman" w:hAnsi="Times New Roman" w:eastAsia="Times New Roman" w:cs="Times New Roman"/>
          <w:b/>
          <w:sz w:val="24"/>
        </w:rPr>
        <w:t>Implementation Phases:</w:t>
      </w:r>
    </w:p>
    <w:p>
      <w:pPr>
        <w:pStyle w:val="ListBullet"/>
        <w:spacing w:before="0" w:after="60" w:line="276" w:lineRule="auto"/>
      </w:pPr>
      <w:r>
        <w:rPr>
          <w:rFonts w:ascii="Times New Roman" w:hAnsi="Times New Roman" w:eastAsia="Times New Roman" w:cs="Times New Roman"/>
          <w:b/>
          <w:sz w:val="24"/>
        </w:rPr>
        <w:t>Phase 1 (Legal Formation):</w:t>
      </w:r>
      <w:r>
        <w:rPr>
          <w:rFonts w:ascii="Times New Roman" w:hAnsi="Times New Roman" w:eastAsia="Times New Roman" w:cs="Times New Roman"/>
          <w:sz w:val="24"/>
        </w:rPr>
        <w:t xml:space="preserve"> Register as a nonprofit society in British Columbia (requiring five directors) and draft organizational bylaws [12].</w:t>
      </w:r>
    </w:p>
    <w:p>
      <w:pPr>
        <w:pStyle w:val="ListBullet"/>
        <w:spacing w:before="0" w:after="60" w:line="276" w:lineRule="auto"/>
      </w:pPr>
      <w:r>
        <w:rPr>
          <w:rFonts w:ascii="Times New Roman" w:hAnsi="Times New Roman" w:eastAsia="Times New Roman" w:cs="Times New Roman"/>
          <w:b/>
          <w:sz w:val="24"/>
        </w:rPr>
        <w:t>Phase 2 (Partnerships):</w:t>
      </w:r>
      <w:r>
        <w:rPr>
          <w:rFonts w:ascii="Times New Roman" w:hAnsi="Times New Roman" w:eastAsia="Times New Roman" w:cs="Times New Roman"/>
          <w:sz w:val="24"/>
        </w:rPr>
        <w:t xml:space="preserve"> Formalize agreements with Camosun College and local industry, including a Memorandum of Understanding for equipment surplus transfers (see Section 3).</w:t>
      </w:r>
    </w:p>
    <w:p>
      <w:pPr>
        <w:pStyle w:val="ListBullet"/>
        <w:spacing w:before="0" w:after="60" w:line="276" w:lineRule="auto"/>
      </w:pPr>
      <w:r>
        <w:rPr>
          <w:rFonts w:ascii="Times New Roman" w:hAnsi="Times New Roman" w:eastAsia="Times New Roman" w:cs="Times New Roman"/>
          <w:b/>
          <w:sz w:val="24"/>
        </w:rPr>
        <w:t>Phase 3 (Acquisition):</w:t>
      </w:r>
      <w:r>
        <w:rPr>
          <w:rFonts w:ascii="Times New Roman" w:hAnsi="Times New Roman" w:eastAsia="Times New Roman" w:cs="Times New Roman"/>
          <w:sz w:val="24"/>
        </w:rPr>
        <w:t xml:space="preserve"> Secure tools through surplus agreements and corporate donations to reduce capital expenditure.</w:t>
      </w:r>
    </w:p>
    <w:p>
      <w:pPr>
        <w:pStyle w:val="ListBullet"/>
        <w:spacing w:before="0" w:after="60" w:line="276" w:lineRule="auto"/>
      </w:pPr>
      <w:r>
        <w:rPr>
          <w:rFonts w:ascii="Times New Roman" w:hAnsi="Times New Roman" w:eastAsia="Times New Roman" w:cs="Times New Roman"/>
          <w:b/>
          <w:sz w:val="24"/>
        </w:rPr>
        <w:t>Phase 4 (Pilot Program):</w:t>
      </w:r>
      <w:r>
        <w:rPr>
          <w:rFonts w:ascii="Times New Roman" w:hAnsi="Times New Roman" w:eastAsia="Times New Roman" w:cs="Times New Roman"/>
          <w:sz w:val="24"/>
        </w:rPr>
        <w:t xml:space="preserve"> Launch introductory workshops and safety orientation programming.</w:t>
      </w:r>
    </w:p>
    <w:p>
      <w:pPr>
        <w:pStyle w:val="ListBullet"/>
        <w:spacing w:before="0" w:after="60" w:line="276" w:lineRule="auto"/>
      </w:pPr>
      <w:r>
        <w:rPr>
          <w:rFonts w:ascii="Times New Roman" w:hAnsi="Times New Roman" w:eastAsia="Times New Roman" w:cs="Times New Roman"/>
          <w:b/>
          <w:sz w:val="24"/>
        </w:rPr>
        <w:t>Phase 5 (Evaluation):</w:t>
      </w:r>
      <w:r>
        <w:rPr>
          <w:rFonts w:ascii="Times New Roman" w:hAnsi="Times New Roman" w:eastAsia="Times New Roman" w:cs="Times New Roman"/>
          <w:sz w:val="24"/>
        </w:rPr>
        <w:t xml:space="preserve"> Use participant data and placement rates to assess and scale operations.</w:t>
      </w:r>
    </w:p>
    <w:p>
      <w:pPr>
        <w:spacing w:before="0" w:after="120" w:line="276" w:lineRule="auto"/>
      </w:pPr>
      <w:r>
        <w:rPr>
          <w:rFonts w:ascii="Times New Roman" w:hAnsi="Times New Roman" w:eastAsia="Times New Roman" w:cs="Times New Roman"/>
          <w:b/>
          <w:sz w:val="24"/>
        </w:rPr>
        <w:t>Marketing and Promotion:</w:t>
      </w:r>
    </w:p>
    <w:p>
      <w:pPr>
        <w:pStyle w:val="ListBullet"/>
        <w:spacing w:before="0" w:after="60" w:line="276" w:lineRule="auto"/>
      </w:pPr>
      <w:r>
        <w:rPr>
          <w:rFonts w:ascii="Times New Roman" w:hAnsi="Times New Roman" w:eastAsia="Times New Roman" w:cs="Times New Roman"/>
          <w:b/>
          <w:sz w:val="24"/>
        </w:rPr>
        <w:t>Social Media Campaigns:</w:t>
      </w:r>
      <w:r>
        <w:rPr>
          <w:rFonts w:ascii="Times New Roman" w:hAnsi="Times New Roman" w:eastAsia="Times New Roman" w:cs="Times New Roman"/>
          <w:sz w:val="24"/>
        </w:rPr>
        <w:t xml:space="preserve"> Targeted content on Instagram, TikTok, and YouTube showcasing project highlights and member stories to engage younger demographics.</w:t>
      </w:r>
    </w:p>
    <w:p>
      <w:pPr>
        <w:pStyle w:val="ListBullet"/>
        <w:spacing w:before="0" w:after="60" w:line="276" w:lineRule="auto"/>
      </w:pPr>
      <w:r>
        <w:rPr>
          <w:rFonts w:ascii="Times New Roman" w:hAnsi="Times New Roman" w:eastAsia="Times New Roman" w:cs="Times New Roman"/>
          <w:b/>
          <w:sz w:val="24"/>
        </w:rPr>
        <w:t>School District Partnerships:</w:t>
      </w:r>
      <w:r>
        <w:rPr>
          <w:rFonts w:ascii="Times New Roman" w:hAnsi="Times New Roman" w:eastAsia="Times New Roman" w:cs="Times New Roman"/>
          <w:sz w:val="24"/>
        </w:rPr>
        <w:t xml:space="preserve"> Direct outreach to School Districts 61, 62, and 63 to integrate Crossroads programming into after-school and summer enrichment calendars.</w:t>
      </w:r>
    </w:p>
    <w:p>
      <w:pPr>
        <w:pStyle w:val="ListBullet"/>
        <w:spacing w:before="0" w:after="60" w:line="276" w:lineRule="auto"/>
      </w:pPr>
      <w:r>
        <w:rPr>
          <w:rFonts w:ascii="Times New Roman" w:hAnsi="Times New Roman" w:eastAsia="Times New Roman" w:cs="Times New Roman"/>
          <w:b/>
          <w:sz w:val="24"/>
        </w:rPr>
        <w:t>Free Introductory Workshops:</w:t>
      </w:r>
      <w:r>
        <w:rPr>
          <w:rFonts w:ascii="Times New Roman" w:hAnsi="Times New Roman" w:eastAsia="Times New Roman" w:cs="Times New Roman"/>
          <w:sz w:val="24"/>
        </w:rPr>
        <w:t xml:space="preserve"> Monthly open-door events offering no-cost demonstrations to convert first-time visitors into regular participants.</w:t>
      </w:r>
    </w:p>
    <w:p>
      <w:pPr>
        <w:pStyle w:val="ListBullet"/>
        <w:spacing w:before="0" w:after="60" w:line="276" w:lineRule="auto"/>
      </w:pPr>
      <w:r>
        <w:rPr>
          <w:rFonts w:ascii="Times New Roman" w:hAnsi="Times New Roman" w:eastAsia="Times New Roman" w:cs="Times New Roman"/>
          <w:b/>
          <w:sz w:val="24"/>
        </w:rPr>
        <w:t>Local Media:</w:t>
      </w:r>
      <w:r>
        <w:rPr>
          <w:rFonts w:ascii="Times New Roman" w:hAnsi="Times New Roman" w:eastAsia="Times New Roman" w:cs="Times New Roman"/>
          <w:sz w:val="24"/>
        </w:rPr>
        <w:t xml:space="preserve"> Press releases and feature stories in local publications such as the Times Colonist and Douglas Magazine.</w:t>
      </w:r>
    </w:p>
    <w:p>
      <w:pPr>
        <w:pStyle w:val="ListBullet"/>
        <w:spacing w:before="0" w:after="60" w:line="276" w:lineRule="auto"/>
      </w:pPr>
      <w:r>
        <w:rPr>
          <w:rFonts w:ascii="Times New Roman" w:hAnsi="Times New Roman" w:eastAsia="Times New Roman" w:cs="Times New Roman"/>
          <w:b/>
          <w:sz w:val="24"/>
        </w:rPr>
        <w:t>Community Events:</w:t>
      </w:r>
      <w:r>
        <w:rPr>
          <w:rFonts w:ascii="Times New Roman" w:hAnsi="Times New Roman" w:eastAsia="Times New Roman" w:cs="Times New Roman"/>
          <w:sz w:val="24"/>
        </w:rPr>
        <w:t xml:space="preserve"> Maker fairs, hackathons, and public showcases to demonstrate the hub’s capabilities and attract corporate sponsors.</w:t>
      </w:r>
    </w:p>
    <w:p>
      <w:pPr>
        <w:spacing w:before="0" w:after="120" w:line="276" w:lineRule="auto"/>
      </w:pPr>
      <w:r>
        <w:rPr>
          <w:rFonts w:ascii="Times New Roman" w:hAnsi="Times New Roman" w:eastAsia="Times New Roman" w:cs="Times New Roman"/>
          <w:sz w:val="24"/>
        </w:rPr>
        <w:t>A membership application and website will provide scheduling, equipment booking, and community forums. Online course content will serve as a supplementary revenue stream and a tool for pre-visit skill building. Usage analytics will track equipment utilization, attendance patterns, and program popularity for data-driven resource allocation.</w:t>
      </w:r>
    </w:p>
    <w:p>
      <w:pPr>
        <w:pStyle w:val="Heading3"/>
        <w:jc w:val="left"/>
      </w:pPr>
      <w:r>
        <w:rPr>
          <w:rFonts w:ascii="Times New Roman" w:hAnsi="Times New Roman" w:eastAsia="Times New Roman" w:cs="Times New Roman"/>
          <w:b/>
          <w:sz w:val="24"/>
        </w:rPr>
        <w:t>d. Staff and Administration</w:t>
      </w:r>
    </w:p>
    <w:p>
      <w:pPr>
        <w:spacing w:before="0" w:after="120" w:line="276" w:lineRule="auto"/>
      </w:pPr>
      <w:r>
        <w:rPr>
          <w:rFonts w:ascii="Times New Roman" w:hAnsi="Times New Roman" w:eastAsia="Times New Roman" w:cs="Times New Roman"/>
          <w:sz w:val="24"/>
        </w:rPr>
        <w:t>The staffing model aligns with the tiered operating schedule:</w:t>
      </w:r>
    </w:p>
    <w:p>
      <w:pPr>
        <w:pStyle w:val="ListBullet"/>
        <w:spacing w:before="0" w:after="60" w:line="276" w:lineRule="auto"/>
      </w:pPr>
      <w:r>
        <w:rPr>
          <w:rFonts w:ascii="Times New Roman" w:hAnsi="Times New Roman" w:eastAsia="Times New Roman" w:cs="Times New Roman"/>
          <w:b/>
          <w:sz w:val="24"/>
        </w:rPr>
        <w:t>Executive Director / Program Director:</w:t>
      </w:r>
      <w:r>
        <w:rPr>
          <w:rFonts w:ascii="Times New Roman" w:hAnsi="Times New Roman" w:eastAsia="Times New Roman" w:cs="Times New Roman"/>
          <w:sz w:val="24"/>
        </w:rPr>
        <w:t xml:space="preserve"> Cameron Kibble will lead strategic development and partnership outreach full-time (FT).</w:t>
      </w:r>
    </w:p>
    <w:p>
      <w:pPr>
        <w:pStyle w:val="ListBullet"/>
        <w:spacing w:before="0" w:after="60" w:line="276" w:lineRule="auto"/>
      </w:pPr>
      <w:r>
        <w:rPr>
          <w:rFonts w:ascii="Times New Roman" w:hAnsi="Times New Roman" w:eastAsia="Times New Roman" w:cs="Times New Roman"/>
          <w:b/>
          <w:sz w:val="24"/>
        </w:rPr>
        <w:t>Board of Directors:</w:t>
      </w:r>
      <w:r>
        <w:rPr>
          <w:rFonts w:ascii="Times New Roman" w:hAnsi="Times New Roman" w:eastAsia="Times New Roman" w:cs="Times New Roman"/>
          <w:sz w:val="24"/>
        </w:rPr>
        <w:t xml:space="preserve"> A volunteer board of five professionals will oversee governance and legal compliance [12].</w:t>
      </w:r>
    </w:p>
    <w:p>
      <w:pPr>
        <w:pStyle w:val="ListBullet"/>
        <w:spacing w:before="0" w:after="60" w:line="276" w:lineRule="auto"/>
      </w:pPr>
      <w:r>
        <w:rPr>
          <w:rFonts w:ascii="Times New Roman" w:hAnsi="Times New Roman" w:eastAsia="Times New Roman" w:cs="Times New Roman"/>
          <w:b/>
          <w:sz w:val="24"/>
        </w:rPr>
        <w:t>Lab Supervisors / Safety Instructors:</w:t>
      </w:r>
      <w:r>
        <w:rPr>
          <w:rFonts w:ascii="Times New Roman" w:hAnsi="Times New Roman" w:eastAsia="Times New Roman" w:cs="Times New Roman"/>
          <w:sz w:val="24"/>
        </w:rPr>
        <w:t xml:space="preserve"> Two full-time, salaried staff members will manage equipment and maintain safety standards during the 63 staffed hours per week via staggered shifts (e.g., Supervisor A covers Monday-Friday mornings; Supervisor B covers afternoons and weekends). Scaling to 3 to 4 positions is projected for Year 2 as operating hours expand [11].</w:t>
      </w:r>
    </w:p>
    <w:p>
      <w:pPr>
        <w:pStyle w:val="ListBullet"/>
        <w:spacing w:before="0" w:after="60" w:line="276" w:lineRule="auto"/>
      </w:pPr>
      <w:r>
        <w:rPr>
          <w:rFonts w:ascii="Times New Roman" w:hAnsi="Times New Roman" w:eastAsia="Times New Roman" w:cs="Times New Roman"/>
          <w:b/>
          <w:sz w:val="24"/>
        </w:rPr>
        <w:t>Administrative Support:</w:t>
      </w:r>
      <w:r>
        <w:rPr>
          <w:rFonts w:ascii="Times New Roman" w:hAnsi="Times New Roman" w:eastAsia="Times New Roman" w:cs="Times New Roman"/>
          <w:sz w:val="24"/>
        </w:rPr>
        <w:t xml:space="preserve"> A part-time (PT) role for operational logistics.</w:t>
      </w:r>
    </w:p>
    <w:p>
      <w:pPr>
        <w:pStyle w:val="ListBullet"/>
        <w:spacing w:before="0" w:after="60" w:line="276" w:lineRule="auto"/>
      </w:pPr>
      <w:r>
        <w:rPr>
          <w:rFonts w:ascii="Times New Roman" w:hAnsi="Times New Roman" w:eastAsia="Times New Roman" w:cs="Times New Roman"/>
          <w:b/>
          <w:sz w:val="24"/>
        </w:rPr>
        <w:t>Volunteer Mentors:</w:t>
      </w:r>
      <w:r>
        <w:rPr>
          <w:rFonts w:ascii="Times New Roman" w:hAnsi="Times New Roman" w:eastAsia="Times New Roman" w:cs="Times New Roman"/>
          <w:sz w:val="24"/>
        </w:rPr>
        <w:t xml:space="preserve"> Local professionals and senior students (a cohort of 15 to 25 active members contributing approximately 200 hours monthly) will provide peer-to-peer technical support.</w:t>
      </w:r>
    </w:p>
    <w:p>
      <w:pPr>
        <w:spacing w:before="0" w:after="120" w:line="276" w:lineRule="auto"/>
      </w:pPr>
      <w:r>
        <w:rPr>
          <w:rFonts w:ascii="Times New Roman" w:hAnsi="Times New Roman" w:eastAsia="Times New Roman" w:cs="Times New Roman"/>
          <w:sz w:val="24"/>
        </w:rPr>
        <w:t>Instructors will design sessions around physical demonstrations and guided experimentation, showing both the process and the reasoning behind each technique. Volunteer mentors will circulate the facility assisting drop-in participants, answering questions, and welcoming newcomers.</w:t>
      </w:r>
    </w:p>
    <w:p>
      <w:pPr>
        <w:pStyle w:val="Heading2"/>
        <w:jc w:val="left"/>
      </w:pPr>
      <w:r>
        <w:rPr>
          <w:rFonts w:ascii="Times New Roman" w:hAnsi="Times New Roman" w:eastAsia="Times New Roman" w:cs="Times New Roman"/>
          <w:b/>
          <w:sz w:val="28"/>
        </w:rPr>
        <w:t>3. Available Resources</w:t>
      </w:r>
    </w:p>
    <w:p>
      <w:pPr>
        <w:spacing w:before="0" w:after="120" w:line="276" w:lineRule="auto"/>
      </w:pPr>
      <w:r>
        <w:rPr>
          <w:rFonts w:ascii="Times New Roman" w:hAnsi="Times New Roman" w:eastAsia="Times New Roman" w:cs="Times New Roman"/>
          <w:sz w:val="24"/>
        </w:rPr>
        <w:t>Crossroads leverages community assets and partnerships in development:</w:t>
      </w:r>
    </w:p>
    <w:p>
      <w:pPr>
        <w:pStyle w:val="ListBullet"/>
        <w:spacing w:before="0" w:after="60" w:line="276" w:lineRule="auto"/>
      </w:pPr>
      <w:r>
        <w:rPr>
          <w:rFonts w:ascii="Times New Roman" w:hAnsi="Times New Roman" w:eastAsia="Times New Roman" w:cs="Times New Roman"/>
          <w:b/>
          <w:sz w:val="24"/>
        </w:rPr>
        <w:t>Institutional Partnerships:</w:t>
      </w:r>
      <w:r>
        <w:rPr>
          <w:rFonts w:ascii="Times New Roman" w:hAnsi="Times New Roman" w:eastAsia="Times New Roman" w:cs="Times New Roman"/>
          <w:sz w:val="24"/>
        </w:rPr>
        <w:t xml:space="preserve"> Preliminary discussions with Camosun College’s Technology Access Centre (CTAC) and the University of Victoria indicate willingness to collaborate on student placements and limited equipment transfers [13]. CTAC’s mandate to support small-to-medium enterprises with prototyping resources aligns with Crossroads’ community focus.</w:t>
      </w:r>
    </w:p>
    <w:p>
      <w:pPr>
        <w:pStyle w:val="ListBullet"/>
        <w:spacing w:before="0" w:after="60" w:line="276" w:lineRule="auto"/>
      </w:pPr>
      <w:r>
        <w:rPr>
          <w:rFonts w:ascii="Times New Roman" w:hAnsi="Times New Roman" w:eastAsia="Times New Roman" w:cs="Times New Roman"/>
          <w:b/>
          <w:sz w:val="24"/>
        </w:rPr>
        <w:t>Surplus Pipeline:</w:t>
      </w:r>
      <w:r>
        <w:rPr>
          <w:rFonts w:ascii="Times New Roman" w:hAnsi="Times New Roman" w:eastAsia="Times New Roman" w:cs="Times New Roman"/>
          <w:sz w:val="24"/>
        </w:rPr>
        <w:t xml:space="preserve"> Post-secondary institutions routinely decommission functional equipment when upgrading labs. Based on preliminary outreach, the specific equipment categories available through this channel include manual lathes (5-10 years old), benchtop oscilloscopes, 2015-era FDM 3D printers, basic electronics test equipment, and decommissioned desktop workstations. A draft Memorandum of Understanding (MOU) outlining terms for equipment transfer, liability, and maintenance responsibilities has been prepared for submission to Camosun Innovates during Phase 2. This surplus pipeline is projected to offset $15,000 to $30,000 of startup equipment costs.</w:t>
      </w:r>
    </w:p>
    <w:p>
      <w:pPr>
        <w:pStyle w:val="ListBullet"/>
        <w:spacing w:before="0" w:after="60" w:line="276" w:lineRule="auto"/>
      </w:pPr>
      <w:r>
        <w:rPr>
          <w:rFonts w:ascii="Times New Roman" w:hAnsi="Times New Roman" w:eastAsia="Times New Roman" w:cs="Times New Roman"/>
          <w:b/>
          <w:sz w:val="24"/>
        </w:rPr>
        <w:t>Business Support:</w:t>
      </w:r>
      <w:r>
        <w:rPr>
          <w:rFonts w:ascii="Times New Roman" w:hAnsi="Times New Roman" w:eastAsia="Times New Roman" w:cs="Times New Roman"/>
          <w:sz w:val="24"/>
        </w:rPr>
        <w:t xml:space="preserve"> The Victoria Innovation, Advanced Technology and Entrepreneurship Council (VIATEC) provides access to over 900 potential corporate sponsors and mentors. VIATEC’s stated mission is to grow the Greater Victoria tech sector to over $10 billion by 2030 [15]. Their network provides a direct channel for corporate sponsorship, mentorship recruitment, and industry partnership development.</w:t>
      </w:r>
    </w:p>
    <w:p>
      <w:pPr>
        <w:pStyle w:val="ListBullet"/>
        <w:spacing w:before="0" w:after="60" w:line="276" w:lineRule="auto"/>
      </w:pPr>
      <w:r>
        <w:rPr>
          <w:rFonts w:ascii="Times New Roman" w:hAnsi="Times New Roman" w:eastAsia="Times New Roman" w:cs="Times New Roman"/>
          <w:b/>
          <w:sz w:val="24"/>
        </w:rPr>
        <w:t>Corporate Sponsorship Pipeline:</w:t>
      </w:r>
      <w:r>
        <w:rPr>
          <w:rFonts w:ascii="Times New Roman" w:hAnsi="Times New Roman" w:eastAsia="Times New Roman" w:cs="Times New Roman"/>
          <w:sz w:val="24"/>
        </w:rPr>
        <w:t xml:space="preserve"> Preliminary research has identified potential sponsors, including Lee Valley Tools, whose commitment to technical education aligns with Crossroads’ mission. Outreach to regional tool manufacturers and technology companies will begin during Phase 2.</w:t>
      </w:r>
    </w:p>
    <w:p>
      <w:pPr>
        <w:pStyle w:val="Heading2"/>
        <w:jc w:val="left"/>
      </w:pPr>
      <w:r>
        <w:rPr>
          <w:rFonts w:ascii="Times New Roman" w:hAnsi="Times New Roman" w:eastAsia="Times New Roman" w:cs="Times New Roman"/>
          <w:b/>
          <w:sz w:val="28"/>
        </w:rPr>
        <w:t>4. Needed Resources</w:t>
      </w:r>
    </w:p>
    <w:p>
      <w:pPr>
        <w:pStyle w:val="Heading3"/>
        <w:jc w:val="left"/>
      </w:pPr>
      <w:r>
        <w:rPr>
          <w:rFonts w:ascii="Times New Roman" w:hAnsi="Times New Roman" w:eastAsia="Times New Roman" w:cs="Times New Roman"/>
          <w:b/>
          <w:sz w:val="24"/>
        </w:rPr>
        <w:t>a. Personnel</w:t>
      </w:r>
    </w:p>
    <w:p>
      <w:pPr>
        <w:spacing w:before="0" w:after="120" w:line="276" w:lineRule="auto"/>
      </w:pPr>
      <w:r>
        <w:rPr>
          <w:rFonts w:ascii="Times New Roman" w:hAnsi="Times New Roman" w:eastAsia="Times New Roman" w:cs="Times New Roman"/>
          <w:sz w:val="24"/>
        </w:rPr>
        <w:t>As outlined in Section 2d, the project requires immediate funding for two full-time safety instructors to maintain safe operations during staffed hours. Ongoing professional development is required to maintain industry-standard safety certifications. A “train the trainer” model will be implemented where advanced members train and then supervise others in low-risk areas, reducing the need for additional paid staffing over time.</w:t>
      </w:r>
    </w:p>
    <w:p>
      <w:pPr>
        <w:pStyle w:val="Heading3"/>
        <w:jc w:val="left"/>
      </w:pPr>
      <w:r>
        <w:rPr>
          <w:rFonts w:ascii="Times New Roman" w:hAnsi="Times New Roman" w:eastAsia="Times New Roman" w:cs="Times New Roman"/>
          <w:b/>
          <w:sz w:val="24"/>
        </w:rPr>
        <w:t>b. Facilities</w:t>
      </w:r>
    </w:p>
    <w:p>
      <w:pPr>
        <w:spacing w:before="0" w:after="120" w:line="276" w:lineRule="auto"/>
      </w:pPr>
      <w:r>
        <w:rPr>
          <w:rFonts w:ascii="Times New Roman" w:hAnsi="Times New Roman" w:eastAsia="Times New Roman" w:cs="Times New Roman"/>
          <w:sz w:val="24"/>
        </w:rPr>
        <w:t>A 4,000 to 6,000 square foot facility is required, featuring 200-amp electrical service, industrial ventilation, and compliance with the Accessible Canada Act. The Main Lab Area will comprise 40 percent of floor space and meet WorkSafeBC safety standards [11]. The preferred acquisition model is a below-market lease partnership with a municipality or educational institution.</w:t>
      </w:r>
    </w:p>
    <w:p>
      <w:pPr>
        <w:spacing w:before="0" w:after="120" w:line="276" w:lineRule="auto"/>
      </w:pPr>
      <w:r>
        <w:rPr>
          <w:rFonts w:ascii="Times New Roman" w:hAnsi="Times New Roman" w:eastAsia="Times New Roman" w:cs="Times New Roman"/>
          <w:sz w:val="24"/>
        </w:rPr>
        <w:t>Current Langford commercial lease data (2024-2025) establishes the following cost basis for the facility budget:</w:t>
      </w:r>
    </w:p>
    <w:p>
      <w:pPr>
        <w:pStyle w:val="ListBullet"/>
        <w:spacing w:before="0" w:after="60" w:line="276" w:lineRule="auto"/>
      </w:pPr>
      <w:r>
        <w:rPr>
          <w:rFonts w:ascii="Times New Roman" w:hAnsi="Times New Roman" w:eastAsia="Times New Roman" w:cs="Times New Roman"/>
          <w:b/>
          <w:sz w:val="24"/>
        </w:rPr>
        <w:t>McCallum Road Industrial (Langford):</w:t>
      </w:r>
      <w:r>
        <w:rPr>
          <w:rFonts w:ascii="Times New Roman" w:hAnsi="Times New Roman" w:eastAsia="Times New Roman" w:cs="Times New Roman"/>
          <w:sz w:val="24"/>
        </w:rPr>
        <w:t xml:space="preserve"> $16.00 per sqft net rent, plus $6.00 to $9.00 per sqft in Triple Net (NNN) costs covering property taxes, insurance, and common area maintenance.</w:t>
      </w:r>
    </w:p>
    <w:p>
      <w:pPr>
        <w:pStyle w:val="ListBullet"/>
        <w:spacing w:before="0" w:after="60" w:line="276" w:lineRule="auto"/>
      </w:pPr>
      <w:r>
        <w:rPr>
          <w:rFonts w:ascii="Times New Roman" w:hAnsi="Times New Roman" w:eastAsia="Times New Roman" w:cs="Times New Roman"/>
          <w:b/>
          <w:sz w:val="24"/>
        </w:rPr>
        <w:t>West Shore Parkway Industrial:</w:t>
      </w:r>
      <w:r>
        <w:rPr>
          <w:rFonts w:ascii="Times New Roman" w:hAnsi="Times New Roman" w:eastAsia="Times New Roman" w:cs="Times New Roman"/>
          <w:sz w:val="24"/>
        </w:rPr>
        <w:t xml:space="preserve"> $18.00 per sqft net rent, plus equivalent NNN.</w:t>
      </w:r>
    </w:p>
    <w:p>
      <w:pPr>
        <w:pStyle w:val="ListBullet"/>
        <w:spacing w:before="0" w:after="60" w:line="276" w:lineRule="auto"/>
      </w:pPr>
      <w:r>
        <w:rPr>
          <w:rFonts w:ascii="Times New Roman" w:hAnsi="Times New Roman" w:eastAsia="Times New Roman" w:cs="Times New Roman"/>
          <w:b/>
          <w:sz w:val="24"/>
        </w:rPr>
        <w:t>Amy Road Commercial:</w:t>
      </w:r>
      <w:r>
        <w:rPr>
          <w:rFonts w:ascii="Times New Roman" w:hAnsi="Times New Roman" w:eastAsia="Times New Roman" w:cs="Times New Roman"/>
          <w:sz w:val="24"/>
        </w:rPr>
        <w:t xml:space="preserve"> $22.00 per sqft net rent, plus NNN.</w:t>
      </w:r>
    </w:p>
    <w:p>
      <w:pPr>
        <w:spacing w:before="0" w:after="120" w:line="276" w:lineRule="auto"/>
      </w:pPr>
      <w:r>
        <w:rPr>
          <w:rFonts w:ascii="Times New Roman" w:hAnsi="Times New Roman" w:eastAsia="Times New Roman" w:cs="Times New Roman"/>
          <w:sz w:val="24"/>
        </w:rPr>
        <w:t>Accordingly, a 4,000 sqft facility at a rate of $24.00 per sqft all-in costs $96,000 per year ($8,000 per month). A 6,000 sqft facility at $25.00 per sqft all-in costs $150,000 per year ($12,500 per month). These figures are reflected in Table 3.</w:t>
      </w:r>
    </w:p>
    <w:p>
      <w:pPr>
        <w:pStyle w:val="Heading3"/>
        <w:jc w:val="left"/>
      </w:pPr>
      <w:r>
        <w:rPr>
          <w:rFonts w:ascii="Times New Roman" w:hAnsi="Times New Roman" w:eastAsia="Times New Roman" w:cs="Times New Roman"/>
          <w:b/>
          <w:sz w:val="24"/>
        </w:rPr>
        <w:t>c. Equipment, Supplies, and Communication</w:t>
      </w:r>
    </w:p>
    <w:p>
      <w:pPr>
        <w:spacing w:before="0" w:after="120" w:line="276" w:lineRule="auto"/>
      </w:pPr>
      <w:r>
        <w:rPr>
          <w:rFonts w:ascii="Times New Roman" w:hAnsi="Times New Roman" w:eastAsia="Times New Roman" w:cs="Times New Roman"/>
          <w:sz w:val="24"/>
        </w:rPr>
        <w:t>Equipment is required across four core disciplines: Robotics and Electronics, Digital Fabrication, Software Development, and Creative and Applied Design. Specific acquisitions include professional-grade FDM 3D printers (2 to 4 units), a 40W laser cutter, a benchtop CNC router, soldering stations, oscilloscopes, Arduino and Raspberry Pi kits, computing workstations (10 to 15 units), networking equipment, and creative design software licenses. We will partner with VIATEC, Camosun College, and UVic for decommissioned lab equipment still functional for training purposes. Internal coordination will use Microsoft 365 or Google Workspace for Nonprofits.</w:t>
      </w:r>
    </w:p>
    <w:p>
      <w:pPr>
        <w:pStyle w:val="Heading3"/>
        <w:jc w:val="left"/>
      </w:pPr>
      <w:r>
        <w:rPr>
          <w:rFonts w:ascii="Times New Roman" w:hAnsi="Times New Roman" w:eastAsia="Times New Roman" w:cs="Times New Roman"/>
          <w:b/>
          <w:sz w:val="24"/>
        </w:rPr>
        <w:t>d. Budget</w:t>
      </w:r>
    </w:p>
    <w:p>
      <w:pPr>
        <w:spacing w:before="0" w:after="120" w:line="276" w:lineRule="auto"/>
      </w:pPr>
      <w:r>
        <w:rPr>
          <w:rFonts w:ascii="Times New Roman" w:hAnsi="Times New Roman" w:eastAsia="Times New Roman" w:cs="Times New Roman"/>
          <w:sz w:val="24"/>
        </w:rPr>
        <w:t>The budget is structured around a phased rollout. All facility cost estimates are indexed to current Langford commercial lease rates (Section 4b).</w:t>
      </w:r>
    </w:p>
    <w:p>
      <w:pPr>
        <w:pStyle w:val="ListBullet"/>
        <w:spacing w:before="0" w:after="60" w:line="276" w:lineRule="auto"/>
      </w:pPr>
      <w:r>
        <w:rPr>
          <w:rFonts w:ascii="Times New Roman" w:hAnsi="Times New Roman" w:eastAsia="Times New Roman" w:cs="Times New Roman"/>
          <w:b/>
          <w:sz w:val="24"/>
        </w:rPr>
        <w:t>Lean Financial Model ($359,950 CAD):</w:t>
      </w:r>
      <w:r>
        <w:rPr>
          <w:rFonts w:ascii="Times New Roman" w:hAnsi="Times New Roman" w:eastAsia="Times New Roman" w:cs="Times New Roman"/>
          <w:sz w:val="24"/>
        </w:rPr>
        <w:t xml:space="preserve"> This tier focuses on securing a 4,000 sqft facility in Langford, acquiring core equipment clusters (3D printing, electronics, and computing stations), and funding the first year of safety staffing. It includes a 15 percent contingency reserve.</w:t>
      </w:r>
    </w:p>
    <w:p>
      <w:pPr>
        <w:pStyle w:val="ListBullet"/>
        <w:spacing w:before="0" w:after="60" w:line="276" w:lineRule="auto"/>
      </w:pPr>
      <w:r>
        <w:rPr>
          <w:rFonts w:ascii="Times New Roman" w:hAnsi="Times New Roman" w:eastAsia="Times New Roman" w:cs="Times New Roman"/>
          <w:b/>
          <w:sz w:val="24"/>
        </w:rPr>
        <w:t>Expanded Model ($577,300 CAD):</w:t>
      </w:r>
      <w:r>
        <w:rPr>
          <w:rFonts w:ascii="Times New Roman" w:hAnsi="Times New Roman" w:eastAsia="Times New Roman" w:cs="Times New Roman"/>
          <w:sz w:val="24"/>
        </w:rPr>
        <w:t xml:space="preserve"> This tier allows for a 6,000 sqft facility, additional industrial equipment (CNC, expanded fabrication lab), higher-performance computing, dedicated business fiber internet, and capacity for simultaneous programming.</w:t>
      </w:r>
    </w:p>
    <w:p>
      <w:pPr>
        <w:spacing w:before="0" w:after="120" w:line="276" w:lineRule="auto"/>
      </w:pPr>
      <w:r>
        <w:rPr>
          <w:rFonts w:ascii="Times New Roman" w:hAnsi="Times New Roman" w:eastAsia="Times New Roman" w:cs="Times New Roman"/>
          <w:sz w:val="24"/>
        </w:rPr>
        <w:t>The pre-launch development labor required to bring the facility from concept to opening is valued at $20 per hour. Including this cost demonstrates that founder-contributed work carries a specific market value that must be accounted for.</w:t>
      </w:r>
    </w:p>
    <w:p>
      <w:pPr>
        <w:spacing w:before="0" w:after="120" w:line="276" w:lineRule="auto"/>
      </w:pPr>
      <w:r>
        <w:rPr>
          <w:rFonts w:ascii="Times New Roman" w:hAnsi="Times New Roman" w:eastAsia="Times New Roman" w:cs="Times New Roman"/>
          <w:b/>
          <w:sz w:val="24"/>
        </w:rPr>
        <w:t>Table 1: Student Labor Expenditure (Pre-Launch Phase)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4057" w:val="clear"/>
          </w:tcPr>
          <w:p>
            <w:r>
              <w:rPr>
                <w:rFonts w:ascii="Times New Roman" w:hAnsi="Times New Roman"/>
                <w:b/>
                <w:color w:val="FFFFFF"/>
                <w:sz w:val="20"/>
              </w:rPr>
            </w:r>
            <w:r>
              <w:rPr>
                <w:rFonts w:ascii="Times New Roman" w:hAnsi="Times New Roman" w:eastAsia="Times New Roman" w:cs="Times New Roman"/>
                <w:b/>
                <w:color w:val="FFFFFF"/>
                <w:sz w:val="20"/>
              </w:rPr>
              <w:t>Phase</w:t>
            </w:r>
          </w:p>
        </w:tc>
        <w:tc>
          <w:tcPr>
            <w:tcW w:type="dxa" w:w="2340"/>
            <w:shd w:fill="2E4057" w:val="clear"/>
          </w:tcPr>
          <w:p>
            <w:r>
              <w:rPr>
                <w:rFonts w:ascii="Times New Roman" w:hAnsi="Times New Roman"/>
                <w:b/>
                <w:color w:val="FFFFFF"/>
                <w:sz w:val="20"/>
              </w:rPr>
            </w:r>
            <w:r>
              <w:rPr>
                <w:rFonts w:ascii="Times New Roman" w:hAnsi="Times New Roman" w:eastAsia="Times New Roman" w:cs="Times New Roman"/>
                <w:b/>
                <w:color w:val="FFFFFF"/>
                <w:sz w:val="20"/>
              </w:rPr>
              <w:t>Estimated Hours</w:t>
            </w:r>
          </w:p>
        </w:tc>
        <w:tc>
          <w:tcPr>
            <w:tcW w:type="dxa" w:w="2340"/>
            <w:shd w:fill="2E4057" w:val="clear"/>
          </w:tcPr>
          <w:p>
            <w:r>
              <w:rPr>
                <w:rFonts w:ascii="Times New Roman" w:hAnsi="Times New Roman"/>
                <w:b/>
                <w:color w:val="FFFFFF"/>
                <w:sz w:val="20"/>
              </w:rPr>
            </w:r>
            <w:r>
              <w:rPr>
                <w:rFonts w:ascii="Times New Roman" w:hAnsi="Times New Roman" w:eastAsia="Times New Roman" w:cs="Times New Roman"/>
                <w:b/>
                <w:color w:val="FFFFFF"/>
                <w:sz w:val="20"/>
              </w:rPr>
              <w:t>Cost ($20/hr)</w:t>
            </w:r>
          </w:p>
        </w:tc>
        <w:tc>
          <w:tcPr>
            <w:tcW w:type="dxa" w:w="2340"/>
            <w:shd w:fill="2E4057" w:val="clear"/>
          </w:tcPr>
          <w:p>
            <w:r>
              <w:rPr>
                <w:rFonts w:ascii="Times New Roman" w:hAnsi="Times New Roman"/>
                <w:b/>
                <w:color w:val="FFFFFF"/>
                <w:sz w:val="20"/>
              </w:rPr>
            </w:r>
            <w:r>
              <w:rPr>
                <w:rFonts w:ascii="Times New Roman" w:hAnsi="Times New Roman" w:eastAsia="Times New Roman" w:cs="Times New Roman"/>
                <w:b/>
                <w:color w:val="FFFFFF"/>
                <w:sz w:val="20"/>
              </w:rPr>
              <w:t>Deliverables</w:t>
            </w:r>
          </w:p>
        </w:tc>
      </w:tr>
      <w:tr>
        <w:tc>
          <w:tcPr>
            <w:tcW w:type="dxa" w:w="2340"/>
          </w:tcPr>
          <w:p>
            <w:r>
              <w:rPr>
                <w:rFonts w:ascii="Times New Roman" w:hAnsi="Times New Roman"/>
                <w:sz w:val="20"/>
              </w:rPr>
            </w:r>
            <w:r>
              <w:rPr>
                <w:rFonts w:ascii="Times New Roman" w:hAnsi="Times New Roman" w:eastAsia="Times New Roman" w:cs="Times New Roman"/>
                <w:sz w:val="20"/>
              </w:rPr>
              <w:t>Conceptual Design</w:t>
            </w:r>
          </w:p>
        </w:tc>
        <w:tc>
          <w:tcPr>
            <w:tcW w:type="dxa" w:w="2340"/>
          </w:tcPr>
          <w:p>
            <w:r>
              <w:rPr>
                <w:rFonts w:ascii="Times New Roman" w:hAnsi="Times New Roman"/>
                <w:sz w:val="20"/>
              </w:rPr>
            </w:r>
            <w:r>
              <w:rPr>
                <w:rFonts w:ascii="Times New Roman" w:hAnsi="Times New Roman" w:eastAsia="Times New Roman" w:cs="Times New Roman"/>
                <w:sz w:val="20"/>
              </w:rPr>
              <w:t>150</w:t>
            </w:r>
          </w:p>
        </w:tc>
        <w:tc>
          <w:tcPr>
            <w:tcW w:type="dxa" w:w="2340"/>
          </w:tcPr>
          <w:p>
            <w:r>
              <w:rPr>
                <w:rFonts w:ascii="Times New Roman" w:hAnsi="Times New Roman"/>
                <w:sz w:val="20"/>
              </w:rPr>
            </w:r>
            <w:r>
              <w:rPr>
                <w:rFonts w:ascii="Times New Roman" w:hAnsi="Times New Roman" w:eastAsia="Times New Roman" w:cs="Times New Roman"/>
                <w:sz w:val="20"/>
              </w:rPr>
              <w:t>$3,000</w:t>
            </w:r>
          </w:p>
        </w:tc>
        <w:tc>
          <w:tcPr>
            <w:tcW w:type="dxa" w:w="2340"/>
          </w:tcPr>
          <w:p>
            <w:r>
              <w:rPr>
                <w:rFonts w:ascii="Times New Roman" w:hAnsi="Times New Roman"/>
                <w:sz w:val="20"/>
              </w:rPr>
            </w:r>
            <w:r>
              <w:rPr>
                <w:rFonts w:ascii="Times New Roman" w:hAnsi="Times New Roman" w:eastAsia="Times New Roman" w:cs="Times New Roman"/>
                <w:sz w:val="20"/>
              </w:rPr>
              <w:t>Vision docs, stakeholder pitches</w:t>
            </w:r>
          </w:p>
        </w:tc>
      </w:tr>
      <w:tr>
        <w:tc>
          <w:tcPr>
            <w:tcW w:type="dxa" w:w="2340"/>
          </w:tcPr>
          <w:p>
            <w:r>
              <w:rPr>
                <w:rFonts w:ascii="Times New Roman" w:hAnsi="Times New Roman"/>
                <w:sz w:val="20"/>
              </w:rPr>
            </w:r>
            <w:r>
              <w:rPr>
                <w:rFonts w:ascii="Times New Roman" w:hAnsi="Times New Roman" w:eastAsia="Times New Roman" w:cs="Times New Roman"/>
                <w:sz w:val="20"/>
              </w:rPr>
              <w:t>Detailed Design and Legal</w:t>
            </w:r>
          </w:p>
        </w:tc>
        <w:tc>
          <w:tcPr>
            <w:tcW w:type="dxa" w:w="2340"/>
          </w:tcPr>
          <w:p>
            <w:r>
              <w:rPr>
                <w:rFonts w:ascii="Times New Roman" w:hAnsi="Times New Roman"/>
                <w:sz w:val="20"/>
              </w:rPr>
            </w:r>
            <w:r>
              <w:rPr>
                <w:rFonts w:ascii="Times New Roman" w:hAnsi="Times New Roman" w:eastAsia="Times New Roman" w:cs="Times New Roman"/>
                <w:sz w:val="20"/>
              </w:rPr>
              <w:t>200</w:t>
            </w:r>
          </w:p>
        </w:tc>
        <w:tc>
          <w:tcPr>
            <w:tcW w:type="dxa" w:w="2340"/>
          </w:tcPr>
          <w:p>
            <w:r>
              <w:rPr>
                <w:rFonts w:ascii="Times New Roman" w:hAnsi="Times New Roman"/>
                <w:sz w:val="20"/>
              </w:rPr>
            </w:r>
            <w:r>
              <w:rPr>
                <w:rFonts w:ascii="Times New Roman" w:hAnsi="Times New Roman" w:eastAsia="Times New Roman" w:cs="Times New Roman"/>
                <w:sz w:val="20"/>
              </w:rPr>
              <w:t>$4,000</w:t>
            </w:r>
          </w:p>
        </w:tc>
        <w:tc>
          <w:tcPr>
            <w:tcW w:type="dxa" w:w="2340"/>
          </w:tcPr>
          <w:p>
            <w:r>
              <w:rPr>
                <w:rFonts w:ascii="Times New Roman" w:hAnsi="Times New Roman"/>
                <w:sz w:val="20"/>
              </w:rPr>
            </w:r>
            <w:r>
              <w:rPr>
                <w:rFonts w:ascii="Times New Roman" w:hAnsi="Times New Roman" w:eastAsia="Times New Roman" w:cs="Times New Roman"/>
                <w:sz w:val="20"/>
              </w:rPr>
              <w:t>Site layout, nonprofit bylaws</w:t>
            </w:r>
          </w:p>
        </w:tc>
      </w:tr>
      <w:tr>
        <w:tc>
          <w:tcPr>
            <w:tcW w:type="dxa" w:w="2340"/>
          </w:tcPr>
          <w:p>
            <w:r>
              <w:rPr>
                <w:rFonts w:ascii="Times New Roman" w:hAnsi="Times New Roman"/>
                <w:sz w:val="20"/>
              </w:rPr>
            </w:r>
            <w:r>
              <w:rPr>
                <w:rFonts w:ascii="Times New Roman" w:hAnsi="Times New Roman" w:eastAsia="Times New Roman" w:cs="Times New Roman"/>
                <w:sz w:val="20"/>
              </w:rPr>
              <w:t>Fabrication and Setup</w:t>
            </w:r>
          </w:p>
        </w:tc>
        <w:tc>
          <w:tcPr>
            <w:tcW w:type="dxa" w:w="2340"/>
          </w:tcPr>
          <w:p>
            <w:r>
              <w:rPr>
                <w:rFonts w:ascii="Times New Roman" w:hAnsi="Times New Roman"/>
                <w:sz w:val="20"/>
              </w:rPr>
            </w:r>
            <w:r>
              <w:rPr>
                <w:rFonts w:ascii="Times New Roman" w:hAnsi="Times New Roman" w:eastAsia="Times New Roman" w:cs="Times New Roman"/>
                <w:sz w:val="20"/>
              </w:rPr>
              <w:t>500</w:t>
            </w:r>
          </w:p>
        </w:tc>
        <w:tc>
          <w:tcPr>
            <w:tcW w:type="dxa" w:w="2340"/>
          </w:tcPr>
          <w:p>
            <w:r>
              <w:rPr>
                <w:rFonts w:ascii="Times New Roman" w:hAnsi="Times New Roman"/>
                <w:sz w:val="20"/>
              </w:rPr>
            </w:r>
            <w:r>
              <w:rPr>
                <w:rFonts w:ascii="Times New Roman" w:hAnsi="Times New Roman" w:eastAsia="Times New Roman" w:cs="Times New Roman"/>
                <w:sz w:val="20"/>
              </w:rPr>
              <w:t>$10,000</w:t>
            </w:r>
          </w:p>
        </w:tc>
        <w:tc>
          <w:tcPr>
            <w:tcW w:type="dxa" w:w="2340"/>
          </w:tcPr>
          <w:p>
            <w:r>
              <w:rPr>
                <w:rFonts w:ascii="Times New Roman" w:hAnsi="Times New Roman"/>
                <w:sz w:val="20"/>
              </w:rPr>
            </w:r>
            <w:r>
              <w:rPr>
                <w:rFonts w:ascii="Times New Roman" w:hAnsi="Times New Roman" w:eastAsia="Times New Roman" w:cs="Times New Roman"/>
                <w:sz w:val="20"/>
              </w:rPr>
              <w:t>Equipment install, zone modularity</w:t>
            </w:r>
          </w:p>
        </w:tc>
      </w:tr>
      <w:tr>
        <w:tc>
          <w:tcPr>
            <w:tcW w:type="dxa" w:w="2340"/>
          </w:tcPr>
          <w:p>
            <w:r>
              <w:rPr>
                <w:rFonts w:ascii="Times New Roman" w:hAnsi="Times New Roman"/>
                <w:sz w:val="20"/>
              </w:rPr>
            </w:r>
            <w:r>
              <w:rPr>
                <w:rFonts w:ascii="Times New Roman" w:hAnsi="Times New Roman" w:eastAsia="Times New Roman" w:cs="Times New Roman"/>
                <w:sz w:val="20"/>
              </w:rPr>
              <w:t>Total Labor</w:t>
            </w:r>
          </w:p>
        </w:tc>
        <w:tc>
          <w:tcPr>
            <w:tcW w:type="dxa" w:w="2340"/>
          </w:tcPr>
          <w:p>
            <w:r>
              <w:rPr>
                <w:rFonts w:ascii="Times New Roman" w:hAnsi="Times New Roman"/>
                <w:sz w:val="20"/>
              </w:rPr>
            </w:r>
            <w:r>
              <w:rPr>
                <w:rFonts w:ascii="Times New Roman" w:hAnsi="Times New Roman" w:eastAsia="Times New Roman" w:cs="Times New Roman"/>
                <w:sz w:val="20"/>
              </w:rPr>
              <w:t>850</w:t>
            </w:r>
          </w:p>
        </w:tc>
        <w:tc>
          <w:tcPr>
            <w:tcW w:type="dxa" w:w="2340"/>
          </w:tcPr>
          <w:p>
            <w:r>
              <w:rPr>
                <w:rFonts w:ascii="Times New Roman" w:hAnsi="Times New Roman"/>
                <w:sz w:val="20"/>
              </w:rPr>
            </w:r>
            <w:r>
              <w:rPr>
                <w:rFonts w:ascii="Times New Roman" w:hAnsi="Times New Roman" w:eastAsia="Times New Roman" w:cs="Times New Roman"/>
                <w:sz w:val="20"/>
              </w:rPr>
              <w:t>$17,000</w:t>
            </w:r>
          </w:p>
        </w:tc>
        <w:tc>
          <w:tcPr>
            <w:tcW w:type="dxa" w:w="2340"/>
          </w:tcPr>
          <w:p>
            <w:r>
              <w:rPr>
                <w:rFonts w:ascii="Times New Roman" w:hAnsi="Times New Roman"/>
                <w:sz w:val="20"/>
              </w:rPr>
            </w:r>
          </w:p>
        </w:tc>
      </w:tr>
    </w:tbl>
    <w:p>
      <w:pPr>
        <w:spacing w:before="0" w:after="120"/>
      </w:pPr>
    </w:p>
    <w:p>
      <w:pPr>
        <w:spacing w:before="0" w:after="120" w:line="276" w:lineRule="auto"/>
      </w:pPr>
      <w:r>
        <w:rPr>
          <w:rFonts w:ascii="Times New Roman" w:hAnsi="Times New Roman" w:eastAsia="Times New Roman" w:cs="Times New Roman"/>
          <w:b/>
          <w:sz w:val="24"/>
        </w:rPr>
        <w:t>Table 2: Estimated Startup Budget Summary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4057" w:val="clear"/>
          </w:tcPr>
          <w:p>
            <w:r>
              <w:rPr>
                <w:rFonts w:ascii="Times New Roman" w:hAnsi="Times New Roman"/>
                <w:b/>
                <w:color w:val="FFFFFF"/>
                <w:sz w:val="20"/>
              </w:rPr>
            </w:r>
            <w:r>
              <w:rPr>
                <w:rFonts w:ascii="Times New Roman" w:hAnsi="Times New Roman" w:eastAsia="Times New Roman" w:cs="Times New Roman"/>
                <w:b/>
                <w:color w:val="FFFFFF"/>
                <w:sz w:val="20"/>
              </w:rPr>
              <w:t>Category</w:t>
            </w:r>
          </w:p>
        </w:tc>
        <w:tc>
          <w:tcPr>
            <w:tcW w:type="dxa" w:w="3120"/>
            <w:shd w:fill="2E4057" w:val="clear"/>
          </w:tcPr>
          <w:p>
            <w:r>
              <w:rPr>
                <w:rFonts w:ascii="Times New Roman" w:hAnsi="Times New Roman"/>
                <w:b/>
                <w:color w:val="FFFFFF"/>
                <w:sz w:val="20"/>
              </w:rPr>
            </w:r>
            <w:r>
              <w:rPr>
                <w:rFonts w:ascii="Times New Roman" w:hAnsi="Times New Roman" w:eastAsia="Times New Roman" w:cs="Times New Roman"/>
                <w:b/>
                <w:color w:val="FFFFFF"/>
                <w:sz w:val="20"/>
              </w:rPr>
              <w:t>Low Estimate (CAD)</w:t>
            </w:r>
          </w:p>
        </w:tc>
        <w:tc>
          <w:tcPr>
            <w:tcW w:type="dxa" w:w="3120"/>
            <w:shd w:fill="2E4057" w:val="clear"/>
          </w:tcPr>
          <w:p>
            <w:r>
              <w:rPr>
                <w:rFonts w:ascii="Times New Roman" w:hAnsi="Times New Roman"/>
                <w:b/>
                <w:color w:val="FFFFFF"/>
                <w:sz w:val="20"/>
              </w:rPr>
            </w:r>
            <w:r>
              <w:rPr>
                <w:rFonts w:ascii="Times New Roman" w:hAnsi="Times New Roman" w:eastAsia="Times New Roman" w:cs="Times New Roman"/>
                <w:b/>
                <w:color w:val="FFFFFF"/>
                <w:sz w:val="20"/>
              </w:rPr>
              <w:t>High Estimate (CAD)</w:t>
            </w:r>
          </w:p>
        </w:tc>
      </w:tr>
      <w:tr>
        <w:tc>
          <w:tcPr>
            <w:tcW w:type="dxa" w:w="3120"/>
          </w:tcPr>
          <w:p>
            <w:r>
              <w:rPr>
                <w:rFonts w:ascii="Times New Roman" w:hAnsi="Times New Roman"/>
                <w:sz w:val="20"/>
              </w:rPr>
            </w:r>
            <w:r>
              <w:rPr>
                <w:rFonts w:ascii="Times New Roman" w:hAnsi="Times New Roman" w:eastAsia="Times New Roman" w:cs="Times New Roman"/>
                <w:sz w:val="20"/>
              </w:rPr>
              <w:t>Equipment and Tooling</w:t>
            </w:r>
          </w:p>
        </w:tc>
        <w:tc>
          <w:tcPr>
            <w:tcW w:type="dxa" w:w="3120"/>
          </w:tcPr>
          <w:p>
            <w:r>
              <w:rPr>
                <w:rFonts w:ascii="Times New Roman" w:hAnsi="Times New Roman"/>
                <w:sz w:val="20"/>
              </w:rPr>
            </w:r>
            <w:r>
              <w:rPr>
                <w:rFonts w:ascii="Times New Roman" w:hAnsi="Times New Roman" w:eastAsia="Times New Roman" w:cs="Times New Roman"/>
                <w:sz w:val="20"/>
              </w:rPr>
              <w:t>$60,000</w:t>
            </w:r>
          </w:p>
        </w:tc>
        <w:tc>
          <w:tcPr>
            <w:tcW w:type="dxa" w:w="3120"/>
          </w:tcPr>
          <w:p>
            <w:r>
              <w:rPr>
                <w:rFonts w:ascii="Times New Roman" w:hAnsi="Times New Roman"/>
                <w:sz w:val="20"/>
              </w:rPr>
            </w:r>
            <w:r>
              <w:rPr>
                <w:rFonts w:ascii="Times New Roman" w:hAnsi="Times New Roman" w:eastAsia="Times New Roman" w:cs="Times New Roman"/>
                <w:sz w:val="20"/>
              </w:rPr>
              <w:t>$120,000</w:t>
            </w:r>
          </w:p>
        </w:tc>
      </w:tr>
      <w:tr>
        <w:tc>
          <w:tcPr>
            <w:tcW w:type="dxa" w:w="3120"/>
          </w:tcPr>
          <w:p>
            <w:r>
              <w:rPr>
                <w:rFonts w:ascii="Times New Roman" w:hAnsi="Times New Roman"/>
                <w:sz w:val="20"/>
              </w:rPr>
            </w:r>
            <w:r>
              <w:rPr>
                <w:rFonts w:ascii="Times New Roman" w:hAnsi="Times New Roman" w:eastAsia="Times New Roman" w:cs="Times New Roman"/>
                <w:sz w:val="20"/>
              </w:rPr>
              <w:t>Inventory and Supplies</w:t>
            </w:r>
          </w:p>
        </w:tc>
        <w:tc>
          <w:tcPr>
            <w:tcW w:type="dxa" w:w="3120"/>
          </w:tcPr>
          <w:p>
            <w:r>
              <w:rPr>
                <w:rFonts w:ascii="Times New Roman" w:hAnsi="Times New Roman"/>
                <w:sz w:val="20"/>
              </w:rPr>
            </w:r>
            <w:r>
              <w:rPr>
                <w:rFonts w:ascii="Times New Roman" w:hAnsi="Times New Roman" w:eastAsia="Times New Roman" w:cs="Times New Roman"/>
                <w:sz w:val="20"/>
              </w:rPr>
              <w:t>$10,000</w:t>
            </w:r>
          </w:p>
        </w:tc>
        <w:tc>
          <w:tcPr>
            <w:tcW w:type="dxa" w:w="3120"/>
          </w:tcPr>
          <w:p>
            <w:r>
              <w:rPr>
                <w:rFonts w:ascii="Times New Roman" w:hAnsi="Times New Roman"/>
                <w:sz w:val="20"/>
              </w:rPr>
            </w:r>
            <w:r>
              <w:rPr>
                <w:rFonts w:ascii="Times New Roman" w:hAnsi="Times New Roman" w:eastAsia="Times New Roman" w:cs="Times New Roman"/>
                <w:sz w:val="20"/>
              </w:rPr>
              <w:t>$25,000</w:t>
            </w:r>
          </w:p>
        </w:tc>
      </w:tr>
      <w:tr>
        <w:tc>
          <w:tcPr>
            <w:tcW w:type="dxa" w:w="3120"/>
          </w:tcPr>
          <w:p>
            <w:r>
              <w:rPr>
                <w:rFonts w:ascii="Times New Roman" w:hAnsi="Times New Roman"/>
                <w:sz w:val="20"/>
              </w:rPr>
            </w:r>
            <w:r>
              <w:rPr>
                <w:rFonts w:ascii="Times New Roman" w:hAnsi="Times New Roman" w:eastAsia="Times New Roman" w:cs="Times New Roman"/>
                <w:sz w:val="20"/>
              </w:rPr>
              <w:t>Staff Hiring and Training</w:t>
            </w:r>
          </w:p>
        </w:tc>
        <w:tc>
          <w:tcPr>
            <w:tcW w:type="dxa" w:w="3120"/>
          </w:tcPr>
          <w:p>
            <w:r>
              <w:rPr>
                <w:rFonts w:ascii="Times New Roman" w:hAnsi="Times New Roman"/>
                <w:sz w:val="20"/>
              </w:rPr>
            </w:r>
            <w:r>
              <w:rPr>
                <w:rFonts w:ascii="Times New Roman" w:hAnsi="Times New Roman" w:eastAsia="Times New Roman" w:cs="Times New Roman"/>
                <w:sz w:val="20"/>
              </w:rPr>
              <w:t>$15,000</w:t>
            </w:r>
          </w:p>
        </w:tc>
        <w:tc>
          <w:tcPr>
            <w:tcW w:type="dxa" w:w="3120"/>
          </w:tcPr>
          <w:p>
            <w:r>
              <w:rPr>
                <w:rFonts w:ascii="Times New Roman" w:hAnsi="Times New Roman"/>
                <w:sz w:val="20"/>
              </w:rPr>
            </w:r>
            <w:r>
              <w:rPr>
                <w:rFonts w:ascii="Times New Roman" w:hAnsi="Times New Roman" w:eastAsia="Times New Roman" w:cs="Times New Roman"/>
                <w:sz w:val="20"/>
              </w:rPr>
              <w:t>$40,000</w:t>
            </w:r>
          </w:p>
        </w:tc>
      </w:tr>
      <w:tr>
        <w:tc>
          <w:tcPr>
            <w:tcW w:type="dxa" w:w="3120"/>
          </w:tcPr>
          <w:p>
            <w:r>
              <w:rPr>
                <w:rFonts w:ascii="Times New Roman" w:hAnsi="Times New Roman"/>
                <w:sz w:val="20"/>
              </w:rPr>
            </w:r>
            <w:r>
              <w:rPr>
                <w:rFonts w:ascii="Times New Roman" w:hAnsi="Times New Roman" w:eastAsia="Times New Roman" w:cs="Times New Roman"/>
                <w:sz w:val="20"/>
              </w:rPr>
              <w:t>Product Development</w:t>
            </w:r>
          </w:p>
        </w:tc>
        <w:tc>
          <w:tcPr>
            <w:tcW w:type="dxa" w:w="3120"/>
          </w:tcPr>
          <w:p>
            <w:r>
              <w:rPr>
                <w:rFonts w:ascii="Times New Roman" w:hAnsi="Times New Roman"/>
                <w:sz w:val="20"/>
              </w:rPr>
            </w:r>
            <w:r>
              <w:rPr>
                <w:rFonts w:ascii="Times New Roman" w:hAnsi="Times New Roman" w:eastAsia="Times New Roman" w:cs="Times New Roman"/>
                <w:sz w:val="20"/>
              </w:rPr>
              <w:t>$5,000</w:t>
            </w:r>
          </w:p>
        </w:tc>
        <w:tc>
          <w:tcPr>
            <w:tcW w:type="dxa" w:w="3120"/>
          </w:tcPr>
          <w:p>
            <w:r>
              <w:rPr>
                <w:rFonts w:ascii="Times New Roman" w:hAnsi="Times New Roman"/>
                <w:sz w:val="20"/>
              </w:rPr>
            </w:r>
            <w:r>
              <w:rPr>
                <w:rFonts w:ascii="Times New Roman" w:hAnsi="Times New Roman" w:eastAsia="Times New Roman" w:cs="Times New Roman"/>
                <w:sz w:val="20"/>
              </w:rPr>
              <w:t>$15,000</w:t>
            </w:r>
          </w:p>
        </w:tc>
      </w:tr>
      <w:tr>
        <w:tc>
          <w:tcPr>
            <w:tcW w:type="dxa" w:w="3120"/>
          </w:tcPr>
          <w:p>
            <w:r>
              <w:rPr>
                <w:rFonts w:ascii="Times New Roman" w:hAnsi="Times New Roman"/>
                <w:sz w:val="20"/>
              </w:rPr>
            </w:r>
            <w:r>
              <w:rPr>
                <w:rFonts w:ascii="Times New Roman" w:hAnsi="Times New Roman" w:eastAsia="Times New Roman" w:cs="Times New Roman"/>
                <w:sz w:val="20"/>
              </w:rPr>
              <w:t>Branding and Marketing</w:t>
            </w:r>
          </w:p>
        </w:tc>
        <w:tc>
          <w:tcPr>
            <w:tcW w:type="dxa" w:w="3120"/>
          </w:tcPr>
          <w:p>
            <w:r>
              <w:rPr>
                <w:rFonts w:ascii="Times New Roman" w:hAnsi="Times New Roman"/>
                <w:sz w:val="20"/>
              </w:rPr>
            </w:r>
            <w:r>
              <w:rPr>
                <w:rFonts w:ascii="Times New Roman" w:hAnsi="Times New Roman" w:eastAsia="Times New Roman" w:cs="Times New Roman"/>
                <w:sz w:val="20"/>
              </w:rPr>
              <w:t>$5,000</w:t>
            </w:r>
          </w:p>
        </w:tc>
        <w:tc>
          <w:tcPr>
            <w:tcW w:type="dxa" w:w="3120"/>
          </w:tcPr>
          <w:p>
            <w:r>
              <w:rPr>
                <w:rFonts w:ascii="Times New Roman" w:hAnsi="Times New Roman"/>
                <w:sz w:val="20"/>
              </w:rPr>
            </w:r>
            <w:r>
              <w:rPr>
                <w:rFonts w:ascii="Times New Roman" w:hAnsi="Times New Roman" w:eastAsia="Times New Roman" w:cs="Times New Roman"/>
                <w:sz w:val="20"/>
              </w:rPr>
              <w:t>$20,000</w:t>
            </w:r>
          </w:p>
        </w:tc>
      </w:tr>
      <w:tr>
        <w:tc>
          <w:tcPr>
            <w:tcW w:type="dxa" w:w="3120"/>
          </w:tcPr>
          <w:p>
            <w:r>
              <w:rPr>
                <w:rFonts w:ascii="Times New Roman" w:hAnsi="Times New Roman"/>
                <w:sz w:val="20"/>
              </w:rPr>
            </w:r>
            <w:r>
              <w:rPr>
                <w:rFonts w:ascii="Times New Roman" w:hAnsi="Times New Roman" w:eastAsia="Times New Roman" w:cs="Times New Roman"/>
                <w:sz w:val="20"/>
              </w:rPr>
              <w:t>Legal and Accounting</w:t>
            </w:r>
          </w:p>
        </w:tc>
        <w:tc>
          <w:tcPr>
            <w:tcW w:type="dxa" w:w="3120"/>
          </w:tcPr>
          <w:p>
            <w:r>
              <w:rPr>
                <w:rFonts w:ascii="Times New Roman" w:hAnsi="Times New Roman"/>
                <w:sz w:val="20"/>
              </w:rPr>
            </w:r>
            <w:r>
              <w:rPr>
                <w:rFonts w:ascii="Times New Roman" w:hAnsi="Times New Roman" w:eastAsia="Times New Roman" w:cs="Times New Roman"/>
                <w:sz w:val="20"/>
              </w:rPr>
              <w:t>$6,000</w:t>
            </w:r>
          </w:p>
        </w:tc>
        <w:tc>
          <w:tcPr>
            <w:tcW w:type="dxa" w:w="3120"/>
          </w:tcPr>
          <w:p>
            <w:r>
              <w:rPr>
                <w:rFonts w:ascii="Times New Roman" w:hAnsi="Times New Roman"/>
                <w:sz w:val="20"/>
              </w:rPr>
            </w:r>
            <w:r>
              <w:rPr>
                <w:rFonts w:ascii="Times New Roman" w:hAnsi="Times New Roman" w:eastAsia="Times New Roman" w:cs="Times New Roman"/>
                <w:sz w:val="20"/>
              </w:rPr>
              <w:t>$20,000</w:t>
            </w:r>
          </w:p>
        </w:tc>
      </w:tr>
      <w:tr>
        <w:tc>
          <w:tcPr>
            <w:tcW w:type="dxa" w:w="3120"/>
          </w:tcPr>
          <w:p>
            <w:r>
              <w:rPr>
                <w:rFonts w:ascii="Times New Roman" w:hAnsi="Times New Roman"/>
                <w:sz w:val="20"/>
              </w:rPr>
            </w:r>
            <w:r>
              <w:rPr>
                <w:rFonts w:ascii="Times New Roman" w:hAnsi="Times New Roman" w:eastAsia="Times New Roman" w:cs="Times New Roman"/>
                <w:sz w:val="20"/>
              </w:rPr>
              <w:t>Miscellaneous</w:t>
            </w:r>
          </w:p>
        </w:tc>
        <w:tc>
          <w:tcPr>
            <w:tcW w:type="dxa" w:w="3120"/>
          </w:tcPr>
          <w:p>
            <w:r>
              <w:rPr>
                <w:rFonts w:ascii="Times New Roman" w:hAnsi="Times New Roman"/>
                <w:sz w:val="20"/>
              </w:rPr>
            </w:r>
            <w:r>
              <w:rPr>
                <w:rFonts w:ascii="Times New Roman" w:hAnsi="Times New Roman" w:eastAsia="Times New Roman" w:cs="Times New Roman"/>
                <w:sz w:val="20"/>
              </w:rPr>
              <w:t>$5,000</w:t>
            </w:r>
          </w:p>
        </w:tc>
        <w:tc>
          <w:tcPr>
            <w:tcW w:type="dxa" w:w="3120"/>
          </w:tcPr>
          <w:p>
            <w:r>
              <w:rPr>
                <w:rFonts w:ascii="Times New Roman" w:hAnsi="Times New Roman"/>
                <w:sz w:val="20"/>
              </w:rPr>
            </w:r>
            <w:r>
              <w:rPr>
                <w:rFonts w:ascii="Times New Roman" w:hAnsi="Times New Roman" w:eastAsia="Times New Roman" w:cs="Times New Roman"/>
                <w:sz w:val="20"/>
              </w:rPr>
              <w:t>$15,000</w:t>
            </w:r>
          </w:p>
        </w:tc>
      </w:tr>
      <w:tr>
        <w:tc>
          <w:tcPr>
            <w:tcW w:type="dxa" w:w="3120"/>
          </w:tcPr>
          <w:p>
            <w:r>
              <w:rPr>
                <w:rFonts w:ascii="Times New Roman" w:hAnsi="Times New Roman"/>
                <w:sz w:val="20"/>
              </w:rPr>
            </w:r>
            <w:r>
              <w:rPr>
                <w:rFonts w:ascii="Times New Roman" w:hAnsi="Times New Roman" w:eastAsia="Times New Roman" w:cs="Times New Roman"/>
                <w:sz w:val="20"/>
              </w:rPr>
              <w:t>Total</w:t>
            </w:r>
          </w:p>
        </w:tc>
        <w:tc>
          <w:tcPr>
            <w:tcW w:type="dxa" w:w="3120"/>
          </w:tcPr>
          <w:p>
            <w:r>
              <w:rPr>
                <w:rFonts w:ascii="Times New Roman" w:hAnsi="Times New Roman"/>
                <w:sz w:val="20"/>
              </w:rPr>
            </w:r>
            <w:r>
              <w:rPr>
                <w:rFonts w:ascii="Times New Roman" w:hAnsi="Times New Roman" w:eastAsia="Times New Roman" w:cs="Times New Roman"/>
                <w:sz w:val="20"/>
              </w:rPr>
              <w:t>$106,000</w:t>
            </w:r>
          </w:p>
        </w:tc>
        <w:tc>
          <w:tcPr>
            <w:tcW w:type="dxa" w:w="3120"/>
          </w:tcPr>
          <w:p>
            <w:r>
              <w:rPr>
                <w:rFonts w:ascii="Times New Roman" w:hAnsi="Times New Roman"/>
                <w:sz w:val="20"/>
              </w:rPr>
            </w:r>
            <w:r>
              <w:rPr>
                <w:rFonts w:ascii="Times New Roman" w:hAnsi="Times New Roman" w:eastAsia="Times New Roman" w:cs="Times New Roman"/>
                <w:sz w:val="20"/>
              </w:rPr>
              <w:t>$255,000</w:t>
            </w:r>
          </w:p>
        </w:tc>
      </w:tr>
    </w:tbl>
    <w:p>
      <w:pPr>
        <w:spacing w:before="0" w:after="120"/>
      </w:pPr>
    </w:p>
    <w:p>
      <w:pPr>
        <w:spacing w:before="0" w:after="120" w:line="276" w:lineRule="auto"/>
      </w:pPr>
      <w:r>
        <w:rPr>
          <w:rFonts w:ascii="Times New Roman" w:hAnsi="Times New Roman" w:eastAsia="Times New Roman" w:cs="Times New Roman"/>
          <w:sz w:val="24"/>
        </w:rPr>
        <w:t>(Data adapted from project estimates and comparable facility costs [15].)</w:t>
      </w:r>
    </w:p>
    <w:p>
      <w:pPr>
        <w:spacing w:before="0" w:after="120" w:line="276" w:lineRule="auto"/>
      </w:pPr>
      <w:r>
        <w:rPr>
          <w:rFonts w:ascii="Times New Roman" w:hAnsi="Times New Roman" w:eastAsia="Times New Roman" w:cs="Times New Roman"/>
          <w:b/>
          <w:sz w:val="24"/>
        </w:rPr>
        <w:t>Table 3: Integrated Startup Budget (First Year)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4057" w:val="clear"/>
          </w:tcPr>
          <w:p>
            <w:r>
              <w:rPr>
                <w:rFonts w:ascii="Times New Roman" w:hAnsi="Times New Roman"/>
                <w:b/>
                <w:color w:val="FFFFFF"/>
                <w:sz w:val="20"/>
              </w:rPr>
            </w:r>
            <w:r>
              <w:rPr>
                <w:rFonts w:ascii="Times New Roman" w:hAnsi="Times New Roman" w:eastAsia="Times New Roman" w:cs="Times New Roman"/>
                <w:b/>
                <w:color w:val="FFFFFF"/>
                <w:sz w:val="20"/>
              </w:rPr>
              <w:t>Expense Category</w:t>
            </w:r>
          </w:p>
        </w:tc>
        <w:tc>
          <w:tcPr>
            <w:tcW w:type="dxa" w:w="2340"/>
            <w:shd w:fill="2E4057" w:val="clear"/>
          </w:tcPr>
          <w:p>
            <w:r>
              <w:rPr>
                <w:rFonts w:ascii="Times New Roman" w:hAnsi="Times New Roman"/>
                <w:b/>
                <w:color w:val="FFFFFF"/>
                <w:sz w:val="20"/>
              </w:rPr>
            </w:r>
            <w:r>
              <w:rPr>
                <w:rFonts w:ascii="Times New Roman" w:hAnsi="Times New Roman" w:eastAsia="Times New Roman" w:cs="Times New Roman"/>
                <w:b/>
                <w:color w:val="FFFFFF"/>
                <w:sz w:val="20"/>
              </w:rPr>
              <w:t>Description</w:t>
            </w:r>
          </w:p>
        </w:tc>
        <w:tc>
          <w:tcPr>
            <w:tcW w:type="dxa" w:w="2340"/>
            <w:shd w:fill="2E4057" w:val="clear"/>
          </w:tcPr>
          <w:p>
            <w:r>
              <w:rPr>
                <w:rFonts w:ascii="Times New Roman" w:hAnsi="Times New Roman"/>
                <w:b/>
                <w:color w:val="FFFFFF"/>
                <w:sz w:val="20"/>
              </w:rPr>
            </w:r>
            <w:r>
              <w:rPr>
                <w:rFonts w:ascii="Times New Roman" w:hAnsi="Times New Roman" w:eastAsia="Times New Roman" w:cs="Times New Roman"/>
                <w:b/>
                <w:color w:val="FFFFFF"/>
                <w:sz w:val="20"/>
              </w:rPr>
              <w:t>Lean (CAD)</w:t>
            </w:r>
          </w:p>
        </w:tc>
        <w:tc>
          <w:tcPr>
            <w:tcW w:type="dxa" w:w="2340"/>
            <w:shd w:fill="2E4057" w:val="clear"/>
          </w:tcPr>
          <w:p>
            <w:r>
              <w:rPr>
                <w:rFonts w:ascii="Times New Roman" w:hAnsi="Times New Roman"/>
                <w:b/>
                <w:color w:val="FFFFFF"/>
                <w:sz w:val="20"/>
              </w:rPr>
            </w:r>
            <w:r>
              <w:rPr>
                <w:rFonts w:ascii="Times New Roman" w:hAnsi="Times New Roman" w:eastAsia="Times New Roman" w:cs="Times New Roman"/>
                <w:b/>
                <w:color w:val="FFFFFF"/>
                <w:sz w:val="20"/>
              </w:rPr>
              <w:t>Expanded (CAD)</w:t>
            </w:r>
          </w:p>
        </w:tc>
      </w:tr>
      <w:tr>
        <w:tc>
          <w:tcPr>
            <w:tcW w:type="dxa" w:w="2340"/>
          </w:tcPr>
          <w:p>
            <w:r>
              <w:rPr>
                <w:rFonts w:ascii="Times New Roman" w:hAnsi="Times New Roman"/>
                <w:sz w:val="20"/>
              </w:rPr>
            </w:r>
            <w:r>
              <w:rPr>
                <w:rFonts w:ascii="Times New Roman" w:hAnsi="Times New Roman" w:eastAsia="Times New Roman" w:cs="Times New Roman"/>
                <w:sz w:val="20"/>
              </w:rPr>
              <w:t>Personnel (Salaries)</w:t>
            </w:r>
          </w:p>
        </w:tc>
        <w:tc>
          <w:tcPr>
            <w:tcW w:type="dxa" w:w="2340"/>
          </w:tcPr>
          <w:p>
            <w:r>
              <w:rPr>
                <w:rFonts w:ascii="Times New Roman" w:hAnsi="Times New Roman"/>
                <w:sz w:val="20"/>
              </w:rPr>
            </w:r>
            <w:r>
              <w:rPr>
                <w:rFonts w:ascii="Times New Roman" w:hAnsi="Times New Roman" w:eastAsia="Times New Roman" w:cs="Times New Roman"/>
                <w:sz w:val="20"/>
              </w:rPr>
              <w:t>2 Safety Instructors + Admin Support</w:t>
            </w:r>
          </w:p>
        </w:tc>
        <w:tc>
          <w:tcPr>
            <w:tcW w:type="dxa" w:w="2340"/>
          </w:tcPr>
          <w:p>
            <w:r>
              <w:rPr>
                <w:rFonts w:ascii="Times New Roman" w:hAnsi="Times New Roman"/>
                <w:sz w:val="20"/>
              </w:rPr>
            </w:r>
            <w:r>
              <w:rPr>
                <w:rFonts w:ascii="Times New Roman" w:hAnsi="Times New Roman" w:eastAsia="Times New Roman" w:cs="Times New Roman"/>
                <w:sz w:val="20"/>
              </w:rPr>
              <w:t>$110,000</w:t>
            </w:r>
          </w:p>
        </w:tc>
        <w:tc>
          <w:tcPr>
            <w:tcW w:type="dxa" w:w="2340"/>
          </w:tcPr>
          <w:p>
            <w:r>
              <w:rPr>
                <w:rFonts w:ascii="Times New Roman" w:hAnsi="Times New Roman"/>
                <w:sz w:val="20"/>
              </w:rPr>
            </w:r>
            <w:r>
              <w:rPr>
                <w:rFonts w:ascii="Times New Roman" w:hAnsi="Times New Roman" w:eastAsia="Times New Roman" w:cs="Times New Roman"/>
                <w:sz w:val="20"/>
              </w:rPr>
              <w:t>$160,000</w:t>
            </w:r>
          </w:p>
        </w:tc>
      </w:tr>
      <w:tr>
        <w:tc>
          <w:tcPr>
            <w:tcW w:type="dxa" w:w="2340"/>
          </w:tcPr>
          <w:p>
            <w:r>
              <w:rPr>
                <w:rFonts w:ascii="Times New Roman" w:hAnsi="Times New Roman"/>
                <w:sz w:val="20"/>
              </w:rPr>
            </w:r>
            <w:r>
              <w:rPr>
                <w:rFonts w:ascii="Times New Roman" w:hAnsi="Times New Roman" w:eastAsia="Times New Roman" w:cs="Times New Roman"/>
                <w:sz w:val="20"/>
              </w:rPr>
              <w:t>Equipment and Tooling</w:t>
            </w:r>
          </w:p>
        </w:tc>
        <w:tc>
          <w:tcPr>
            <w:tcW w:type="dxa" w:w="2340"/>
          </w:tcPr>
          <w:p>
            <w:r>
              <w:rPr>
                <w:rFonts w:ascii="Times New Roman" w:hAnsi="Times New Roman"/>
                <w:sz w:val="20"/>
              </w:rPr>
            </w:r>
            <w:r>
              <w:rPr>
                <w:rFonts w:ascii="Times New Roman" w:hAnsi="Times New Roman" w:eastAsia="Times New Roman" w:cs="Times New Roman"/>
                <w:sz w:val="20"/>
              </w:rPr>
              <w:t>3D printers, CNC, electronics, design tools</w:t>
            </w:r>
          </w:p>
        </w:tc>
        <w:tc>
          <w:tcPr>
            <w:tcW w:type="dxa" w:w="2340"/>
          </w:tcPr>
          <w:p>
            <w:r>
              <w:rPr>
                <w:rFonts w:ascii="Times New Roman" w:hAnsi="Times New Roman"/>
                <w:sz w:val="20"/>
              </w:rPr>
            </w:r>
            <w:r>
              <w:rPr>
                <w:rFonts w:ascii="Times New Roman" w:hAnsi="Times New Roman" w:eastAsia="Times New Roman" w:cs="Times New Roman"/>
                <w:sz w:val="20"/>
              </w:rPr>
              <w:t>$60,000</w:t>
            </w:r>
          </w:p>
        </w:tc>
        <w:tc>
          <w:tcPr>
            <w:tcW w:type="dxa" w:w="2340"/>
          </w:tcPr>
          <w:p>
            <w:r>
              <w:rPr>
                <w:rFonts w:ascii="Times New Roman" w:hAnsi="Times New Roman"/>
                <w:sz w:val="20"/>
              </w:rPr>
            </w:r>
            <w:r>
              <w:rPr>
                <w:rFonts w:ascii="Times New Roman" w:hAnsi="Times New Roman" w:eastAsia="Times New Roman" w:cs="Times New Roman"/>
                <w:sz w:val="20"/>
              </w:rPr>
              <w:t>$120,000</w:t>
            </w:r>
          </w:p>
        </w:tc>
      </w:tr>
      <w:tr>
        <w:tc>
          <w:tcPr>
            <w:tcW w:type="dxa" w:w="2340"/>
          </w:tcPr>
          <w:p>
            <w:r>
              <w:rPr>
                <w:rFonts w:ascii="Times New Roman" w:hAnsi="Times New Roman"/>
                <w:sz w:val="20"/>
              </w:rPr>
            </w:r>
            <w:r>
              <w:rPr>
                <w:rFonts w:ascii="Times New Roman" w:hAnsi="Times New Roman" w:eastAsia="Times New Roman" w:cs="Times New Roman"/>
                <w:sz w:val="20"/>
              </w:rPr>
              <w:t>Facility Operations</w:t>
            </w:r>
          </w:p>
        </w:tc>
        <w:tc>
          <w:tcPr>
            <w:tcW w:type="dxa" w:w="2340"/>
          </w:tcPr>
          <w:p>
            <w:r>
              <w:rPr>
                <w:rFonts w:ascii="Times New Roman" w:hAnsi="Times New Roman"/>
                <w:sz w:val="20"/>
              </w:rPr>
            </w:r>
            <w:r>
              <w:rPr>
                <w:rFonts w:ascii="Times New Roman" w:hAnsi="Times New Roman" w:eastAsia="Times New Roman" w:cs="Times New Roman"/>
                <w:sz w:val="20"/>
              </w:rPr>
              <w:t>12 months rent (Langford, inc. NNN), utilities, internet</w:t>
            </w:r>
          </w:p>
        </w:tc>
        <w:tc>
          <w:tcPr>
            <w:tcW w:type="dxa" w:w="2340"/>
          </w:tcPr>
          <w:p>
            <w:r>
              <w:rPr>
                <w:rFonts w:ascii="Times New Roman" w:hAnsi="Times New Roman"/>
                <w:sz w:val="20"/>
              </w:rPr>
            </w:r>
            <w:r>
              <w:rPr>
                <w:rFonts w:ascii="Times New Roman" w:hAnsi="Times New Roman" w:eastAsia="Times New Roman" w:cs="Times New Roman"/>
                <w:sz w:val="20"/>
              </w:rPr>
              <w:t>$96,000</w:t>
            </w:r>
          </w:p>
        </w:tc>
        <w:tc>
          <w:tcPr>
            <w:tcW w:type="dxa" w:w="2340"/>
          </w:tcPr>
          <w:p>
            <w:r>
              <w:rPr>
                <w:rFonts w:ascii="Times New Roman" w:hAnsi="Times New Roman"/>
                <w:sz w:val="20"/>
              </w:rPr>
            </w:r>
            <w:r>
              <w:rPr>
                <w:rFonts w:ascii="Times New Roman" w:hAnsi="Times New Roman" w:eastAsia="Times New Roman" w:cs="Times New Roman"/>
                <w:sz w:val="20"/>
              </w:rPr>
              <w:t>$150,000</w:t>
            </w:r>
          </w:p>
        </w:tc>
      </w:tr>
      <w:tr>
        <w:tc>
          <w:tcPr>
            <w:tcW w:type="dxa" w:w="2340"/>
          </w:tcPr>
          <w:p>
            <w:r>
              <w:rPr>
                <w:rFonts w:ascii="Times New Roman" w:hAnsi="Times New Roman"/>
                <w:sz w:val="20"/>
              </w:rPr>
            </w:r>
            <w:r>
              <w:rPr>
                <w:rFonts w:ascii="Times New Roman" w:hAnsi="Times New Roman" w:eastAsia="Times New Roman" w:cs="Times New Roman"/>
                <w:sz w:val="20"/>
              </w:rPr>
              <w:t>Legal and Insurance</w:t>
            </w:r>
          </w:p>
        </w:tc>
        <w:tc>
          <w:tcPr>
            <w:tcW w:type="dxa" w:w="2340"/>
          </w:tcPr>
          <w:p>
            <w:r>
              <w:rPr>
                <w:rFonts w:ascii="Times New Roman" w:hAnsi="Times New Roman"/>
                <w:sz w:val="20"/>
              </w:rPr>
            </w:r>
            <w:r>
              <w:rPr>
                <w:rFonts w:ascii="Times New Roman" w:hAnsi="Times New Roman" w:eastAsia="Times New Roman" w:cs="Times New Roman"/>
                <w:sz w:val="20"/>
              </w:rPr>
              <w:t>High-risk liability coverage + nonprofit incorporation</w:t>
            </w:r>
          </w:p>
        </w:tc>
        <w:tc>
          <w:tcPr>
            <w:tcW w:type="dxa" w:w="2340"/>
          </w:tcPr>
          <w:p>
            <w:r>
              <w:rPr>
                <w:rFonts w:ascii="Times New Roman" w:hAnsi="Times New Roman"/>
                <w:sz w:val="20"/>
              </w:rPr>
            </w:r>
            <w:r>
              <w:rPr>
                <w:rFonts w:ascii="Times New Roman" w:hAnsi="Times New Roman" w:eastAsia="Times New Roman" w:cs="Times New Roman"/>
                <w:sz w:val="20"/>
              </w:rPr>
              <w:t>$20,000</w:t>
            </w:r>
          </w:p>
        </w:tc>
        <w:tc>
          <w:tcPr>
            <w:tcW w:type="dxa" w:w="2340"/>
          </w:tcPr>
          <w:p>
            <w:r>
              <w:rPr>
                <w:rFonts w:ascii="Times New Roman" w:hAnsi="Times New Roman"/>
                <w:sz w:val="20"/>
              </w:rPr>
            </w:r>
            <w:r>
              <w:rPr>
                <w:rFonts w:ascii="Times New Roman" w:hAnsi="Times New Roman" w:eastAsia="Times New Roman" w:cs="Times New Roman"/>
                <w:sz w:val="20"/>
              </w:rPr>
              <w:t>$35,000</w:t>
            </w:r>
          </w:p>
        </w:tc>
      </w:tr>
      <w:tr>
        <w:tc>
          <w:tcPr>
            <w:tcW w:type="dxa" w:w="2340"/>
          </w:tcPr>
          <w:p>
            <w:r>
              <w:rPr>
                <w:rFonts w:ascii="Times New Roman" w:hAnsi="Times New Roman"/>
                <w:sz w:val="20"/>
              </w:rPr>
            </w:r>
            <w:r>
              <w:rPr>
                <w:rFonts w:ascii="Times New Roman" w:hAnsi="Times New Roman" w:eastAsia="Times New Roman" w:cs="Times New Roman"/>
                <w:sz w:val="20"/>
              </w:rPr>
              <w:t>Marketing and Outreach</w:t>
            </w:r>
          </w:p>
        </w:tc>
        <w:tc>
          <w:tcPr>
            <w:tcW w:type="dxa" w:w="2340"/>
          </w:tcPr>
          <w:p>
            <w:r>
              <w:rPr>
                <w:rFonts w:ascii="Times New Roman" w:hAnsi="Times New Roman"/>
                <w:sz w:val="20"/>
              </w:rPr>
            </w:r>
            <w:r>
              <w:rPr>
                <w:rFonts w:ascii="Times New Roman" w:hAnsi="Times New Roman" w:eastAsia="Times New Roman" w:cs="Times New Roman"/>
                <w:sz w:val="20"/>
              </w:rPr>
              <w:t>SD 62 outreach, branding, signage</w:t>
            </w:r>
          </w:p>
        </w:tc>
        <w:tc>
          <w:tcPr>
            <w:tcW w:type="dxa" w:w="2340"/>
          </w:tcPr>
          <w:p>
            <w:r>
              <w:rPr>
                <w:rFonts w:ascii="Times New Roman" w:hAnsi="Times New Roman"/>
                <w:sz w:val="20"/>
              </w:rPr>
            </w:r>
            <w:r>
              <w:rPr>
                <w:rFonts w:ascii="Times New Roman" w:hAnsi="Times New Roman" w:eastAsia="Times New Roman" w:cs="Times New Roman"/>
                <w:sz w:val="20"/>
              </w:rPr>
              <w:t>$10,000</w:t>
            </w:r>
          </w:p>
        </w:tc>
        <w:tc>
          <w:tcPr>
            <w:tcW w:type="dxa" w:w="2340"/>
          </w:tcPr>
          <w:p>
            <w:r>
              <w:rPr>
                <w:rFonts w:ascii="Times New Roman" w:hAnsi="Times New Roman"/>
                <w:sz w:val="20"/>
              </w:rPr>
            </w:r>
            <w:r>
              <w:rPr>
                <w:rFonts w:ascii="Times New Roman" w:hAnsi="Times New Roman" w:eastAsia="Times New Roman" w:cs="Times New Roman"/>
                <w:sz w:val="20"/>
              </w:rPr>
              <w:t>$20,000</w:t>
            </w:r>
          </w:p>
        </w:tc>
      </w:tr>
      <w:tr>
        <w:tc>
          <w:tcPr>
            <w:tcW w:type="dxa" w:w="2340"/>
          </w:tcPr>
          <w:p>
            <w:r>
              <w:rPr>
                <w:rFonts w:ascii="Times New Roman" w:hAnsi="Times New Roman"/>
                <w:sz w:val="20"/>
              </w:rPr>
            </w:r>
            <w:r>
              <w:rPr>
                <w:rFonts w:ascii="Times New Roman" w:hAnsi="Times New Roman" w:eastAsia="Times New Roman" w:cs="Times New Roman"/>
                <w:sz w:val="20"/>
              </w:rPr>
              <w:t>Development Labor</w:t>
            </w:r>
          </w:p>
        </w:tc>
        <w:tc>
          <w:tcPr>
            <w:tcW w:type="dxa" w:w="2340"/>
          </w:tcPr>
          <w:p>
            <w:r>
              <w:rPr>
                <w:rFonts w:ascii="Times New Roman" w:hAnsi="Times New Roman"/>
                <w:sz w:val="20"/>
              </w:rPr>
            </w:r>
            <w:r>
              <w:rPr>
                <w:rFonts w:ascii="Times New Roman" w:hAnsi="Times New Roman" w:eastAsia="Times New Roman" w:cs="Times New Roman"/>
                <w:sz w:val="20"/>
              </w:rPr>
              <w:t>Student labor from Table 1</w:t>
            </w:r>
          </w:p>
        </w:tc>
        <w:tc>
          <w:tcPr>
            <w:tcW w:type="dxa" w:w="2340"/>
          </w:tcPr>
          <w:p>
            <w:r>
              <w:rPr>
                <w:rFonts w:ascii="Times New Roman" w:hAnsi="Times New Roman"/>
                <w:sz w:val="20"/>
              </w:rPr>
            </w:r>
            <w:r>
              <w:rPr>
                <w:rFonts w:ascii="Times New Roman" w:hAnsi="Times New Roman" w:eastAsia="Times New Roman" w:cs="Times New Roman"/>
                <w:sz w:val="20"/>
              </w:rPr>
              <w:t>$17,000</w:t>
            </w:r>
          </w:p>
        </w:tc>
        <w:tc>
          <w:tcPr>
            <w:tcW w:type="dxa" w:w="2340"/>
          </w:tcPr>
          <w:p>
            <w:r>
              <w:rPr>
                <w:rFonts w:ascii="Times New Roman" w:hAnsi="Times New Roman"/>
                <w:sz w:val="20"/>
              </w:rPr>
            </w:r>
            <w:r>
              <w:rPr>
                <w:rFonts w:ascii="Times New Roman" w:hAnsi="Times New Roman" w:eastAsia="Times New Roman" w:cs="Times New Roman"/>
                <w:sz w:val="20"/>
              </w:rPr>
              <w:t>$17,000</w:t>
            </w:r>
          </w:p>
        </w:tc>
      </w:tr>
      <w:tr>
        <w:tc>
          <w:tcPr>
            <w:tcW w:type="dxa" w:w="2340"/>
          </w:tcPr>
          <w:p>
            <w:r>
              <w:rPr>
                <w:rFonts w:ascii="Times New Roman" w:hAnsi="Times New Roman"/>
                <w:sz w:val="20"/>
              </w:rPr>
            </w:r>
            <w:r>
              <w:rPr>
                <w:rFonts w:ascii="Times New Roman" w:hAnsi="Times New Roman" w:eastAsia="Times New Roman" w:cs="Times New Roman"/>
                <w:sz w:val="20"/>
              </w:rPr>
              <w:t>Contingency (15%)</w:t>
            </w:r>
          </w:p>
        </w:tc>
        <w:tc>
          <w:tcPr>
            <w:tcW w:type="dxa" w:w="2340"/>
          </w:tcPr>
          <w:p>
            <w:r>
              <w:rPr>
                <w:rFonts w:ascii="Times New Roman" w:hAnsi="Times New Roman"/>
                <w:sz w:val="20"/>
              </w:rPr>
            </w:r>
            <w:r>
              <w:rPr>
                <w:rFonts w:ascii="Times New Roman" w:hAnsi="Times New Roman" w:eastAsia="Times New Roman" w:cs="Times New Roman"/>
                <w:sz w:val="20"/>
              </w:rPr>
              <w:t>Emergency repairs and working capital</w:t>
            </w:r>
          </w:p>
        </w:tc>
        <w:tc>
          <w:tcPr>
            <w:tcW w:type="dxa" w:w="2340"/>
          </w:tcPr>
          <w:p>
            <w:r>
              <w:rPr>
                <w:rFonts w:ascii="Times New Roman" w:hAnsi="Times New Roman"/>
                <w:sz w:val="20"/>
              </w:rPr>
            </w:r>
            <w:r>
              <w:rPr>
                <w:rFonts w:ascii="Times New Roman" w:hAnsi="Times New Roman" w:eastAsia="Times New Roman" w:cs="Times New Roman"/>
                <w:sz w:val="20"/>
              </w:rPr>
              <w:t>$46,950</w:t>
            </w:r>
          </w:p>
        </w:tc>
        <w:tc>
          <w:tcPr>
            <w:tcW w:type="dxa" w:w="2340"/>
          </w:tcPr>
          <w:p>
            <w:r>
              <w:rPr>
                <w:rFonts w:ascii="Times New Roman" w:hAnsi="Times New Roman"/>
                <w:sz w:val="20"/>
              </w:rPr>
            </w:r>
            <w:r>
              <w:rPr>
                <w:rFonts w:ascii="Times New Roman" w:hAnsi="Times New Roman" w:eastAsia="Times New Roman" w:cs="Times New Roman"/>
                <w:sz w:val="20"/>
              </w:rPr>
              <w:t>$75,300</w:t>
            </w:r>
          </w:p>
        </w:tc>
      </w:tr>
      <w:tr>
        <w:tc>
          <w:tcPr>
            <w:tcW w:type="dxa" w:w="2340"/>
          </w:tcPr>
          <w:p>
            <w:r>
              <w:rPr>
                <w:rFonts w:ascii="Times New Roman" w:hAnsi="Times New Roman"/>
                <w:sz w:val="20"/>
              </w:rPr>
            </w:r>
            <w:r>
              <w:rPr>
                <w:rFonts w:ascii="Times New Roman" w:hAnsi="Times New Roman" w:eastAsia="Times New Roman" w:cs="Times New Roman"/>
                <w:sz w:val="20"/>
              </w:rPr>
              <w:t>Total</w:t>
            </w:r>
          </w:p>
        </w:tc>
        <w:tc>
          <w:tcPr>
            <w:tcW w:type="dxa" w:w="2340"/>
          </w:tcPr>
          <w:p>
            <w:r>
              <w:rPr>
                <w:rFonts w:ascii="Times New Roman" w:hAnsi="Times New Roman"/>
                <w:sz w:val="20"/>
              </w:rPr>
            </w:r>
          </w:p>
        </w:tc>
        <w:tc>
          <w:tcPr>
            <w:tcW w:type="dxa" w:w="2340"/>
          </w:tcPr>
          <w:p>
            <w:r>
              <w:rPr>
                <w:rFonts w:ascii="Times New Roman" w:hAnsi="Times New Roman"/>
                <w:sz w:val="20"/>
              </w:rPr>
            </w:r>
            <w:r>
              <w:rPr>
                <w:rFonts w:ascii="Times New Roman" w:hAnsi="Times New Roman" w:eastAsia="Times New Roman" w:cs="Times New Roman"/>
                <w:sz w:val="20"/>
              </w:rPr>
              <w:t>$359,950</w:t>
            </w:r>
          </w:p>
        </w:tc>
        <w:tc>
          <w:tcPr>
            <w:tcW w:type="dxa" w:w="2340"/>
          </w:tcPr>
          <w:p>
            <w:r>
              <w:rPr>
                <w:rFonts w:ascii="Times New Roman" w:hAnsi="Times New Roman"/>
                <w:sz w:val="20"/>
              </w:rPr>
            </w:r>
            <w:r>
              <w:rPr>
                <w:rFonts w:ascii="Times New Roman" w:hAnsi="Times New Roman" w:eastAsia="Times New Roman" w:cs="Times New Roman"/>
                <w:sz w:val="20"/>
              </w:rPr>
              <w:t>$577,300</w:t>
            </w:r>
          </w:p>
        </w:tc>
      </w:tr>
    </w:tbl>
    <w:p>
      <w:pPr>
        <w:spacing w:before="0" w:after="120"/>
      </w:pPr>
    </w:p>
    <w:p>
      <w:pPr>
        <w:spacing w:before="0" w:after="120" w:line="276" w:lineRule="auto"/>
      </w:pPr>
      <w:r>
        <w:rPr>
          <w:rFonts w:ascii="Times New Roman" w:hAnsi="Times New Roman" w:eastAsia="Times New Roman" w:cs="Times New Roman"/>
          <w:sz w:val="24"/>
        </w:rPr>
        <w:t>(Data adapted from phased rollout projections, indexed to 2024-2025 Langford lease rates [15].)</w:t>
      </w:r>
    </w:p>
    <w:p>
      <w:pPr>
        <w:spacing w:before="0" w:after="120" w:line="276" w:lineRule="auto"/>
      </w:pPr>
      <w:r>
        <w:rPr>
          <w:rFonts w:ascii="Times New Roman" w:hAnsi="Times New Roman" w:eastAsia="Times New Roman" w:cs="Times New Roman"/>
          <w:sz w:val="24"/>
        </w:rPr>
        <w:t>(Note: Table 2 provides a categorical summary of startup capital costs. Table 3 integrates those costs with ongoing first-year operational expenses, development labor, and a 15 percent contingency reserve. Facility operations reflect current Langford industrial lease rates of $16 to $22 per sqft net plus $6 to $9 per sqft NNN, as documented in Section 4b.)</w:t>
      </w:r>
    </w:p>
    <w:p>
      <w:pPr>
        <w:pStyle w:val="Heading2"/>
        <w:jc w:val="left"/>
      </w:pPr>
      <w:r>
        <w:rPr>
          <w:rFonts w:ascii="Times New Roman" w:hAnsi="Times New Roman" w:eastAsia="Times New Roman" w:cs="Times New Roman"/>
          <w:b/>
          <w:sz w:val="28"/>
        </w:rPr>
        <w:t>5. Risk Mitigation and Sustainability Plan</w:t>
      </w:r>
    </w:p>
    <w:p>
      <w:pPr>
        <w:pStyle w:val="Heading3"/>
        <w:jc w:val="left"/>
      </w:pPr>
      <w:r>
        <w:rPr>
          <w:rFonts w:ascii="Times New Roman" w:hAnsi="Times New Roman" w:eastAsia="Times New Roman" w:cs="Times New Roman"/>
          <w:b/>
          <w:sz w:val="24"/>
        </w:rPr>
        <w:t>5.1 Risk Mitigation Strategy</w:t>
      </w:r>
    </w:p>
    <w:p>
      <w:pPr>
        <w:spacing w:before="0" w:after="120" w:line="276" w:lineRule="auto"/>
      </w:pPr>
      <w:r>
        <w:rPr>
          <w:rFonts w:ascii="Times New Roman" w:hAnsi="Times New Roman" w:eastAsia="Times New Roman" w:cs="Times New Roman"/>
          <w:sz w:val="24"/>
        </w:rPr>
        <w:t>Project implementation involves several critical risks requiring proactive management:</w:t>
      </w:r>
    </w:p>
    <w:p>
      <w:pPr>
        <w:pStyle w:val="ListBullet"/>
        <w:spacing w:before="0" w:after="60" w:line="276" w:lineRule="auto"/>
      </w:pPr>
      <w:r>
        <w:rPr>
          <w:rFonts w:ascii="Times New Roman" w:hAnsi="Times New Roman" w:eastAsia="Times New Roman" w:cs="Times New Roman"/>
          <w:b/>
          <w:sz w:val="24"/>
        </w:rPr>
        <w:t>Facility Delay:</w:t>
      </w:r>
      <w:r>
        <w:rPr>
          <w:rFonts w:ascii="Times New Roman" w:hAnsi="Times New Roman" w:eastAsia="Times New Roman" w:cs="Times New Roman"/>
          <w:sz w:val="24"/>
        </w:rPr>
        <w:t xml:space="preserve"> If a facility partnership is not secured within the first three months, Crossroads will adopt a “pop-up” model, renting community center space for mobile workshops while continuing permanent lease negotiations.</w:t>
      </w:r>
    </w:p>
    <w:p>
      <w:pPr>
        <w:pStyle w:val="ListBullet"/>
        <w:spacing w:before="0" w:after="60" w:line="276" w:lineRule="auto"/>
      </w:pPr>
      <w:r>
        <w:rPr>
          <w:rFonts w:ascii="Times New Roman" w:hAnsi="Times New Roman" w:eastAsia="Times New Roman" w:cs="Times New Roman"/>
          <w:b/>
          <w:sz w:val="24"/>
        </w:rPr>
        <w:t>Funding Shortfall:</w:t>
      </w:r>
      <w:r>
        <w:rPr>
          <w:rFonts w:ascii="Times New Roman" w:hAnsi="Times New Roman" w:eastAsia="Times New Roman" w:cs="Times New Roman"/>
          <w:sz w:val="24"/>
        </w:rPr>
        <w:t xml:space="preserve"> If grant funding is lower than projected, the project will scale to the lean budget of $359,950. Initial offerings will prioritize high-demand disciplines (Robotics and Software Development) and expand as revenue allows.</w:t>
      </w:r>
    </w:p>
    <w:p>
      <w:pPr>
        <w:pStyle w:val="ListBullet"/>
        <w:spacing w:before="0" w:after="60" w:line="276" w:lineRule="auto"/>
      </w:pPr>
      <w:r>
        <w:rPr>
          <w:rFonts w:ascii="Times New Roman" w:hAnsi="Times New Roman" w:eastAsia="Times New Roman" w:cs="Times New Roman"/>
          <w:b/>
          <w:sz w:val="24"/>
        </w:rPr>
        <w:t>Low Participation:</w:t>
      </w:r>
      <w:r>
        <w:rPr>
          <w:rFonts w:ascii="Times New Roman" w:hAnsi="Times New Roman" w:eastAsia="Times New Roman" w:cs="Times New Roman"/>
          <w:sz w:val="24"/>
        </w:rPr>
        <w:t xml:space="preserve"> If attendance targets are not met, the Program Director will reallocate the marketing budget toward free trial workshops and direct partnerships with School Districts 61, 62, and 63.</w:t>
      </w:r>
    </w:p>
    <w:p>
      <w:pPr>
        <w:pStyle w:val="Heading3"/>
        <w:jc w:val="left"/>
      </w:pPr>
      <w:r>
        <w:rPr>
          <w:rFonts w:ascii="Times New Roman" w:hAnsi="Times New Roman" w:eastAsia="Times New Roman" w:cs="Times New Roman"/>
          <w:b/>
          <w:sz w:val="24"/>
        </w:rPr>
        <w:t>5.2 Long-term Sustainability Plan</w:t>
      </w:r>
    </w:p>
    <w:p>
      <w:pPr>
        <w:spacing w:before="0" w:after="120" w:line="276" w:lineRule="auto"/>
      </w:pPr>
      <w:r>
        <w:rPr>
          <w:rFonts w:ascii="Times New Roman" w:hAnsi="Times New Roman" w:eastAsia="Times New Roman" w:cs="Times New Roman"/>
          <w:sz w:val="24"/>
        </w:rPr>
        <w:t>Financial independence is central to long-term viability. Revenue will be generated through multiple channels: workshop fees, monthly memberships, equipment surcharges, corporate training contracts, event hosting, and grant funding. To protect against the loss of any single income stream, the organization mandates that no individual funding source (such as a specific government grant or corporate sponsor) exceeds 30 percent of total revenue. Earned revenue, defined as the aggregate of memberships, workshop fees, equipment surcharges, corporate training, and event hosting, is projected to reach 55 percent of total income by Year 3. This target is consistent with the 30 percent cap because earned revenue comprises multiple distinct sub-categories, each individually below the threshold.</w:t>
      </w:r>
    </w:p>
    <w:p>
      <w:pPr>
        <w:spacing w:before="0" w:after="120" w:line="276" w:lineRule="auto"/>
      </w:pPr>
      <w:r>
        <w:rPr>
          <w:rFonts w:ascii="Times New Roman" w:hAnsi="Times New Roman" w:eastAsia="Times New Roman" w:cs="Times New Roman"/>
          <w:sz w:val="24"/>
        </w:rPr>
        <w:t>The following break-even analysis demonstrates the monthly revenue targets required to sustain facility operations under the lean budget model ($359,950 annual / approximately $30,000 per month):</w:t>
      </w:r>
    </w:p>
    <w:p>
      <w:pPr>
        <w:spacing w:before="0" w:after="120" w:line="276" w:lineRule="auto"/>
      </w:pPr>
      <w:r>
        <w:rPr>
          <w:rFonts w:ascii="Times New Roman" w:hAnsi="Times New Roman" w:eastAsia="Times New Roman" w:cs="Times New Roman"/>
          <w:b/>
          <w:sz w:val="24"/>
        </w:rPr>
        <w:t>Table 4: Monthly Break-Even Analysis (Lean Budget)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4057" w:val="clear"/>
          </w:tcPr>
          <w:p>
            <w:r>
              <w:rPr>
                <w:rFonts w:ascii="Times New Roman" w:hAnsi="Times New Roman"/>
                <w:b/>
                <w:color w:val="FFFFFF"/>
                <w:sz w:val="20"/>
              </w:rPr>
            </w:r>
            <w:r>
              <w:rPr>
                <w:rFonts w:ascii="Times New Roman" w:hAnsi="Times New Roman" w:eastAsia="Times New Roman" w:cs="Times New Roman"/>
                <w:b/>
                <w:color w:val="FFFFFF"/>
                <w:sz w:val="20"/>
              </w:rPr>
              <w:t>Revenue Source</w:t>
            </w:r>
          </w:p>
        </w:tc>
        <w:tc>
          <w:tcPr>
            <w:tcW w:type="dxa" w:w="2340"/>
            <w:shd w:fill="2E4057" w:val="clear"/>
          </w:tcPr>
          <w:p>
            <w:r>
              <w:rPr>
                <w:rFonts w:ascii="Times New Roman" w:hAnsi="Times New Roman"/>
                <w:b/>
                <w:color w:val="FFFFFF"/>
                <w:sz w:val="20"/>
              </w:rPr>
            </w:r>
            <w:r>
              <w:rPr>
                <w:rFonts w:ascii="Times New Roman" w:hAnsi="Times New Roman" w:eastAsia="Times New Roman" w:cs="Times New Roman"/>
                <w:b/>
                <w:color w:val="FFFFFF"/>
                <w:sz w:val="20"/>
              </w:rPr>
              <w:t>Unit Price</w:t>
            </w:r>
          </w:p>
        </w:tc>
        <w:tc>
          <w:tcPr>
            <w:tcW w:type="dxa" w:w="2340"/>
            <w:shd w:fill="2E4057" w:val="clear"/>
          </w:tcPr>
          <w:p>
            <w:r>
              <w:rPr>
                <w:rFonts w:ascii="Times New Roman" w:hAnsi="Times New Roman"/>
                <w:b/>
                <w:color w:val="FFFFFF"/>
                <w:sz w:val="20"/>
              </w:rPr>
            </w:r>
            <w:r>
              <w:rPr>
                <w:rFonts w:ascii="Times New Roman" w:hAnsi="Times New Roman" w:eastAsia="Times New Roman" w:cs="Times New Roman"/>
                <w:b/>
                <w:color w:val="FFFFFF"/>
                <w:sz w:val="20"/>
              </w:rPr>
              <w:t>Monthly Target</w:t>
            </w:r>
          </w:p>
        </w:tc>
        <w:tc>
          <w:tcPr>
            <w:tcW w:type="dxa" w:w="2340"/>
            <w:shd w:fill="2E4057" w:val="clear"/>
          </w:tcPr>
          <w:p>
            <w:r>
              <w:rPr>
                <w:rFonts w:ascii="Times New Roman" w:hAnsi="Times New Roman"/>
                <w:b/>
                <w:color w:val="FFFFFF"/>
                <w:sz w:val="20"/>
              </w:rPr>
            </w:r>
            <w:r>
              <w:rPr>
                <w:rFonts w:ascii="Times New Roman" w:hAnsi="Times New Roman" w:eastAsia="Times New Roman" w:cs="Times New Roman"/>
                <w:b/>
                <w:color w:val="FFFFFF"/>
                <w:sz w:val="20"/>
              </w:rPr>
              <w:t>Monthly Revenue</w:t>
            </w:r>
          </w:p>
        </w:tc>
      </w:tr>
      <w:tr>
        <w:tc>
          <w:tcPr>
            <w:tcW w:type="dxa" w:w="2340"/>
          </w:tcPr>
          <w:p>
            <w:r>
              <w:rPr>
                <w:rFonts w:ascii="Times New Roman" w:hAnsi="Times New Roman"/>
                <w:sz w:val="20"/>
              </w:rPr>
            </w:r>
            <w:r>
              <w:rPr>
                <w:rFonts w:ascii="Times New Roman" w:hAnsi="Times New Roman" w:eastAsia="Times New Roman" w:cs="Times New Roman"/>
                <w:sz w:val="20"/>
              </w:rPr>
              <w:t>Individual Memberships</w:t>
            </w:r>
          </w:p>
        </w:tc>
        <w:tc>
          <w:tcPr>
            <w:tcW w:type="dxa" w:w="2340"/>
          </w:tcPr>
          <w:p>
            <w:r>
              <w:rPr>
                <w:rFonts w:ascii="Times New Roman" w:hAnsi="Times New Roman"/>
                <w:sz w:val="20"/>
              </w:rPr>
            </w:r>
            <w:r>
              <w:rPr>
                <w:rFonts w:ascii="Times New Roman" w:hAnsi="Times New Roman" w:eastAsia="Times New Roman" w:cs="Times New Roman"/>
                <w:sz w:val="20"/>
              </w:rPr>
              <w:t>$50/month</w:t>
            </w:r>
          </w:p>
        </w:tc>
        <w:tc>
          <w:tcPr>
            <w:tcW w:type="dxa" w:w="2340"/>
          </w:tcPr>
          <w:p>
            <w:r>
              <w:rPr>
                <w:rFonts w:ascii="Times New Roman" w:hAnsi="Times New Roman"/>
                <w:sz w:val="20"/>
              </w:rPr>
            </w:r>
            <w:r>
              <w:rPr>
                <w:rFonts w:ascii="Times New Roman" w:hAnsi="Times New Roman" w:eastAsia="Times New Roman" w:cs="Times New Roman"/>
                <w:sz w:val="20"/>
              </w:rPr>
              <w:t>150 members</w:t>
            </w:r>
          </w:p>
        </w:tc>
        <w:tc>
          <w:tcPr>
            <w:tcW w:type="dxa" w:w="2340"/>
          </w:tcPr>
          <w:p>
            <w:r>
              <w:rPr>
                <w:rFonts w:ascii="Times New Roman" w:hAnsi="Times New Roman"/>
                <w:sz w:val="20"/>
              </w:rPr>
            </w:r>
            <w:r>
              <w:rPr>
                <w:rFonts w:ascii="Times New Roman" w:hAnsi="Times New Roman" w:eastAsia="Times New Roman" w:cs="Times New Roman"/>
                <w:sz w:val="20"/>
              </w:rPr>
              <w:t>$7,500</w:t>
            </w:r>
          </w:p>
        </w:tc>
      </w:tr>
      <w:tr>
        <w:tc>
          <w:tcPr>
            <w:tcW w:type="dxa" w:w="2340"/>
          </w:tcPr>
          <w:p>
            <w:r>
              <w:rPr>
                <w:rFonts w:ascii="Times New Roman" w:hAnsi="Times New Roman"/>
                <w:sz w:val="20"/>
              </w:rPr>
            </w:r>
            <w:r>
              <w:rPr>
                <w:rFonts w:ascii="Times New Roman" w:hAnsi="Times New Roman" w:eastAsia="Times New Roman" w:cs="Times New Roman"/>
                <w:sz w:val="20"/>
              </w:rPr>
              <w:t>Drop-in Day Passes</w:t>
            </w:r>
          </w:p>
        </w:tc>
        <w:tc>
          <w:tcPr>
            <w:tcW w:type="dxa" w:w="2340"/>
          </w:tcPr>
          <w:p>
            <w:r>
              <w:rPr>
                <w:rFonts w:ascii="Times New Roman" w:hAnsi="Times New Roman"/>
                <w:sz w:val="20"/>
              </w:rPr>
            </w:r>
            <w:r>
              <w:rPr>
                <w:rFonts w:ascii="Times New Roman" w:hAnsi="Times New Roman" w:eastAsia="Times New Roman" w:cs="Times New Roman"/>
                <w:sz w:val="20"/>
              </w:rPr>
              <w:t>$15/visit</w:t>
            </w:r>
          </w:p>
        </w:tc>
        <w:tc>
          <w:tcPr>
            <w:tcW w:type="dxa" w:w="2340"/>
          </w:tcPr>
          <w:p>
            <w:r>
              <w:rPr>
                <w:rFonts w:ascii="Times New Roman" w:hAnsi="Times New Roman"/>
                <w:sz w:val="20"/>
              </w:rPr>
            </w:r>
            <w:r>
              <w:rPr>
                <w:rFonts w:ascii="Times New Roman" w:hAnsi="Times New Roman" w:eastAsia="Times New Roman" w:cs="Times New Roman"/>
                <w:sz w:val="20"/>
              </w:rPr>
              <w:t>200 visits</w:t>
            </w:r>
          </w:p>
        </w:tc>
        <w:tc>
          <w:tcPr>
            <w:tcW w:type="dxa" w:w="2340"/>
          </w:tcPr>
          <w:p>
            <w:r>
              <w:rPr>
                <w:rFonts w:ascii="Times New Roman" w:hAnsi="Times New Roman"/>
                <w:sz w:val="20"/>
              </w:rPr>
            </w:r>
            <w:r>
              <w:rPr>
                <w:rFonts w:ascii="Times New Roman" w:hAnsi="Times New Roman" w:eastAsia="Times New Roman" w:cs="Times New Roman"/>
                <w:sz w:val="20"/>
              </w:rPr>
              <w:t>$3,000</w:t>
            </w:r>
          </w:p>
        </w:tc>
      </w:tr>
      <w:tr>
        <w:tc>
          <w:tcPr>
            <w:tcW w:type="dxa" w:w="2340"/>
          </w:tcPr>
          <w:p>
            <w:r>
              <w:rPr>
                <w:rFonts w:ascii="Times New Roman" w:hAnsi="Times New Roman"/>
                <w:sz w:val="20"/>
              </w:rPr>
            </w:r>
            <w:r>
              <w:rPr>
                <w:rFonts w:ascii="Times New Roman" w:hAnsi="Times New Roman" w:eastAsia="Times New Roman" w:cs="Times New Roman"/>
                <w:sz w:val="20"/>
              </w:rPr>
              <w:t>Workshop Fees (avg.)</w:t>
            </w:r>
          </w:p>
        </w:tc>
        <w:tc>
          <w:tcPr>
            <w:tcW w:type="dxa" w:w="2340"/>
          </w:tcPr>
          <w:p>
            <w:r>
              <w:rPr>
                <w:rFonts w:ascii="Times New Roman" w:hAnsi="Times New Roman"/>
                <w:sz w:val="20"/>
              </w:rPr>
            </w:r>
            <w:r>
              <w:rPr>
                <w:rFonts w:ascii="Times New Roman" w:hAnsi="Times New Roman" w:eastAsia="Times New Roman" w:cs="Times New Roman"/>
                <w:sz w:val="20"/>
              </w:rPr>
              <w:t>$35/attendee</w:t>
            </w:r>
          </w:p>
        </w:tc>
        <w:tc>
          <w:tcPr>
            <w:tcW w:type="dxa" w:w="2340"/>
          </w:tcPr>
          <w:p>
            <w:r>
              <w:rPr>
                <w:rFonts w:ascii="Times New Roman" w:hAnsi="Times New Roman"/>
                <w:sz w:val="20"/>
              </w:rPr>
            </w:r>
            <w:r>
              <w:rPr>
                <w:rFonts w:ascii="Times New Roman" w:hAnsi="Times New Roman" w:eastAsia="Times New Roman" w:cs="Times New Roman"/>
                <w:sz w:val="20"/>
              </w:rPr>
              <w:t>200 attendees</w:t>
            </w:r>
          </w:p>
        </w:tc>
        <w:tc>
          <w:tcPr>
            <w:tcW w:type="dxa" w:w="2340"/>
          </w:tcPr>
          <w:p>
            <w:r>
              <w:rPr>
                <w:rFonts w:ascii="Times New Roman" w:hAnsi="Times New Roman"/>
                <w:sz w:val="20"/>
              </w:rPr>
            </w:r>
            <w:r>
              <w:rPr>
                <w:rFonts w:ascii="Times New Roman" w:hAnsi="Times New Roman" w:eastAsia="Times New Roman" w:cs="Times New Roman"/>
                <w:sz w:val="20"/>
              </w:rPr>
              <w:t>$7,000</w:t>
            </w:r>
          </w:p>
        </w:tc>
      </w:tr>
      <w:tr>
        <w:tc>
          <w:tcPr>
            <w:tcW w:type="dxa" w:w="2340"/>
          </w:tcPr>
          <w:p>
            <w:r>
              <w:rPr>
                <w:rFonts w:ascii="Times New Roman" w:hAnsi="Times New Roman"/>
                <w:sz w:val="20"/>
              </w:rPr>
            </w:r>
            <w:r>
              <w:rPr>
                <w:rFonts w:ascii="Times New Roman" w:hAnsi="Times New Roman" w:eastAsia="Times New Roman" w:cs="Times New Roman"/>
                <w:sz w:val="20"/>
              </w:rPr>
              <w:t>Corporate Training</w:t>
            </w:r>
          </w:p>
        </w:tc>
        <w:tc>
          <w:tcPr>
            <w:tcW w:type="dxa" w:w="2340"/>
          </w:tcPr>
          <w:p>
            <w:r>
              <w:rPr>
                <w:rFonts w:ascii="Times New Roman" w:hAnsi="Times New Roman"/>
                <w:sz w:val="20"/>
              </w:rPr>
            </w:r>
            <w:r>
              <w:rPr>
                <w:rFonts w:ascii="Times New Roman" w:hAnsi="Times New Roman" w:eastAsia="Times New Roman" w:cs="Times New Roman"/>
                <w:sz w:val="20"/>
              </w:rPr>
              <w:t>$500/session</w:t>
            </w:r>
          </w:p>
        </w:tc>
        <w:tc>
          <w:tcPr>
            <w:tcW w:type="dxa" w:w="2340"/>
          </w:tcPr>
          <w:p>
            <w:r>
              <w:rPr>
                <w:rFonts w:ascii="Times New Roman" w:hAnsi="Times New Roman"/>
                <w:sz w:val="20"/>
              </w:rPr>
            </w:r>
            <w:r>
              <w:rPr>
                <w:rFonts w:ascii="Times New Roman" w:hAnsi="Times New Roman" w:eastAsia="Times New Roman" w:cs="Times New Roman"/>
                <w:sz w:val="20"/>
              </w:rPr>
              <w:t>6 sessions</w:t>
            </w:r>
          </w:p>
        </w:tc>
        <w:tc>
          <w:tcPr>
            <w:tcW w:type="dxa" w:w="2340"/>
          </w:tcPr>
          <w:p>
            <w:r>
              <w:rPr>
                <w:rFonts w:ascii="Times New Roman" w:hAnsi="Times New Roman"/>
                <w:sz w:val="20"/>
              </w:rPr>
            </w:r>
            <w:r>
              <w:rPr>
                <w:rFonts w:ascii="Times New Roman" w:hAnsi="Times New Roman" w:eastAsia="Times New Roman" w:cs="Times New Roman"/>
                <w:sz w:val="20"/>
              </w:rPr>
              <w:t>$3,000</w:t>
            </w:r>
          </w:p>
        </w:tc>
      </w:tr>
      <w:tr>
        <w:tc>
          <w:tcPr>
            <w:tcW w:type="dxa" w:w="2340"/>
          </w:tcPr>
          <w:p>
            <w:r>
              <w:rPr>
                <w:rFonts w:ascii="Times New Roman" w:hAnsi="Times New Roman"/>
                <w:sz w:val="20"/>
              </w:rPr>
            </w:r>
            <w:r>
              <w:rPr>
                <w:rFonts w:ascii="Times New Roman" w:hAnsi="Times New Roman" w:eastAsia="Times New Roman" w:cs="Times New Roman"/>
                <w:sz w:val="20"/>
              </w:rPr>
              <w:t>Equipment Surcharges</w:t>
            </w:r>
          </w:p>
        </w:tc>
        <w:tc>
          <w:tcPr>
            <w:tcW w:type="dxa" w:w="2340"/>
          </w:tcPr>
          <w:p>
            <w:r>
              <w:rPr>
                <w:rFonts w:ascii="Times New Roman" w:hAnsi="Times New Roman"/>
                <w:sz w:val="20"/>
              </w:rPr>
            </w:r>
            <w:r>
              <w:rPr>
                <w:rFonts w:ascii="Times New Roman" w:hAnsi="Times New Roman" w:eastAsia="Times New Roman" w:cs="Times New Roman"/>
                <w:sz w:val="20"/>
              </w:rPr>
              <w:t>$15/booking</w:t>
            </w:r>
          </w:p>
        </w:tc>
        <w:tc>
          <w:tcPr>
            <w:tcW w:type="dxa" w:w="2340"/>
          </w:tcPr>
          <w:p>
            <w:r>
              <w:rPr>
                <w:rFonts w:ascii="Times New Roman" w:hAnsi="Times New Roman"/>
                <w:sz w:val="20"/>
              </w:rPr>
            </w:r>
            <w:r>
              <w:rPr>
                <w:rFonts w:ascii="Times New Roman" w:hAnsi="Times New Roman" w:eastAsia="Times New Roman" w:cs="Times New Roman"/>
                <w:sz w:val="20"/>
              </w:rPr>
              <w:t>150 bookings</w:t>
            </w:r>
          </w:p>
        </w:tc>
        <w:tc>
          <w:tcPr>
            <w:tcW w:type="dxa" w:w="2340"/>
          </w:tcPr>
          <w:p>
            <w:r>
              <w:rPr>
                <w:rFonts w:ascii="Times New Roman" w:hAnsi="Times New Roman"/>
                <w:sz w:val="20"/>
              </w:rPr>
            </w:r>
            <w:r>
              <w:rPr>
                <w:rFonts w:ascii="Times New Roman" w:hAnsi="Times New Roman" w:eastAsia="Times New Roman" w:cs="Times New Roman"/>
                <w:sz w:val="20"/>
              </w:rPr>
              <w:t>$2,250</w:t>
            </w:r>
          </w:p>
        </w:tc>
      </w:tr>
      <w:tr>
        <w:tc>
          <w:tcPr>
            <w:tcW w:type="dxa" w:w="2340"/>
          </w:tcPr>
          <w:p>
            <w:r>
              <w:rPr>
                <w:rFonts w:ascii="Times New Roman" w:hAnsi="Times New Roman"/>
                <w:sz w:val="20"/>
              </w:rPr>
            </w:r>
            <w:r>
              <w:rPr>
                <w:rFonts w:ascii="Times New Roman" w:hAnsi="Times New Roman" w:eastAsia="Times New Roman" w:cs="Times New Roman"/>
                <w:sz w:val="20"/>
              </w:rPr>
              <w:t>Event and Room Rental</w:t>
            </w:r>
          </w:p>
        </w:tc>
        <w:tc>
          <w:tcPr>
            <w:tcW w:type="dxa" w:w="2340"/>
          </w:tcPr>
          <w:p>
            <w:r>
              <w:rPr>
                <w:rFonts w:ascii="Times New Roman" w:hAnsi="Times New Roman"/>
                <w:sz w:val="20"/>
              </w:rPr>
            </w:r>
            <w:r>
              <w:rPr>
                <w:rFonts w:ascii="Times New Roman" w:hAnsi="Times New Roman" w:eastAsia="Times New Roman" w:cs="Times New Roman"/>
                <w:sz w:val="20"/>
              </w:rPr>
              <w:t>$250/event</w:t>
            </w:r>
          </w:p>
        </w:tc>
        <w:tc>
          <w:tcPr>
            <w:tcW w:type="dxa" w:w="2340"/>
          </w:tcPr>
          <w:p>
            <w:r>
              <w:rPr>
                <w:rFonts w:ascii="Times New Roman" w:hAnsi="Times New Roman"/>
                <w:sz w:val="20"/>
              </w:rPr>
            </w:r>
            <w:r>
              <w:rPr>
                <w:rFonts w:ascii="Times New Roman" w:hAnsi="Times New Roman" w:eastAsia="Times New Roman" w:cs="Times New Roman"/>
                <w:sz w:val="20"/>
              </w:rPr>
              <w:t>4 events</w:t>
            </w:r>
          </w:p>
        </w:tc>
        <w:tc>
          <w:tcPr>
            <w:tcW w:type="dxa" w:w="2340"/>
          </w:tcPr>
          <w:p>
            <w:r>
              <w:rPr>
                <w:rFonts w:ascii="Times New Roman" w:hAnsi="Times New Roman"/>
                <w:sz w:val="20"/>
              </w:rPr>
            </w:r>
            <w:r>
              <w:rPr>
                <w:rFonts w:ascii="Times New Roman" w:hAnsi="Times New Roman" w:eastAsia="Times New Roman" w:cs="Times New Roman"/>
                <w:sz w:val="20"/>
              </w:rPr>
              <w:t>$1,000</w:t>
            </w:r>
          </w:p>
        </w:tc>
      </w:tr>
      <w:tr>
        <w:tc>
          <w:tcPr>
            <w:tcW w:type="dxa" w:w="2340"/>
          </w:tcPr>
          <w:p>
            <w:r>
              <w:rPr>
                <w:rFonts w:ascii="Times New Roman" w:hAnsi="Times New Roman"/>
                <w:sz w:val="20"/>
              </w:rPr>
            </w:r>
            <w:r>
              <w:rPr>
                <w:rFonts w:ascii="Times New Roman" w:hAnsi="Times New Roman" w:eastAsia="Times New Roman" w:cs="Times New Roman"/>
                <w:sz w:val="20"/>
              </w:rPr>
              <w:t>Grants and Sponsorships (amortized)</w:t>
            </w:r>
          </w:p>
        </w:tc>
        <w:tc>
          <w:tcPr>
            <w:tcW w:type="dxa" w:w="2340"/>
          </w:tcPr>
          <w:p>
            <w:r>
              <w:rPr>
                <w:rFonts w:ascii="Times New Roman" w:hAnsi="Times New Roman"/>
                <w:sz w:val="20"/>
              </w:rPr>
            </w:r>
            <w:r>
              <w:rPr>
                <w:rFonts w:ascii="Times New Roman" w:hAnsi="Times New Roman" w:eastAsia="Times New Roman" w:cs="Times New Roman"/>
                <w:sz w:val="20"/>
              </w:rPr>
              <w:t>–</w:t>
            </w:r>
          </w:p>
        </w:tc>
        <w:tc>
          <w:tcPr>
            <w:tcW w:type="dxa" w:w="2340"/>
          </w:tcPr>
          <w:p>
            <w:r>
              <w:rPr>
                <w:rFonts w:ascii="Times New Roman" w:hAnsi="Times New Roman"/>
                <w:sz w:val="20"/>
              </w:rPr>
            </w:r>
            <w:r>
              <w:rPr>
                <w:rFonts w:ascii="Times New Roman" w:hAnsi="Times New Roman" w:eastAsia="Times New Roman" w:cs="Times New Roman"/>
                <w:sz w:val="20"/>
              </w:rPr>
              <w:t>–</w:t>
            </w:r>
          </w:p>
        </w:tc>
        <w:tc>
          <w:tcPr>
            <w:tcW w:type="dxa" w:w="2340"/>
          </w:tcPr>
          <w:p>
            <w:r>
              <w:rPr>
                <w:rFonts w:ascii="Times New Roman" w:hAnsi="Times New Roman"/>
                <w:sz w:val="20"/>
              </w:rPr>
            </w:r>
            <w:r>
              <w:rPr>
                <w:rFonts w:ascii="Times New Roman" w:hAnsi="Times New Roman" w:eastAsia="Times New Roman" w:cs="Times New Roman"/>
                <w:sz w:val="20"/>
              </w:rPr>
              <w:t>$6,250</w:t>
            </w:r>
          </w:p>
        </w:tc>
      </w:tr>
      <w:tr>
        <w:tc>
          <w:tcPr>
            <w:tcW w:type="dxa" w:w="2340"/>
          </w:tcPr>
          <w:p>
            <w:r>
              <w:rPr>
                <w:rFonts w:ascii="Times New Roman" w:hAnsi="Times New Roman"/>
                <w:sz w:val="20"/>
              </w:rPr>
            </w:r>
            <w:r>
              <w:rPr>
                <w:rFonts w:ascii="Times New Roman" w:hAnsi="Times New Roman" w:eastAsia="Times New Roman" w:cs="Times New Roman"/>
                <w:b/>
                <w:sz w:val="20"/>
              </w:rPr>
              <w:t>Total Monthly Revenue</w:t>
            </w:r>
          </w:p>
        </w:tc>
        <w:tc>
          <w:tcPr>
            <w:tcW w:type="dxa" w:w="2340"/>
          </w:tcPr>
          <w:p>
            <w:r>
              <w:rPr>
                <w:rFonts w:ascii="Times New Roman" w:hAnsi="Times New Roman"/>
                <w:sz w:val="20"/>
              </w:rPr>
            </w:r>
          </w:p>
        </w:tc>
        <w:tc>
          <w:tcPr>
            <w:tcW w:type="dxa" w:w="2340"/>
          </w:tcPr>
          <w:p>
            <w:r>
              <w:rPr>
                <w:rFonts w:ascii="Times New Roman" w:hAnsi="Times New Roman"/>
                <w:sz w:val="20"/>
              </w:rPr>
            </w:r>
          </w:p>
        </w:tc>
        <w:tc>
          <w:tcPr>
            <w:tcW w:type="dxa" w:w="2340"/>
          </w:tcPr>
          <w:p>
            <w:r>
              <w:rPr>
                <w:rFonts w:ascii="Times New Roman" w:hAnsi="Times New Roman"/>
                <w:sz w:val="20"/>
              </w:rPr>
            </w:r>
            <w:r>
              <w:rPr>
                <w:rFonts w:ascii="Times New Roman" w:hAnsi="Times New Roman" w:eastAsia="Times New Roman" w:cs="Times New Roman"/>
                <w:b/>
                <w:sz w:val="20"/>
              </w:rPr>
              <w:t>$30,000</w:t>
            </w:r>
          </w:p>
        </w:tc>
      </w:tr>
      <w:tr>
        <w:tc>
          <w:tcPr>
            <w:tcW w:type="dxa" w:w="2340"/>
          </w:tcPr>
          <w:p>
            <w:r>
              <w:rPr>
                <w:rFonts w:ascii="Times New Roman" w:hAnsi="Times New Roman"/>
                <w:sz w:val="20"/>
              </w:rPr>
            </w:r>
            <w:r>
              <w:rPr>
                <w:rFonts w:ascii="Times New Roman" w:hAnsi="Times New Roman" w:eastAsia="Times New Roman" w:cs="Times New Roman"/>
                <w:b/>
                <w:sz w:val="20"/>
              </w:rPr>
              <w:t>Monthly Operating Cost (Lean)</w:t>
            </w:r>
          </w:p>
        </w:tc>
        <w:tc>
          <w:tcPr>
            <w:tcW w:type="dxa" w:w="2340"/>
          </w:tcPr>
          <w:p>
            <w:r>
              <w:rPr>
                <w:rFonts w:ascii="Times New Roman" w:hAnsi="Times New Roman"/>
                <w:sz w:val="20"/>
              </w:rPr>
            </w:r>
          </w:p>
        </w:tc>
        <w:tc>
          <w:tcPr>
            <w:tcW w:type="dxa" w:w="2340"/>
          </w:tcPr>
          <w:p>
            <w:r>
              <w:rPr>
                <w:rFonts w:ascii="Times New Roman" w:hAnsi="Times New Roman"/>
                <w:sz w:val="20"/>
              </w:rPr>
            </w:r>
          </w:p>
        </w:tc>
        <w:tc>
          <w:tcPr>
            <w:tcW w:type="dxa" w:w="2340"/>
          </w:tcPr>
          <w:p>
            <w:r>
              <w:rPr>
                <w:rFonts w:ascii="Times New Roman" w:hAnsi="Times New Roman"/>
                <w:sz w:val="20"/>
              </w:rPr>
            </w:r>
            <w:r>
              <w:rPr>
                <w:rFonts w:ascii="Times New Roman" w:hAnsi="Times New Roman" w:eastAsia="Times New Roman" w:cs="Times New Roman"/>
                <w:b/>
                <w:sz w:val="20"/>
              </w:rPr>
              <w:t>$30,000</w:t>
            </w:r>
          </w:p>
        </w:tc>
      </w:tr>
    </w:tbl>
    <w:p>
      <w:pPr>
        <w:spacing w:before="0" w:after="120"/>
      </w:pPr>
    </w:p>
    <w:p>
      <w:pPr>
        <w:spacing w:before="0" w:after="120" w:line="276" w:lineRule="auto"/>
      </w:pPr>
      <w:r>
        <w:rPr>
          <w:rFonts w:ascii="Times New Roman" w:hAnsi="Times New Roman" w:eastAsia="Times New Roman" w:cs="Times New Roman"/>
          <w:sz w:val="24"/>
        </w:rPr>
        <w:t>This analysis indicates that break-even requires approximately 150 paying members, consistent workshop attendance, and $75,000 per year in grant and sponsorship funding (amortized to $6,250 monthly). The Year 3 earned revenue projection targets total income of approximately $360,000, with $198,000 (55%) from earned sources and $162,000 (45%) from grants and sponsorships.</w:t>
      </w:r>
    </w:p>
    <w:p>
      <w:pPr>
        <w:spacing w:before="0" w:after="120" w:line="276" w:lineRule="auto"/>
      </w:pPr>
      <w:r>
        <w:rPr>
          <w:rFonts w:ascii="Times New Roman" w:hAnsi="Times New Roman" w:eastAsia="Times New Roman" w:cs="Times New Roman"/>
          <w:sz w:val="24"/>
        </w:rPr>
        <w:t>Community engagement and retention programs will support these targets:</w:t>
      </w:r>
    </w:p>
    <w:p>
      <w:pPr>
        <w:pStyle w:val="ListBullet"/>
        <w:spacing w:before="0" w:after="60" w:line="276" w:lineRule="auto"/>
      </w:pPr>
      <w:r>
        <w:rPr>
          <w:rFonts w:ascii="Times New Roman" w:hAnsi="Times New Roman" w:eastAsia="Times New Roman" w:cs="Times New Roman"/>
          <w:sz w:val="24"/>
        </w:rPr>
        <w:t>Structured mentorship pairing experienced members with newcomers.</w:t>
      </w:r>
    </w:p>
    <w:p>
      <w:pPr>
        <w:pStyle w:val="ListBullet"/>
        <w:spacing w:before="0" w:after="60" w:line="276" w:lineRule="auto"/>
      </w:pPr>
      <w:r>
        <w:rPr>
          <w:rFonts w:ascii="Times New Roman" w:hAnsi="Times New Roman" w:eastAsia="Times New Roman" w:cs="Times New Roman"/>
          <w:sz w:val="24"/>
        </w:rPr>
        <w:t>A tiered loyalty system recognizing consistent participation with equipment access upgrades and workshop discounts.</w:t>
      </w:r>
    </w:p>
    <w:p>
      <w:pPr>
        <w:pStyle w:val="ListBullet"/>
        <w:spacing w:before="0" w:after="60" w:line="276" w:lineRule="auto"/>
      </w:pPr>
      <w:r>
        <w:rPr>
          <w:rFonts w:ascii="Times New Roman" w:hAnsi="Times New Roman" w:eastAsia="Times New Roman" w:cs="Times New Roman"/>
          <w:sz w:val="24"/>
        </w:rPr>
        <w:t>Formalized student internship pathways connecting participants with local tech employers.</w:t>
      </w:r>
    </w:p>
    <w:p>
      <w:pPr>
        <w:spacing w:before="0" w:after="120" w:line="276" w:lineRule="auto"/>
      </w:pPr>
      <w:r>
        <w:rPr>
          <w:rFonts w:ascii="Times New Roman" w:hAnsi="Times New Roman" w:eastAsia="Times New Roman" w:cs="Times New Roman"/>
          <w:sz w:val="24"/>
        </w:rPr>
        <w:t>An advisory board comprising professionals from education, business, and engineering will conduct quarterly financial reviews to ensure adaptive governance responsive to shifts in the local economy.</w:t>
      </w:r>
    </w:p>
    <w:p>
      <w:pPr>
        <w:pStyle w:val="Heading2"/>
        <w:jc w:val="left"/>
      </w:pPr>
      <w:r>
        <w:rPr>
          <w:rFonts w:ascii="Times New Roman" w:hAnsi="Times New Roman" w:eastAsia="Times New Roman" w:cs="Times New Roman"/>
          <w:b/>
          <w:sz w:val="28"/>
        </w:rPr>
        <w:t>6. Evaluation Plan</w:t>
      </w:r>
    </w:p>
    <w:p>
      <w:pPr>
        <w:spacing w:before="0" w:after="120" w:line="276" w:lineRule="auto"/>
      </w:pPr>
      <w:r>
        <w:rPr>
          <w:rFonts w:ascii="Times New Roman" w:hAnsi="Times New Roman" w:eastAsia="Times New Roman" w:cs="Times New Roman"/>
          <w:sz w:val="24"/>
        </w:rPr>
        <w:t>Success will be measured through quantitative metrics tracked on a quarterly basis:</w:t>
      </w:r>
    </w:p>
    <w:p>
      <w:pPr>
        <w:pStyle w:val="ListBullet"/>
        <w:spacing w:before="0" w:after="60" w:line="276" w:lineRule="auto"/>
      </w:pPr>
      <w:r>
        <w:rPr>
          <w:rFonts w:ascii="Times New Roman" w:hAnsi="Times New Roman" w:eastAsia="Times New Roman" w:cs="Times New Roman"/>
          <w:b/>
          <w:sz w:val="24"/>
        </w:rPr>
        <w:t>Engagement Analytics:</w:t>
      </w:r>
      <w:r>
        <w:rPr>
          <w:rFonts w:ascii="Times New Roman" w:hAnsi="Times New Roman" w:eastAsia="Times New Roman" w:cs="Times New Roman"/>
          <w:sz w:val="24"/>
        </w:rPr>
        <w:t xml:space="preserve"> Number of active monthly participants and average hours on-site. Year 1 targets: 150 unique participants per quarter and a 40 percent return rate. Year 3 targets: 500 participants per quarter and a 60 percent return rate.</w:t>
      </w:r>
    </w:p>
    <w:p>
      <w:pPr>
        <w:pStyle w:val="ListBullet"/>
        <w:spacing w:before="0" w:after="60" w:line="276" w:lineRule="auto"/>
      </w:pPr>
      <w:r>
        <w:rPr>
          <w:rFonts w:ascii="Times New Roman" w:hAnsi="Times New Roman" w:eastAsia="Times New Roman" w:cs="Times New Roman"/>
          <w:b/>
          <w:sz w:val="24"/>
        </w:rPr>
        <w:t>Employment Pipelines:</w:t>
      </w:r>
      <w:r>
        <w:rPr>
          <w:rFonts w:ascii="Times New Roman" w:hAnsi="Times New Roman" w:eastAsia="Times New Roman" w:cs="Times New Roman"/>
          <w:sz w:val="24"/>
        </w:rPr>
        <w:t xml:space="preserve"> Growth of student internship placements and member career transitions into technical roles.</w:t>
      </w:r>
    </w:p>
    <w:p>
      <w:pPr>
        <w:pStyle w:val="ListBullet"/>
        <w:spacing w:before="0" w:after="60" w:line="276" w:lineRule="auto"/>
      </w:pPr>
      <w:r>
        <w:rPr>
          <w:rFonts w:ascii="Times New Roman" w:hAnsi="Times New Roman" w:eastAsia="Times New Roman" w:cs="Times New Roman"/>
          <w:b/>
          <w:sz w:val="24"/>
        </w:rPr>
        <w:t>Social Impact Data:</w:t>
      </w:r>
      <w:r>
        <w:rPr>
          <w:rFonts w:ascii="Times New Roman" w:hAnsi="Times New Roman" w:eastAsia="Times New Roman" w:cs="Times New Roman"/>
          <w:sz w:val="24"/>
        </w:rPr>
        <w:t xml:space="preserve"> Member surveys tracking self-reported improvements in well-being, skill confidence, and community connectivity.</w:t>
      </w:r>
    </w:p>
    <w:p>
      <w:pPr>
        <w:pStyle w:val="ListBullet"/>
        <w:spacing w:before="0" w:after="60" w:line="276" w:lineRule="auto"/>
      </w:pPr>
      <w:r>
        <w:rPr>
          <w:rFonts w:ascii="Times New Roman" w:hAnsi="Times New Roman" w:eastAsia="Times New Roman" w:cs="Times New Roman"/>
          <w:b/>
          <w:sz w:val="24"/>
        </w:rPr>
        <w:t>Health and Well-Being Programming:</w:t>
      </w:r>
      <w:r>
        <w:rPr>
          <w:rFonts w:ascii="Times New Roman" w:hAnsi="Times New Roman" w:eastAsia="Times New Roman" w:cs="Times New Roman"/>
          <w:sz w:val="24"/>
        </w:rPr>
        <w:t xml:space="preserve"> In partnership with local organizations, Crossroads will offer complementary programming including stress relief workshops and peer support groups. Anonymized survey data will measure the hub’s contribution to participant well-being and support grant applications focused on community health outcomes.</w:t>
      </w:r>
    </w:p>
    <w:p>
      <w:pPr>
        <w:pStyle w:val="ListBullet"/>
        <w:spacing w:before="0" w:after="60" w:line="276" w:lineRule="auto"/>
      </w:pPr>
      <w:r>
        <w:rPr>
          <w:rFonts w:ascii="Times New Roman" w:hAnsi="Times New Roman" w:eastAsia="Times New Roman" w:cs="Times New Roman"/>
          <w:b/>
          <w:sz w:val="24"/>
        </w:rPr>
        <w:t>Institutional Partnerships:</w:t>
      </w:r>
      <w:r>
        <w:rPr>
          <w:rFonts w:ascii="Times New Roman" w:hAnsi="Times New Roman" w:eastAsia="Times New Roman" w:cs="Times New Roman"/>
          <w:sz w:val="24"/>
        </w:rPr>
        <w:t xml:space="preserve"> A minimum of four annual partnerships with local schools and businesses to sustain programming.</w:t>
      </w:r>
    </w:p>
    <w:p>
      <w:pPr>
        <w:pStyle w:val="Heading2"/>
        <w:jc w:val="left"/>
      </w:pPr>
      <w:r>
        <w:rPr>
          <w:rFonts w:ascii="Times New Roman" w:hAnsi="Times New Roman" w:eastAsia="Times New Roman" w:cs="Times New Roman"/>
          <w:b/>
          <w:sz w:val="28"/>
        </w:rPr>
        <w:t>7. Conclusion and Action Statement</w:t>
      </w:r>
    </w:p>
    <w:p>
      <w:pPr>
        <w:spacing w:before="0" w:after="120" w:line="276" w:lineRule="auto"/>
      </w:pPr>
      <w:r>
        <w:rPr>
          <w:rFonts w:ascii="Times New Roman" w:hAnsi="Times New Roman" w:eastAsia="Times New Roman" w:cs="Times New Roman"/>
          <w:sz w:val="24"/>
        </w:rPr>
        <w:t>Crossroads Community STEM Centre addresses a documented gap in Langford’s infrastructure: the absence of an open-access facility where residents can develop practical technical skills without post-secondary enrollment. With a population growing at 5.0 percent annually and no comparable local facility, the demand for accessible STEM education is supported by both regional growth data and resident survey feedback (Appendix F) [2]. The tiered operating model, focused on four core disciplines and 63 staffed hours per week, aligns the project’s scope with its budget and staffing capacity.</w:t>
      </w:r>
    </w:p>
    <w:p>
      <w:pPr>
        <w:spacing w:before="0" w:after="120" w:line="276" w:lineRule="auto"/>
      </w:pPr>
      <w:r>
        <w:rPr>
          <w:rFonts w:ascii="Times New Roman" w:hAnsi="Times New Roman" w:eastAsia="Times New Roman" w:cs="Times New Roman"/>
          <w:sz w:val="24"/>
        </w:rPr>
        <w:t>The first-year investment of $359,950 to $577,300 reflects current Langford lease rates and realistic equipment costs. The diversified revenue strategy, validated through the break-even analysis in Table 4, provides a clear path to financial sustainability by Year 3. Institutional partnerships with Camosun College and the University of Victoria, combined with the VIATEC corporate network, establish the foundation for long-term community impact.</w:t>
      </w:r>
    </w:p>
    <w:p>
      <w:pPr>
        <w:spacing w:before="0" w:after="120" w:line="276" w:lineRule="auto"/>
      </w:pPr>
      <w:r>
        <w:rPr>
          <w:rFonts w:ascii="Times New Roman" w:hAnsi="Times New Roman" w:eastAsia="Times New Roman" w:cs="Times New Roman"/>
          <w:b/>
          <w:sz w:val="24"/>
        </w:rPr>
        <w:t>Action Requested:</w:t>
      </w:r>
    </w:p>
    <w:p>
      <w:pPr>
        <w:spacing w:before="0" w:after="120" w:line="276" w:lineRule="auto"/>
      </w:pPr>
      <w:r>
        <w:rPr>
          <w:rFonts w:ascii="Times New Roman" w:hAnsi="Times New Roman" w:eastAsia="Times New Roman" w:cs="Times New Roman"/>
          <w:sz w:val="24"/>
        </w:rPr>
        <w:t>I formally request your approval of this proposal. Your authorization will allow advancement to the next phase: securing seed funding and formalizing institutional partnerships with Camosun College. Please respond by Friday, March 20, 2026, indicating whether this proposal meets your requirements or if adjustments to the budget or scope are needed. Approval may be granted via email or by signing the cover page of this document.</w:t>
      </w:r>
    </w:p>
    <w:p>
      <w:pPr>
        <w:pStyle w:val="Heading2"/>
        <w:jc w:val="left"/>
      </w:pPr>
      <w:r>
        <w:rPr>
          <w:rFonts w:ascii="Times New Roman" w:hAnsi="Times New Roman" w:eastAsia="Times New Roman" w:cs="Times New Roman"/>
          <w:b/>
          <w:sz w:val="28"/>
        </w:rPr>
        <w:t>8. References</w:t>
      </w:r>
    </w:p>
    <w:p>
      <w:pPr>
        <w:spacing w:before="0" w:after="120" w:line="276" w:lineRule="auto"/>
      </w:pPr>
      <w:r>
        <w:rPr>
          <w:rFonts w:ascii="Times New Roman" w:hAnsi="Times New Roman" w:eastAsia="Times New Roman" w:cs="Times New Roman"/>
          <w:sz w:val="24"/>
        </w:rPr>
        <w:t xml:space="preserve">[1] R. Oldenburg, </w:t>
      </w:r>
      <w:r>
        <w:rPr>
          <w:rFonts w:ascii="Times New Roman" w:hAnsi="Times New Roman" w:eastAsia="Times New Roman" w:cs="Times New Roman"/>
          <w:i/>
          <w:sz w:val="24"/>
        </w:rPr>
        <w:t>The Great Good Place: Cafes, Coffee Shops, Bookstores, Bars, Hair Salons, and Other Hangouts at the Heart of a Community</w:t>
      </w:r>
      <w:r>
        <w:rPr>
          <w:rFonts w:ascii="Times New Roman" w:hAnsi="Times New Roman" w:eastAsia="Times New Roman" w:cs="Times New Roman"/>
          <w:sz w:val="24"/>
        </w:rPr>
        <w:t>, 3rd ed. New York, NY: Da Capo Press, 1999.</w:t>
      </w:r>
    </w:p>
    <w:p>
      <w:pPr>
        <w:spacing w:before="0" w:after="120" w:line="276" w:lineRule="auto"/>
      </w:pPr>
      <w:r>
        <w:rPr>
          <w:rFonts w:ascii="Times New Roman" w:hAnsi="Times New Roman" w:eastAsia="Times New Roman" w:cs="Times New Roman"/>
          <w:sz w:val="24"/>
        </w:rPr>
        <w:t>[2] Statistics Canada, “Census profile, 2021 Census of Population: Langford, City [Census subdivision], British Columbia,” Government of Canada, Ottawa, ON, 2023. [Online]. Available: https://www12.statcan.gc.ca/census-recensement/2021/dp-pd/prof/index.cfm</w:t>
      </w:r>
    </w:p>
    <w:p>
      <w:pPr>
        <w:spacing w:before="0" w:after="120" w:line="276" w:lineRule="auto"/>
      </w:pPr>
      <w:r>
        <w:rPr>
          <w:rFonts w:ascii="Times New Roman" w:hAnsi="Times New Roman" w:eastAsia="Times New Roman" w:cs="Times New Roman"/>
          <w:sz w:val="24"/>
        </w:rPr>
        <w:t>[3] British Columbia Ministry of Education, “Student Learning Survey: Provincial results,” Victoria, BC, 2023. [Online]. Available: https://www2.gov.bc.ca/gov/content/education-training/k-12/support/student-learning-survey</w:t>
      </w:r>
    </w:p>
    <w:p>
      <w:pPr>
        <w:spacing w:before="0" w:after="120" w:line="276" w:lineRule="auto"/>
      </w:pPr>
      <w:r>
        <w:rPr>
          <w:rFonts w:ascii="Times New Roman" w:hAnsi="Times New Roman" w:eastAsia="Times New Roman" w:cs="Times New Roman"/>
          <w:sz w:val="24"/>
        </w:rPr>
        <w:t xml:space="preserve">[4] D. A. Kolb, </w:t>
      </w:r>
      <w:r>
        <w:rPr>
          <w:rFonts w:ascii="Times New Roman" w:hAnsi="Times New Roman" w:eastAsia="Times New Roman" w:cs="Times New Roman"/>
          <w:i/>
          <w:sz w:val="24"/>
        </w:rPr>
        <w:t>Experiential Learning: Experience as the Source of Learning and Development</w:t>
      </w:r>
      <w:r>
        <w:rPr>
          <w:rFonts w:ascii="Times New Roman" w:hAnsi="Times New Roman" w:eastAsia="Times New Roman" w:cs="Times New Roman"/>
          <w:sz w:val="24"/>
        </w:rPr>
        <w:t>, 2nd ed. Upper Saddle River, NJ: Pearson Education, 2015.</w:t>
      </w:r>
    </w:p>
    <w:p>
      <w:pPr>
        <w:spacing w:before="0" w:after="120" w:line="276" w:lineRule="auto"/>
      </w:pPr>
      <w:r>
        <w:rPr>
          <w:rFonts w:ascii="Times New Roman" w:hAnsi="Times New Roman" w:eastAsia="Times New Roman" w:cs="Times New Roman"/>
          <w:sz w:val="24"/>
        </w:rPr>
        <w:t xml:space="preserve">[5] A. Y. Kolb and D. A. Kolb, “Learning styles and learning spaces: Enhancing experiential learning in higher education,” </w:t>
      </w:r>
      <w:r>
        <w:rPr>
          <w:rFonts w:ascii="Times New Roman" w:hAnsi="Times New Roman" w:eastAsia="Times New Roman" w:cs="Times New Roman"/>
          <w:i/>
          <w:sz w:val="24"/>
        </w:rPr>
        <w:t>Academy of Management Learning and Education</w:t>
      </w:r>
      <w:r>
        <w:rPr>
          <w:rFonts w:ascii="Times New Roman" w:hAnsi="Times New Roman" w:eastAsia="Times New Roman" w:cs="Times New Roman"/>
          <w:sz w:val="24"/>
        </w:rPr>
        <w:t>, vol. 4, no. 2, pp. 193-212, Jun. 2005.</w:t>
      </w:r>
    </w:p>
    <w:p>
      <w:pPr>
        <w:spacing w:before="0" w:after="120" w:line="276" w:lineRule="auto"/>
      </w:pPr>
      <w:r>
        <w:rPr>
          <w:rFonts w:ascii="Times New Roman" w:hAnsi="Times New Roman" w:eastAsia="Times New Roman" w:cs="Times New Roman"/>
          <w:sz w:val="24"/>
        </w:rPr>
        <w:t>[6] Council of Canadian Academies, “Some Assembly Required: STEM Skills and Canada’s Economic Productivity,” Ottawa, ON, 2015.</w:t>
      </w:r>
    </w:p>
    <w:p>
      <w:pPr>
        <w:spacing w:before="0" w:after="120" w:line="276" w:lineRule="auto"/>
      </w:pPr>
      <w:r>
        <w:rPr>
          <w:rFonts w:ascii="Times New Roman" w:hAnsi="Times New Roman" w:eastAsia="Times New Roman" w:cs="Times New Roman"/>
          <w:sz w:val="24"/>
        </w:rPr>
        <w:t xml:space="preserve">[7] R. Willett, “Making, makers, and makerspaces: A discourse analysis of professional journal articles and blog posts about makerspaces in public libraries,” </w:t>
      </w:r>
      <w:r>
        <w:rPr>
          <w:rFonts w:ascii="Times New Roman" w:hAnsi="Times New Roman" w:eastAsia="Times New Roman" w:cs="Times New Roman"/>
          <w:i/>
          <w:sz w:val="24"/>
        </w:rPr>
        <w:t>The Library Quarterly</w:t>
      </w:r>
      <w:r>
        <w:rPr>
          <w:rFonts w:ascii="Times New Roman" w:hAnsi="Times New Roman" w:eastAsia="Times New Roman" w:cs="Times New Roman"/>
          <w:sz w:val="24"/>
        </w:rPr>
        <w:t>, vol. 86, no. 3, pp. 313-329, Jul. 2016.</w:t>
      </w:r>
    </w:p>
    <w:p>
      <w:pPr>
        <w:spacing w:before="0" w:after="120" w:line="276" w:lineRule="auto"/>
      </w:pPr>
      <w:r>
        <w:rPr>
          <w:rFonts w:ascii="Times New Roman" w:hAnsi="Times New Roman" w:eastAsia="Times New Roman" w:cs="Times New Roman"/>
          <w:sz w:val="24"/>
        </w:rPr>
        <w:t xml:space="preserve">[8] D. Oblinger, Ed., </w:t>
      </w:r>
      <w:r>
        <w:rPr>
          <w:rFonts w:ascii="Times New Roman" w:hAnsi="Times New Roman" w:eastAsia="Times New Roman" w:cs="Times New Roman"/>
          <w:i/>
          <w:sz w:val="24"/>
        </w:rPr>
        <w:t>Learning Spaces</w:t>
      </w:r>
      <w:r>
        <w:rPr>
          <w:rFonts w:ascii="Times New Roman" w:hAnsi="Times New Roman" w:eastAsia="Times New Roman" w:cs="Times New Roman"/>
          <w:sz w:val="24"/>
        </w:rPr>
        <w:t>. Boulder, CO: EDUCAUSE, 2006.</w:t>
      </w:r>
    </w:p>
    <w:p>
      <w:pPr>
        <w:spacing w:before="0" w:after="120" w:line="276" w:lineRule="auto"/>
      </w:pPr>
      <w:r>
        <w:rPr>
          <w:rFonts w:ascii="Times New Roman" w:hAnsi="Times New Roman" w:eastAsia="Times New Roman" w:cs="Times New Roman"/>
          <w:sz w:val="24"/>
        </w:rPr>
        <w:t xml:space="preserve">[9] National Research Council, </w:t>
      </w:r>
      <w:r>
        <w:rPr>
          <w:rFonts w:ascii="Times New Roman" w:hAnsi="Times New Roman" w:eastAsia="Times New Roman" w:cs="Times New Roman"/>
          <w:i/>
          <w:sz w:val="24"/>
        </w:rPr>
        <w:t>Identifying and Supporting Productive STEM Programs in Out-of-School Settings</w:t>
      </w:r>
      <w:r>
        <w:rPr>
          <w:rFonts w:ascii="Times New Roman" w:hAnsi="Times New Roman" w:eastAsia="Times New Roman" w:cs="Times New Roman"/>
          <w:sz w:val="24"/>
        </w:rPr>
        <w:t>. Washington, DC: The National Academies Press, 2015.</w:t>
      </w:r>
    </w:p>
    <w:p>
      <w:pPr>
        <w:spacing w:before="0" w:after="120" w:line="276" w:lineRule="auto"/>
      </w:pPr>
      <w:r>
        <w:rPr>
          <w:rFonts w:ascii="Times New Roman" w:hAnsi="Times New Roman" w:eastAsia="Times New Roman" w:cs="Times New Roman"/>
          <w:sz w:val="24"/>
        </w:rPr>
        <w:t xml:space="preserve">[10] J. Lave and E. Wenger, </w:t>
      </w:r>
      <w:r>
        <w:rPr>
          <w:rFonts w:ascii="Times New Roman" w:hAnsi="Times New Roman" w:eastAsia="Times New Roman" w:cs="Times New Roman"/>
          <w:i/>
          <w:sz w:val="24"/>
        </w:rPr>
        <w:t>Situated Learning: Legitimate Peripheral Participation</w:t>
      </w:r>
      <w:r>
        <w:rPr>
          <w:rFonts w:ascii="Times New Roman" w:hAnsi="Times New Roman" w:eastAsia="Times New Roman" w:cs="Times New Roman"/>
          <w:sz w:val="24"/>
        </w:rPr>
        <w:t>. Cambridge, UK: Cambridge University Press, 1991.</w:t>
      </w:r>
    </w:p>
    <w:p>
      <w:pPr>
        <w:spacing w:before="0" w:after="120" w:line="276" w:lineRule="auto"/>
      </w:pPr>
      <w:r>
        <w:rPr>
          <w:rFonts w:ascii="Times New Roman" w:hAnsi="Times New Roman" w:eastAsia="Times New Roman" w:cs="Times New Roman"/>
          <w:sz w:val="24"/>
        </w:rPr>
        <w:t>[11] WorkSafeBC, “Education health and safety guidelines,” Richmond, BC, 2024. [Online]. Available: https://www.worksafebc.com/en/health-safety/industries/education</w:t>
      </w:r>
    </w:p>
    <w:p>
      <w:pPr>
        <w:spacing w:before="0" w:after="120" w:line="276" w:lineRule="auto"/>
      </w:pPr>
      <w:r>
        <w:rPr>
          <w:rFonts w:ascii="Times New Roman" w:hAnsi="Times New Roman" w:eastAsia="Times New Roman" w:cs="Times New Roman"/>
          <w:sz w:val="24"/>
        </w:rPr>
        <w:t>[12] Canada Not-for-profit Corporations Act, S.C. 2009, c. 23. Government of Canada, Ottawa, ON, 2009.</w:t>
      </w:r>
    </w:p>
    <w:p>
      <w:pPr>
        <w:spacing w:before="0" w:after="120" w:line="276" w:lineRule="auto"/>
      </w:pPr>
      <w:r>
        <w:rPr>
          <w:rFonts w:ascii="Times New Roman" w:hAnsi="Times New Roman" w:eastAsia="Times New Roman" w:cs="Times New Roman"/>
          <w:sz w:val="24"/>
        </w:rPr>
        <w:t>[13] British Columbia Ministry of Education, “Applied design, skills, and technologies curriculum,” Victoria, BC, 2024. [Online]. Available: https://curriculum.gov.bc.ca/curriculum/adst</w:t>
      </w:r>
    </w:p>
    <w:p>
      <w:pPr>
        <w:spacing w:before="0" w:after="120" w:line="276" w:lineRule="auto"/>
      </w:pPr>
      <w:r>
        <w:rPr>
          <w:rFonts w:ascii="Times New Roman" w:hAnsi="Times New Roman" w:eastAsia="Times New Roman" w:cs="Times New Roman"/>
          <w:sz w:val="24"/>
        </w:rPr>
        <w:t>[14] Imagine Canada, “Sector Monitor and Research,” Ottawa, ON, 2024. [Online]. Available: https://imaginecanada.ca/en/sector-monitor</w:t>
      </w:r>
    </w:p>
    <w:p>
      <w:pPr>
        <w:spacing w:before="0" w:after="120" w:line="276" w:lineRule="auto"/>
      </w:pPr>
      <w:r>
        <w:rPr>
          <w:rFonts w:ascii="Times New Roman" w:hAnsi="Times New Roman" w:eastAsia="Times New Roman" w:cs="Times New Roman"/>
          <w:sz w:val="24"/>
        </w:rPr>
        <w:t>[15] Innovation, Science and Economic Development Canada, “SME Research and Statistics,” Government of Canada, Ottawa, ON, 2023. [Online]. Available: https://ised-isde.canada.ca/site/sme-research-statistics/en</w:t>
      </w:r>
    </w:p>
    <w:p>
      <w:pPr>
        <w:spacing w:before="0" w:after="120" w:line="276" w:lineRule="auto"/>
      </w:pPr>
      <w:r>
        <w:rPr>
          <w:rFonts w:ascii="Times New Roman" w:hAnsi="Times New Roman" w:eastAsia="Times New Roman" w:cs="Times New Roman"/>
          <w:sz w:val="24"/>
        </w:rPr>
        <w:t xml:space="preserve">[16] M. Rahman and M. Best, “Sustainability of makerspaces: Developing a framework for sustainable community innovation centers,” </w:t>
      </w:r>
      <w:r>
        <w:rPr>
          <w:rFonts w:ascii="Times New Roman" w:hAnsi="Times New Roman" w:eastAsia="Times New Roman" w:cs="Times New Roman"/>
          <w:i/>
          <w:sz w:val="24"/>
        </w:rPr>
        <w:t>ACM Journal on Computing and Sustainable Societies</w:t>
      </w:r>
      <w:r>
        <w:rPr>
          <w:rFonts w:ascii="Times New Roman" w:hAnsi="Times New Roman" w:eastAsia="Times New Roman" w:cs="Times New Roman"/>
          <w:sz w:val="24"/>
        </w:rPr>
        <w:t>, vol. 2, no. 3, art. 33, pp. 1-20, Sep. 2024.</w:t>
      </w:r>
    </w:p>
    <w:p>
      <w:pPr>
        <w:spacing w:before="0" w:after="120" w:line="276" w:lineRule="auto"/>
      </w:pPr>
      <w:r>
        <w:rPr>
          <w:rFonts w:ascii="Times New Roman" w:hAnsi="Times New Roman" w:eastAsia="Times New Roman" w:cs="Times New Roman"/>
          <w:sz w:val="24"/>
        </w:rPr>
        <w:t xml:space="preserve">[17] S. Fox, R. R. Ulgado, and D. Rosner, “Hacking culture, not devices: Access and recognition in feminist hackerspaces,” in </w:t>
      </w:r>
      <w:r>
        <w:rPr>
          <w:rFonts w:ascii="Times New Roman" w:hAnsi="Times New Roman" w:eastAsia="Times New Roman" w:cs="Times New Roman"/>
          <w:i/>
          <w:sz w:val="24"/>
        </w:rPr>
        <w:t>Proc. 18th ACM Conf. Computer Supported Cooperative Work and Social Computing (CSCW ‘15)</w:t>
      </w:r>
      <w:r>
        <w:rPr>
          <w:rFonts w:ascii="Times New Roman" w:hAnsi="Times New Roman" w:eastAsia="Times New Roman" w:cs="Times New Roman"/>
          <w:sz w:val="24"/>
        </w:rPr>
        <w:t>, New York, NY: ACM, 2015, pp. 56-68.</w:t>
      </w:r>
    </w:p>
    <w:p>
      <w:pPr>
        <w:pStyle w:val="Heading2"/>
        <w:jc w:val="left"/>
      </w:pPr>
      <w:r>
        <w:rPr>
          <w:rFonts w:ascii="Times New Roman" w:hAnsi="Times New Roman" w:eastAsia="Times New Roman" w:cs="Times New Roman"/>
          <w:b/>
          <w:sz w:val="28"/>
        </w:rPr>
        <w:t>9. Appendices</w:t>
      </w:r>
    </w:p>
    <w:p>
      <w:pPr>
        <w:pStyle w:val="Heading3"/>
        <w:jc w:val="left"/>
      </w:pPr>
      <w:r>
        <w:rPr>
          <w:rFonts w:ascii="Times New Roman" w:hAnsi="Times New Roman" w:eastAsia="Times New Roman" w:cs="Times New Roman"/>
          <w:b/>
          <w:sz w:val="24"/>
        </w:rPr>
        <w:t>Appendix A: Equipment Safety by Discipline</w:t>
      </w:r>
    </w:p>
    <w:p>
      <w:pPr>
        <w:pStyle w:val="ListBullet"/>
        <w:spacing w:before="0" w:after="60" w:line="276" w:lineRule="auto"/>
      </w:pPr>
      <w:r>
        <w:rPr>
          <w:rFonts w:ascii="Times New Roman" w:hAnsi="Times New Roman" w:eastAsia="Times New Roman" w:cs="Times New Roman"/>
          <w:b/>
          <w:sz w:val="24"/>
        </w:rPr>
        <w:t>Robotics and Electronics:</w:t>
      </w:r>
      <w:r>
        <w:rPr>
          <w:rFonts w:ascii="Times New Roman" w:hAnsi="Times New Roman" w:eastAsia="Times New Roman" w:cs="Times New Roman"/>
          <w:sz w:val="24"/>
        </w:rPr>
        <w:t xml:space="preserve"> Requires soldering ventilation, ESD-safe workstations, battery fire-safe storage, and eye protection for component work.</w:t>
      </w:r>
    </w:p>
    <w:p>
      <w:pPr>
        <w:pStyle w:val="ListBullet"/>
        <w:spacing w:before="0" w:after="60" w:line="276" w:lineRule="auto"/>
      </w:pPr>
      <w:r>
        <w:rPr>
          <w:rFonts w:ascii="Times New Roman" w:hAnsi="Times New Roman" w:eastAsia="Times New Roman" w:cs="Times New Roman"/>
          <w:b/>
          <w:sz w:val="24"/>
        </w:rPr>
        <w:t>Digital Fabrication:</w:t>
      </w:r>
      <w:r>
        <w:rPr>
          <w:rFonts w:ascii="Times New Roman" w:hAnsi="Times New Roman" w:eastAsia="Times New Roman" w:cs="Times New Roman"/>
          <w:sz w:val="24"/>
        </w:rPr>
        <w:t xml:space="preserve"> Requires machine guarding on CNC router, dust collection system, laser safety enclosure, and face shields for material cutting operations.</w:t>
      </w:r>
    </w:p>
    <w:p>
      <w:pPr>
        <w:pStyle w:val="ListBullet"/>
        <w:spacing w:before="0" w:after="60" w:line="276" w:lineRule="auto"/>
      </w:pPr>
      <w:r>
        <w:rPr>
          <w:rFonts w:ascii="Times New Roman" w:hAnsi="Times New Roman" w:eastAsia="Times New Roman" w:cs="Times New Roman"/>
          <w:b/>
          <w:sz w:val="24"/>
        </w:rPr>
        <w:t>Software Development:</w:t>
      </w:r>
      <w:r>
        <w:rPr>
          <w:rFonts w:ascii="Times New Roman" w:hAnsi="Times New Roman" w:eastAsia="Times New Roman" w:cs="Times New Roman"/>
          <w:sz w:val="24"/>
        </w:rPr>
        <w:t xml:space="preserve"> Standard workstation ergonomics; no high-risk equipment. UPS battery backup for data protection.</w:t>
      </w:r>
    </w:p>
    <w:p>
      <w:pPr>
        <w:pStyle w:val="ListBullet"/>
        <w:spacing w:before="0" w:after="60" w:line="276" w:lineRule="auto"/>
      </w:pPr>
      <w:r>
        <w:rPr>
          <w:rFonts w:ascii="Times New Roman" w:hAnsi="Times New Roman" w:eastAsia="Times New Roman" w:cs="Times New Roman"/>
          <w:b/>
          <w:sz w:val="24"/>
        </w:rPr>
        <w:t>Creative and Applied Design:</w:t>
      </w:r>
      <w:r>
        <w:rPr>
          <w:rFonts w:ascii="Times New Roman" w:hAnsi="Times New Roman" w:eastAsia="Times New Roman" w:cs="Times New Roman"/>
          <w:sz w:val="24"/>
        </w:rPr>
        <w:t xml:space="preserve"> Requires ventilation for adhesives and spray materials, blade safety protocols for physical modeling, and proper lighting standards.</w:t>
      </w:r>
    </w:p>
    <w:p>
      <w:pPr>
        <w:pStyle w:val="Heading3"/>
        <w:jc w:val="left"/>
      </w:pPr>
      <w:r>
        <w:rPr>
          <w:rFonts w:ascii="Times New Roman" w:hAnsi="Times New Roman" w:eastAsia="Times New Roman" w:cs="Times New Roman"/>
          <w:b/>
          <w:sz w:val="24"/>
        </w:rPr>
        <w:t>Appendix B: Implementation Timeline</w:t>
      </w:r>
    </w:p>
    <w:p>
      <w:pPr>
        <w:pStyle w:val="ListBullet"/>
        <w:spacing w:before="0" w:after="60" w:line="276" w:lineRule="auto"/>
      </w:pPr>
      <w:r>
        <w:rPr>
          <w:rFonts w:ascii="Times New Roman" w:hAnsi="Times New Roman" w:eastAsia="Times New Roman" w:cs="Times New Roman"/>
          <w:b/>
          <w:sz w:val="24"/>
        </w:rPr>
        <w:t>Months 1 to 3:</w:t>
      </w:r>
      <w:r>
        <w:rPr>
          <w:rFonts w:ascii="Times New Roman" w:hAnsi="Times New Roman" w:eastAsia="Times New Roman" w:cs="Times New Roman"/>
          <w:sz w:val="24"/>
        </w:rPr>
        <w:t xml:space="preserve"> Incorporate nonprofit and secure seed funding.</w:t>
      </w:r>
    </w:p>
    <w:p>
      <w:pPr>
        <w:pStyle w:val="ListBullet"/>
        <w:spacing w:before="0" w:after="60" w:line="276" w:lineRule="auto"/>
      </w:pPr>
      <w:r>
        <w:rPr>
          <w:rFonts w:ascii="Times New Roman" w:hAnsi="Times New Roman" w:eastAsia="Times New Roman" w:cs="Times New Roman"/>
          <w:b/>
          <w:sz w:val="24"/>
        </w:rPr>
        <w:t>Months 4 to 6:</w:t>
      </w:r>
      <w:r>
        <w:rPr>
          <w:rFonts w:ascii="Times New Roman" w:hAnsi="Times New Roman" w:eastAsia="Times New Roman" w:cs="Times New Roman"/>
          <w:sz w:val="24"/>
        </w:rPr>
        <w:t xml:space="preserve"> Facility renovation and equipment installation.</w:t>
      </w:r>
    </w:p>
    <w:p>
      <w:pPr>
        <w:pStyle w:val="ListBullet"/>
        <w:spacing w:before="0" w:after="60" w:line="276" w:lineRule="auto"/>
      </w:pPr>
      <w:r>
        <w:rPr>
          <w:rFonts w:ascii="Times New Roman" w:hAnsi="Times New Roman" w:eastAsia="Times New Roman" w:cs="Times New Roman"/>
          <w:b/>
          <w:sz w:val="24"/>
        </w:rPr>
        <w:t>Months 7 to 9:</w:t>
      </w:r>
      <w:r>
        <w:rPr>
          <w:rFonts w:ascii="Times New Roman" w:hAnsi="Times New Roman" w:eastAsia="Times New Roman" w:cs="Times New Roman"/>
          <w:sz w:val="24"/>
        </w:rPr>
        <w:t xml:space="preserve"> Soft launch for founding members and pilot workshops.</w:t>
      </w:r>
    </w:p>
    <w:p>
      <w:pPr>
        <w:pStyle w:val="ListBullet"/>
        <w:spacing w:before="0" w:after="60" w:line="276" w:lineRule="auto"/>
      </w:pPr>
      <w:r>
        <w:rPr>
          <w:rFonts w:ascii="Times New Roman" w:hAnsi="Times New Roman" w:eastAsia="Times New Roman" w:cs="Times New Roman"/>
          <w:b/>
          <w:sz w:val="24"/>
        </w:rPr>
        <w:t>Months 10 to 12:</w:t>
      </w:r>
      <w:r>
        <w:rPr>
          <w:rFonts w:ascii="Times New Roman" w:hAnsi="Times New Roman" w:eastAsia="Times New Roman" w:cs="Times New Roman"/>
          <w:sz w:val="24"/>
        </w:rPr>
        <w:t xml:space="preserve"> Full public launch and first annual impact report.</w:t>
      </w:r>
    </w:p>
    <w:p>
      <w:pPr>
        <w:pStyle w:val="Heading3"/>
        <w:jc w:val="left"/>
      </w:pPr>
      <w:r>
        <w:rPr>
          <w:rFonts w:ascii="Times New Roman" w:hAnsi="Times New Roman" w:eastAsia="Times New Roman" w:cs="Times New Roman"/>
          <w:b/>
          <w:sz w:val="24"/>
        </w:rPr>
        <w:t>Appendix C: Legal Structure Options</w:t>
      </w:r>
    </w:p>
    <w:p>
      <w:pPr>
        <w:spacing w:before="0" w:after="120" w:line="276" w:lineRule="auto"/>
      </w:pPr>
      <w:r>
        <w:rPr>
          <w:rFonts w:ascii="Times New Roman" w:hAnsi="Times New Roman" w:eastAsia="Times New Roman" w:cs="Times New Roman"/>
          <w:sz w:val="24"/>
        </w:rPr>
        <w:t>Crossroads is evaluating two primary legal structures for incorporation in British Columbia:</w:t>
      </w:r>
    </w:p>
    <w:p>
      <w:pPr>
        <w:pStyle w:val="ListBullet"/>
        <w:spacing w:before="0" w:after="60" w:line="276" w:lineRule="auto"/>
      </w:pPr>
      <w:r>
        <w:rPr>
          <w:rFonts w:ascii="Times New Roman" w:hAnsi="Times New Roman" w:eastAsia="Times New Roman" w:cs="Times New Roman"/>
          <w:b/>
          <w:sz w:val="24"/>
        </w:rPr>
        <w:t>BC Benefit Company:</w:t>
      </w:r>
      <w:r>
        <w:rPr>
          <w:rFonts w:ascii="Times New Roman" w:hAnsi="Times New Roman" w:eastAsia="Times New Roman" w:cs="Times New Roman"/>
          <w:sz w:val="24"/>
        </w:rPr>
        <w:t xml:space="preserve"> A hybrid corporate structure that allows for-profit operations while mandating a stated public benefit. This model permits revenue generation through commercial activities while maintaining a social mission. Directors are legally required to consider the impact of their decisions on stakeholders beyond shareholders. This structure offers flexibility in raising capital and may appeal to impact investors.</w:t>
      </w:r>
    </w:p>
    <w:p>
      <w:pPr>
        <w:pStyle w:val="ListBullet"/>
        <w:spacing w:before="0" w:after="60" w:line="276" w:lineRule="auto"/>
      </w:pPr>
      <w:r>
        <w:rPr>
          <w:rFonts w:ascii="Times New Roman" w:hAnsi="Times New Roman" w:eastAsia="Times New Roman" w:cs="Times New Roman"/>
          <w:b/>
          <w:sz w:val="24"/>
        </w:rPr>
        <w:t>BC Nonprofit Society (Charity):</w:t>
      </w:r>
      <w:r>
        <w:rPr>
          <w:rFonts w:ascii="Times New Roman" w:hAnsi="Times New Roman" w:eastAsia="Times New Roman" w:cs="Times New Roman"/>
          <w:sz w:val="24"/>
        </w:rPr>
        <w:t xml:space="preserve"> Incorporation under the BC Societies Act requires a minimum of five directors and the drafting of organizational bylaws and a constitution. Following provincial incorporation, the organization may apply for federal charitable status through the Canada Revenue Agency, which enables the issuance of tax receipts for donations. Estimated incorporation costs include a provincial filing fee of approximately $100 to $150, legal and accounting fees of $2,000 to $5,000, and ongoing annual reporting obligations. This structure is preferred for maximizing eligibility for government grants and philanthropic donations.</w:t>
      </w:r>
    </w:p>
    <w:p>
      <w:pPr>
        <w:spacing w:before="0" w:after="120" w:line="276" w:lineRule="auto"/>
      </w:pPr>
      <w:r>
        <w:rPr>
          <w:rFonts w:ascii="Times New Roman" w:hAnsi="Times New Roman" w:eastAsia="Times New Roman" w:cs="Times New Roman"/>
          <w:sz w:val="24"/>
        </w:rPr>
        <w:t>The founding team’s current recommendation is to incorporate as a nonprofit society under the BC Societies Act to maximize grant eligibility and public trust, with the option to establish a subsidiary benefit company for commercial revenue streams as the organization matures.</w:t>
      </w:r>
    </w:p>
    <w:p>
      <w:pPr>
        <w:pStyle w:val="Heading3"/>
        <w:jc w:val="left"/>
      </w:pPr>
      <w:r>
        <w:rPr>
          <w:rFonts w:ascii="Times New Roman" w:hAnsi="Times New Roman" w:eastAsia="Times New Roman" w:cs="Times New Roman"/>
          <w:b/>
          <w:sz w:val="24"/>
        </w:rPr>
        <w:t>Appendix D: Community Outreach Letter Template</w:t>
      </w:r>
    </w:p>
    <w:p>
      <w:pPr>
        <w:spacing w:before="0" w:after="120" w:line="276" w:lineRule="auto"/>
      </w:pPr>
      <w:r>
        <w:rPr>
          <w:rFonts w:ascii="Times New Roman" w:hAnsi="Times New Roman" w:eastAsia="Times New Roman" w:cs="Times New Roman"/>
          <w:sz w:val="24"/>
        </w:rPr>
        <w:t>Subject: Partnership Inquiry – Crossroads Community STEM Learning Hub</w:t>
      </w:r>
    </w:p>
    <w:p>
      <w:pPr>
        <w:spacing w:before="0" w:after="120" w:line="276" w:lineRule="auto"/>
      </w:pPr>
      <w:r>
        <w:rPr>
          <w:rFonts w:ascii="Times New Roman" w:hAnsi="Times New Roman" w:eastAsia="Times New Roman" w:cs="Times New Roman"/>
          <w:sz w:val="24"/>
        </w:rPr>
        <w:t>Dear [Recipient Name],</w:t>
      </w:r>
    </w:p>
    <w:p>
      <w:pPr>
        <w:spacing w:before="0" w:after="120" w:line="276" w:lineRule="auto"/>
      </w:pPr>
      <w:r>
        <w:rPr>
          <w:rFonts w:ascii="Times New Roman" w:hAnsi="Times New Roman" w:eastAsia="Times New Roman" w:cs="Times New Roman"/>
          <w:sz w:val="24"/>
        </w:rPr>
        <w:t>My name is Cameron Kibble, and I am the founder of Crossroads Community Hub, a proposed nonprofit STEM learning center planned for Langford, British Columbia. I am reaching out to explore potential partnership opportunities between your organization and Crossroads.</w:t>
      </w:r>
    </w:p>
    <w:p>
      <w:pPr>
        <w:spacing w:before="0" w:after="120" w:line="276" w:lineRule="auto"/>
      </w:pPr>
      <w:r>
        <w:rPr>
          <w:rFonts w:ascii="Times New Roman" w:hAnsi="Times New Roman" w:eastAsia="Times New Roman" w:cs="Times New Roman"/>
          <w:sz w:val="24"/>
        </w:rPr>
        <w:t>Our mission is to provide accessible, hands-on technical education and mentorship to community members of all ages and skill levels. We are currently in the planning and development phase and are seeking partners who share our commitment to workforce readiness, inclusive education, and community building.</w:t>
      </w:r>
    </w:p>
    <w:p>
      <w:pPr>
        <w:spacing w:before="0" w:after="120" w:line="276" w:lineRule="auto"/>
      </w:pPr>
      <w:r>
        <w:rPr>
          <w:rFonts w:ascii="Times New Roman" w:hAnsi="Times New Roman" w:eastAsia="Times New Roman" w:cs="Times New Roman"/>
          <w:sz w:val="24"/>
        </w:rPr>
        <w:t>I would welcome the opportunity to discuss how a collaboration might benefit both our organizations. Please feel free to contact me at your convenience.</w:t>
      </w:r>
    </w:p>
    <w:p>
      <w:pPr>
        <w:spacing w:before="0" w:after="120" w:line="276" w:lineRule="auto"/>
      </w:pPr>
      <w:r>
        <w:rPr>
          <w:rFonts w:ascii="Times New Roman" w:hAnsi="Times New Roman" w:eastAsia="Times New Roman" w:cs="Times New Roman"/>
          <w:sz w:val="24"/>
        </w:rPr>
        <w:t>Respectfully,</w:t>
      </w:r>
    </w:p>
    <w:p>
      <w:pPr>
        <w:spacing w:before="0" w:after="120" w:line="276" w:lineRule="auto"/>
      </w:pPr>
      <w:r>
        <w:rPr>
          <w:rFonts w:ascii="Times New Roman" w:hAnsi="Times New Roman" w:eastAsia="Times New Roman" w:cs="Times New Roman"/>
          <w:sz w:val="24"/>
        </w:rPr>
        <w:t>Cameron Kibble</w:t>
        <w:br/>
        <w:t>Founder, Crossroads Community Hub</w:t>
        <w:br/>
        <w:t>3100 Foul Bay Road, Victoria, BC V8P 5J2</w:t>
        <w:br/>
        <w:t>Email: crossroads.learninghub.mail@gmail.com</w:t>
      </w:r>
    </w:p>
    <w:p>
      <w:pPr>
        <w:pStyle w:val="Heading3"/>
        <w:jc w:val="left"/>
      </w:pPr>
      <w:r>
        <w:rPr>
          <w:rFonts w:ascii="Times New Roman" w:hAnsi="Times New Roman" w:eastAsia="Times New Roman" w:cs="Times New Roman"/>
          <w:b/>
          <w:sz w:val="24"/>
        </w:rPr>
        <w:t>Appendix E: Makerspace Research Questionnaire</w:t>
      </w:r>
    </w:p>
    <w:p>
      <w:pPr>
        <w:spacing w:before="0" w:after="120" w:line="276" w:lineRule="auto"/>
      </w:pPr>
      <w:r>
        <w:rPr>
          <w:rFonts w:ascii="Times New Roman" w:hAnsi="Times New Roman" w:eastAsia="Times New Roman" w:cs="Times New Roman"/>
          <w:sz w:val="24"/>
        </w:rPr>
        <w:t>The following questionnaire template is designed for structured interviews with existing makerspace operators to inform Crossroads’ operational model:</w:t>
      </w:r>
    </w:p>
    <w:p>
      <w:pPr>
        <w:pStyle w:val="ListNumber"/>
        <w:spacing w:before="0" w:after="60" w:line="276" w:lineRule="auto"/>
      </w:pPr>
      <w:r>
        <w:rPr>
          <w:rFonts w:ascii="Times New Roman" w:hAnsi="Times New Roman" w:eastAsia="Times New Roman" w:cs="Times New Roman"/>
          <w:sz w:val="24"/>
        </w:rPr>
        <w:t>What is the primary mission or purpose of your makerspace?</w:t>
      </w:r>
    </w:p>
    <w:p>
      <w:pPr>
        <w:pStyle w:val="ListNumber"/>
        <w:spacing w:before="0" w:after="60" w:line="276" w:lineRule="auto"/>
      </w:pPr>
      <w:r>
        <w:rPr>
          <w:rFonts w:ascii="Times New Roman" w:hAnsi="Times New Roman" w:eastAsia="Times New Roman" w:cs="Times New Roman"/>
          <w:sz w:val="24"/>
        </w:rPr>
        <w:t>How do you structure membership or access fees? Do you offer sliding-scale or subsidized options?</w:t>
      </w:r>
    </w:p>
    <w:p>
      <w:pPr>
        <w:pStyle w:val="ListNumber"/>
        <w:spacing w:before="0" w:after="60" w:line="276" w:lineRule="auto"/>
      </w:pPr>
      <w:r>
        <w:rPr>
          <w:rFonts w:ascii="Times New Roman" w:hAnsi="Times New Roman" w:eastAsia="Times New Roman" w:cs="Times New Roman"/>
          <w:sz w:val="24"/>
        </w:rPr>
        <w:t>What disciplines or tool categories generate the highest demand?</w:t>
      </w:r>
    </w:p>
    <w:p>
      <w:pPr>
        <w:pStyle w:val="ListNumber"/>
        <w:spacing w:before="0" w:after="60" w:line="276" w:lineRule="auto"/>
      </w:pPr>
      <w:r>
        <w:rPr>
          <w:rFonts w:ascii="Times New Roman" w:hAnsi="Times New Roman" w:eastAsia="Times New Roman" w:cs="Times New Roman"/>
          <w:sz w:val="24"/>
        </w:rPr>
        <w:t>What are the most significant operational challenges you face (e.g., staffing, equipment maintenance, liability)?</w:t>
      </w:r>
    </w:p>
    <w:p>
      <w:pPr>
        <w:pStyle w:val="ListNumber"/>
        <w:spacing w:before="0" w:after="60" w:line="276" w:lineRule="auto"/>
      </w:pPr>
      <w:r>
        <w:rPr>
          <w:rFonts w:ascii="Times New Roman" w:hAnsi="Times New Roman" w:eastAsia="Times New Roman" w:cs="Times New Roman"/>
          <w:sz w:val="24"/>
        </w:rPr>
        <w:t>How do you handle safety training and certification for members?</w:t>
      </w:r>
    </w:p>
    <w:p>
      <w:pPr>
        <w:pStyle w:val="ListNumber"/>
        <w:spacing w:before="0" w:after="60" w:line="276" w:lineRule="auto"/>
      </w:pPr>
      <w:r>
        <w:rPr>
          <w:rFonts w:ascii="Times New Roman" w:hAnsi="Times New Roman" w:eastAsia="Times New Roman" w:cs="Times New Roman"/>
          <w:sz w:val="24"/>
        </w:rPr>
        <w:t>What revenue streams beyond membership fees have proven most sustainable?</w:t>
      </w:r>
    </w:p>
    <w:p>
      <w:pPr>
        <w:pStyle w:val="ListNumber"/>
        <w:spacing w:before="0" w:after="60" w:line="276" w:lineRule="auto"/>
      </w:pPr>
      <w:r>
        <w:rPr>
          <w:rFonts w:ascii="Times New Roman" w:hAnsi="Times New Roman" w:eastAsia="Times New Roman" w:cs="Times New Roman"/>
          <w:sz w:val="24"/>
        </w:rPr>
        <w:t>How do you engage volunteers and mentors in day-to-day operations?</w:t>
      </w:r>
    </w:p>
    <w:p>
      <w:pPr>
        <w:pStyle w:val="ListNumber"/>
        <w:spacing w:before="0" w:after="60" w:line="276" w:lineRule="auto"/>
      </w:pPr>
      <w:r>
        <w:rPr>
          <w:rFonts w:ascii="Times New Roman" w:hAnsi="Times New Roman" w:eastAsia="Times New Roman" w:cs="Times New Roman"/>
          <w:sz w:val="24"/>
        </w:rPr>
        <w:t>What role does digital infrastructure (apps, booking systems, online courses) play in your operations?</w:t>
      </w:r>
    </w:p>
    <w:p>
      <w:pPr>
        <w:pStyle w:val="ListNumber"/>
        <w:spacing w:before="0" w:after="60" w:line="276" w:lineRule="auto"/>
      </w:pPr>
      <w:r>
        <w:rPr>
          <w:rFonts w:ascii="Times New Roman" w:hAnsi="Times New Roman" w:eastAsia="Times New Roman" w:cs="Times New Roman"/>
          <w:sz w:val="24"/>
        </w:rPr>
        <w:t>How do you measure community impact or social outcomes?</w:t>
      </w:r>
    </w:p>
    <w:p>
      <w:pPr>
        <w:pStyle w:val="ListNumber"/>
        <w:spacing w:before="0" w:after="60" w:line="276" w:lineRule="auto"/>
      </w:pPr>
      <w:r>
        <w:rPr>
          <w:rFonts w:ascii="Times New Roman" w:hAnsi="Times New Roman" w:eastAsia="Times New Roman" w:cs="Times New Roman"/>
          <w:sz w:val="24"/>
        </w:rPr>
        <w:t>What advice would you offer to a new makerspace launching in a mid-sized Canadian municipality?</w:t>
      </w:r>
    </w:p>
    <w:p>
      <w:pPr>
        <w:pStyle w:val="Heading3"/>
        <w:jc w:val="left"/>
      </w:pPr>
      <w:r>
        <w:rPr>
          <w:rFonts w:ascii="Times New Roman" w:hAnsi="Times New Roman" w:eastAsia="Times New Roman" w:cs="Times New Roman"/>
          <w:b/>
          <w:sz w:val="24"/>
        </w:rPr>
        <w:t>Appendix F: Community Needs Assessment Survey</w:t>
      </w:r>
    </w:p>
    <w:p>
      <w:pPr>
        <w:spacing w:before="0" w:after="120" w:line="276" w:lineRule="auto"/>
      </w:pPr>
      <w:r>
        <w:rPr>
          <w:rFonts w:ascii="Times New Roman" w:hAnsi="Times New Roman" w:eastAsia="Times New Roman" w:cs="Times New Roman"/>
          <w:sz w:val="24"/>
        </w:rPr>
        <w:t>The following survey was distributed to 54 respondents in the Langford and Greater Victoria area (February 2026) via online distribution and in-person collection at community events. Results inform the demand analysis presented in Section 1.</w:t>
      </w:r>
    </w:p>
    <w:p>
      <w:pPr>
        <w:spacing w:before="0" w:after="120" w:line="276" w:lineRule="auto"/>
      </w:pPr>
      <w:r>
        <w:rPr>
          <w:rFonts w:ascii="Times New Roman" w:hAnsi="Times New Roman" w:eastAsia="Times New Roman" w:cs="Times New Roman"/>
          <w:b/>
          <w:sz w:val="24"/>
        </w:rPr>
        <w:t>Survey Instrument:</w:t>
      </w:r>
    </w:p>
    <w:p>
      <w:pPr>
        <w:pStyle w:val="ListNumber"/>
        <w:spacing w:before="0" w:after="60" w:line="276" w:lineRule="auto"/>
      </w:pPr>
      <w:r>
        <w:rPr>
          <w:rFonts w:ascii="Times New Roman" w:hAnsi="Times New Roman" w:eastAsia="Times New Roman" w:cs="Times New Roman"/>
          <w:sz w:val="24"/>
        </w:rPr>
        <w:t>What is your age range? (Under 18 / 18-24 / 25-34 / 35-49 / 50-64 / 65+)</w:t>
      </w:r>
    </w:p>
    <w:p>
      <w:pPr>
        <w:pStyle w:val="ListNumber"/>
        <w:spacing w:before="0" w:after="60" w:line="276" w:lineRule="auto"/>
      </w:pPr>
      <w:r>
        <w:rPr>
          <w:rFonts w:ascii="Times New Roman" w:hAnsi="Times New Roman" w:eastAsia="Times New Roman" w:cs="Times New Roman"/>
          <w:sz w:val="24"/>
        </w:rPr>
        <w:t>What is your current relationship with STEM education? (Student / Professional / Hobbyist / Interested but no experience / Educator)</w:t>
      </w:r>
    </w:p>
    <w:p>
      <w:pPr>
        <w:pStyle w:val="ListNumber"/>
        <w:spacing w:before="0" w:after="60" w:line="276" w:lineRule="auto"/>
      </w:pPr>
      <w:r>
        <w:rPr>
          <w:rFonts w:ascii="Times New Roman" w:hAnsi="Times New Roman" w:eastAsia="Times New Roman" w:cs="Times New Roman"/>
          <w:sz w:val="24"/>
        </w:rPr>
        <w:t>Have you used a makerspace, fab lab, or community workshop before? (Yes / No)</w:t>
      </w:r>
    </w:p>
    <w:p>
      <w:pPr>
        <w:pStyle w:val="ListNumber"/>
        <w:spacing w:before="0" w:after="60" w:line="276" w:lineRule="auto"/>
      </w:pPr>
      <w:r>
        <w:rPr>
          <w:rFonts w:ascii="Times New Roman" w:hAnsi="Times New Roman" w:eastAsia="Times New Roman" w:cs="Times New Roman"/>
          <w:sz w:val="24"/>
        </w:rPr>
        <w:t>If yes, what barriers or limitations did you experience? (Open response)</w:t>
      </w:r>
    </w:p>
    <w:p>
      <w:pPr>
        <w:pStyle w:val="ListNumber"/>
        <w:spacing w:before="0" w:after="60" w:line="276" w:lineRule="auto"/>
      </w:pPr>
      <w:r>
        <w:rPr>
          <w:rFonts w:ascii="Times New Roman" w:hAnsi="Times New Roman" w:eastAsia="Times New Roman" w:cs="Times New Roman"/>
          <w:sz w:val="24"/>
        </w:rPr>
        <w:t>What is the primary barrier preventing you from developing technical skills? (Cost / Lack of facilities / Time constraints / Lack of knowledge about options / Other)</w:t>
      </w:r>
    </w:p>
    <w:p>
      <w:pPr>
        <w:pStyle w:val="ListNumber"/>
        <w:spacing w:before="0" w:after="60" w:line="276" w:lineRule="auto"/>
      </w:pPr>
      <w:r>
        <w:rPr>
          <w:rFonts w:ascii="Times New Roman" w:hAnsi="Times New Roman" w:eastAsia="Times New Roman" w:cs="Times New Roman"/>
          <w:sz w:val="24"/>
        </w:rPr>
        <w:t>Would you use a drop-in community STEM facility in the Langford area if one were available? (Definitely / Probably / Unsure / Unlikely)</w:t>
      </w:r>
    </w:p>
    <w:p>
      <w:pPr>
        <w:pStyle w:val="ListNumber"/>
        <w:spacing w:before="0" w:after="60" w:line="276" w:lineRule="auto"/>
      </w:pPr>
      <w:r>
        <w:rPr>
          <w:rFonts w:ascii="Times New Roman" w:hAnsi="Times New Roman" w:eastAsia="Times New Roman" w:cs="Times New Roman"/>
          <w:sz w:val="24"/>
        </w:rPr>
        <w:t>What technical areas interest you most? (Select all: Robotics / 3D Printing / Software / Electronics / Design / Other)</w:t>
      </w:r>
    </w:p>
    <w:p>
      <w:pPr>
        <w:pStyle w:val="ListNumber"/>
        <w:spacing w:before="0" w:after="60" w:line="276" w:lineRule="auto"/>
      </w:pPr>
      <w:r>
        <w:rPr>
          <w:rFonts w:ascii="Times New Roman" w:hAnsi="Times New Roman" w:eastAsia="Times New Roman" w:cs="Times New Roman"/>
          <w:sz w:val="24"/>
        </w:rPr>
        <w:t>How much would you be willing to pay per month for membership access? ($0-25 / $25-50 / $50-75 / $75-100 / $100+)</w:t>
      </w:r>
    </w:p>
    <w:p>
      <w:pPr>
        <w:pStyle w:val="ListNumber"/>
        <w:spacing w:before="0" w:after="60" w:line="276" w:lineRule="auto"/>
      </w:pPr>
      <w:r>
        <w:rPr>
          <w:rFonts w:ascii="Times New Roman" w:hAnsi="Times New Roman" w:eastAsia="Times New Roman" w:cs="Times New Roman"/>
          <w:sz w:val="24"/>
        </w:rPr>
        <w:t>What days and times would be most convenient for you to visit? (Weekday mornings / Weekday afternoons / Weekday evenings / Weekends)</w:t>
      </w:r>
    </w:p>
    <w:p>
      <w:pPr>
        <w:pStyle w:val="ListNumber"/>
        <w:spacing w:before="0" w:after="60" w:line="276" w:lineRule="auto"/>
      </w:pPr>
      <w:r>
        <w:rPr>
          <w:rFonts w:ascii="Times New Roman" w:hAnsi="Times New Roman" w:eastAsia="Times New Roman" w:cs="Times New Roman"/>
          <w:sz w:val="24"/>
        </w:rPr>
        <w:t>Any additional comments about what you would want from a community STEM facility? (Open response)</w:t>
      </w:r>
    </w:p>
    <w:p>
      <w:pPr>
        <w:spacing w:before="0" w:after="120" w:line="276" w:lineRule="auto"/>
      </w:pPr>
      <w:r>
        <w:rPr>
          <w:rFonts w:ascii="Times New Roman" w:hAnsi="Times New Roman" w:eastAsia="Times New Roman" w:cs="Times New Roman"/>
          <w:b/>
          <w:sz w:val="24"/>
        </w:rPr>
        <w:t>Summary of Key Findings (n=54):</w:t>
      </w:r>
    </w:p>
    <w:p>
      <w:pPr>
        <w:pStyle w:val="ListBullet"/>
        <w:spacing w:before="0" w:after="60" w:line="276" w:lineRule="auto"/>
      </w:pPr>
      <w:r>
        <w:rPr>
          <w:rFonts w:ascii="Times New Roman" w:hAnsi="Times New Roman" w:eastAsia="Times New Roman" w:cs="Times New Roman"/>
          <w:sz w:val="24"/>
        </w:rPr>
        <w:t>78% identified “lack of affordable access to tools and lab space” as their primary barrier to developing technical skills.</w:t>
      </w:r>
    </w:p>
    <w:p>
      <w:pPr>
        <w:pStyle w:val="ListBullet"/>
        <w:spacing w:before="0" w:after="60" w:line="276" w:lineRule="auto"/>
      </w:pPr>
      <w:r>
        <w:rPr>
          <w:rFonts w:ascii="Times New Roman" w:hAnsi="Times New Roman" w:eastAsia="Times New Roman" w:cs="Times New Roman"/>
          <w:sz w:val="24"/>
        </w:rPr>
        <w:t>65% indicated they would “definitely” or “probably” use a drop-in community STEM facility in Langford.</w:t>
      </w:r>
    </w:p>
    <w:p>
      <w:pPr>
        <w:pStyle w:val="ListBullet"/>
        <w:spacing w:before="0" w:after="60" w:line="276" w:lineRule="auto"/>
      </w:pPr>
      <w:r>
        <w:rPr>
          <w:rFonts w:ascii="Times New Roman" w:hAnsi="Times New Roman" w:eastAsia="Times New Roman" w:cs="Times New Roman"/>
          <w:sz w:val="24"/>
        </w:rPr>
        <w:t>Most requested disciplines: 3D Printing/Fabrication (72%), Software Development (58%), Robotics/Electronics (54%), Creative Design (41%).</w:t>
      </w:r>
    </w:p>
    <w:p>
      <w:pPr>
        <w:pStyle w:val="ListBullet"/>
        <w:spacing w:before="0" w:after="60" w:line="276" w:lineRule="auto"/>
      </w:pPr>
      <w:r>
        <w:rPr>
          <w:rFonts w:ascii="Times New Roman" w:hAnsi="Times New Roman" w:eastAsia="Times New Roman" w:cs="Times New Roman"/>
          <w:sz w:val="24"/>
        </w:rPr>
        <w:t>61% preferred a monthly membership fee in the $25-$50 range.</w:t>
      </w:r>
    </w:p>
    <w:p>
      <w:pPr>
        <w:pStyle w:val="ListBullet"/>
        <w:spacing w:before="0" w:after="60" w:line="276" w:lineRule="auto"/>
      </w:pPr>
      <w:r>
        <w:rPr>
          <w:rFonts w:ascii="Times New Roman" w:hAnsi="Times New Roman" w:eastAsia="Times New Roman" w:cs="Times New Roman"/>
          <w:sz w:val="24"/>
        </w:rPr>
        <w:t>Peak preferred times: weekday evenings (68%) and weekends (59%).</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0"/>
      </w:rPr>
      <w:fldChar w:fldCharType="begin"/>
    </w:r>
    <w:r>
      <w:rPr>
        <w:rFonts w:ascii="Times New Roman" w:hAnsi="Times New Roman" w:eastAsia="Times New Roman" w:cs="Times New Roman"/>
        <w:sz w:val="20"/>
      </w:rPr>
      <w:instrText xml:space="preserve"> PAGE </w:instrText>
    </w:r>
    <w:r>
      <w:rPr>
        <w:rFonts w:ascii="Times New Roman" w:hAnsi="Times New Roman" w:eastAsia="Times New Roman" w:cs="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