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cs="Times New Roman"/>
          <w:b/>
          <w:sz w:val="36"/>
        </w:rPr>
        <w:t>Feasibility Study: Crossroads Community STEM Centre</w:t>
      </w:r>
    </w:p>
    <w:p>
      <w:pPr>
        <w:spacing w:before="40" w:after="40" w:line="276" w:lineRule="auto"/>
      </w:pPr>
      <w:r>
        <w:rPr>
          <w:rFonts w:ascii="Times New Roman" w:hAnsi="Times New Roman" w:eastAsia="Times New Roman" w:cs="Times New Roman"/>
          <w:b/>
          <w:sz w:val="24"/>
        </w:rPr>
        <w:t>An Assessment of the Viability of Establishing a Community STEM Learning Hub in Langford, British Columbia</w:t>
      </w:r>
    </w:p>
    <w:p>
      <w:pPr>
        <w:spacing w:before="40" w:after="40" w:line="276" w:lineRule="auto"/>
      </w:pPr>
      <w:r>
        <w:rPr>
          <w:rFonts w:ascii="Times New Roman" w:hAnsi="Times New Roman" w:eastAsia="Times New Roman" w:cs="Times New Roman"/>
          <w:sz w:val="24"/>
        </w:rPr>
        <w:t>Prepared for: Jasmine North, Department of English, Camosun College</w:t>
      </w:r>
    </w:p>
    <w:p>
      <w:pPr>
        <w:spacing w:before="40" w:after="40" w:line="276" w:lineRule="auto"/>
      </w:pPr>
      <w:r>
        <w:rPr>
          <w:rFonts w:ascii="Times New Roman" w:hAnsi="Times New Roman" w:eastAsia="Times New Roman" w:cs="Times New Roman"/>
          <w:sz w:val="24"/>
        </w:rPr>
        <w:t>Prepared by: Cameron Kibble, Founder, Crossroads Community Hub</w:t>
      </w:r>
    </w:p>
    <w:p>
      <w:pPr>
        <w:spacing w:before="40" w:after="40" w:line="276" w:lineRule="auto"/>
      </w:pPr>
      <w:r>
        <w:rPr>
          <w:rFonts w:ascii="Times New Roman" w:hAnsi="Times New Roman" w:eastAsia="Times New Roman" w:cs="Times New Roman"/>
          <w:sz w:val="24"/>
        </w:rPr>
        <w:t>Date: March 26, 2026 (Updated: March 29, 2026)</w:t>
      </w:r>
    </w:p>
    <w:p>
      <w:r>
        <w:br w:type="page"/>
      </w:r>
    </w:p>
    <w:p>
      <w:pPr>
        <w:spacing w:before="120" w:after="120" w:line="276" w:lineRule="auto"/>
        <w:jc w:val="center"/>
      </w:pPr>
      <w:r>
        <w:rPr>
          <w:rFonts w:ascii="Times New Roman" w:hAnsi="Times New Roman" w:eastAsia="Times New Roman" w:cs="Times New Roman"/>
          <w:b/>
          <w:sz w:val="28"/>
        </w:rPr>
        <w:t>Table of Contents</w:t>
      </w:r>
    </w:p>
    <w:p>
      <w:pPr>
        <w:pStyle w:val="ListNumber"/>
        <w:spacing w:before="0" w:after="60" w:line="276" w:lineRule="auto"/>
      </w:pPr>
      <w:hyperlink r:id="rId9">
        <w:r>
          <w:rPr>
            <w:rFonts w:ascii="Times New Roman" w:hAnsi="Times New Roman" w:eastAsia="Times New Roman" w:cs="Times New Roman"/>
            <w:color w:val="0563C1"/>
            <w:sz w:val="24"/>
            <w:u w:val="single"/>
          </w:rPr>
          <w:t>Introduction</w:t>
        </w:r>
      </w:hyperlink>
    </w:p>
    <w:p>
      <w:pPr>
        <w:pStyle w:val="ListNumber"/>
        <w:spacing w:before="0" w:after="60" w:line="276" w:lineRule="auto"/>
      </w:pPr>
      <w:hyperlink r:id="rId10">
        <w:r>
          <w:rPr>
            <w:rFonts w:ascii="Times New Roman" w:hAnsi="Times New Roman" w:eastAsia="Times New Roman" w:cs="Times New Roman"/>
            <w:color w:val="0563C1"/>
            <w:sz w:val="24"/>
            <w:u w:val="single"/>
          </w:rPr>
          <w:t>Needs Analysis</w:t>
        </w:r>
      </w:hyperlink>
    </w:p>
    <w:p>
      <w:pPr>
        <w:pStyle w:val="ListNumber"/>
        <w:spacing w:before="0" w:after="60" w:line="276" w:lineRule="auto"/>
      </w:pPr>
      <w:hyperlink r:id="rId11">
        <w:r>
          <w:rPr>
            <w:rFonts w:ascii="Times New Roman" w:hAnsi="Times New Roman" w:eastAsia="Times New Roman" w:cs="Times New Roman"/>
            <w:color w:val="0563C1"/>
            <w:sz w:val="24"/>
            <w:u w:val="single"/>
          </w:rPr>
          <w:t>System Identification</w:t>
        </w:r>
      </w:hyperlink>
    </w:p>
    <w:p>
      <w:pPr>
        <w:pStyle w:val="ListNumber"/>
        <w:spacing w:before="0" w:after="60" w:line="276" w:lineRule="auto"/>
      </w:pPr>
      <w:hyperlink r:id="rId12">
        <w:r>
          <w:rPr>
            <w:rFonts w:ascii="Times New Roman" w:hAnsi="Times New Roman" w:eastAsia="Times New Roman" w:cs="Times New Roman"/>
            <w:color w:val="0563C1"/>
            <w:sz w:val="24"/>
            <w:u w:val="single"/>
          </w:rPr>
          <w:t>Problem Formulation</w:t>
        </w:r>
      </w:hyperlink>
    </w:p>
    <w:p>
      <w:pPr>
        <w:pStyle w:val="ListNumber"/>
        <w:spacing w:before="0" w:after="60" w:line="276" w:lineRule="auto"/>
      </w:pPr>
      <w:hyperlink r:id="rId13">
        <w:r>
          <w:rPr>
            <w:rFonts w:ascii="Times New Roman" w:hAnsi="Times New Roman" w:eastAsia="Times New Roman" w:cs="Times New Roman"/>
            <w:color w:val="0563C1"/>
            <w:sz w:val="24"/>
            <w:u w:val="single"/>
          </w:rPr>
          <w:t>Generation of System Alternatives</w:t>
        </w:r>
      </w:hyperlink>
    </w:p>
    <w:p>
      <w:pPr>
        <w:pStyle w:val="ListNumber"/>
        <w:spacing w:before="0" w:after="60" w:line="276" w:lineRule="auto"/>
      </w:pPr>
      <w:hyperlink r:id="rId14">
        <w:r>
          <w:rPr>
            <w:rFonts w:ascii="Times New Roman" w:hAnsi="Times New Roman" w:eastAsia="Times New Roman" w:cs="Times New Roman"/>
            <w:color w:val="0563C1"/>
            <w:sz w:val="24"/>
            <w:u w:val="single"/>
          </w:rPr>
          <w:t>Determination of Viability</w:t>
        </w:r>
      </w:hyperlink>
    </w:p>
    <w:p>
      <w:pPr>
        <w:pStyle w:val="ListNumber"/>
        <w:spacing w:before="0" w:after="60" w:line="276" w:lineRule="auto"/>
      </w:pPr>
      <w:r>
        <w:rPr>
          <w:rFonts w:ascii="Times New Roman" w:hAnsi="Times New Roman" w:eastAsia="Times New Roman" w:cs="Times New Roman"/>
          <w:sz w:val="24"/>
        </w:rPr>
        <w:t xml:space="preserve">6.1 </w:t>
      </w:r>
      <w:hyperlink r:id="rId15">
        <w:r>
          <w:rPr>
            <w:rFonts w:ascii="Times New Roman" w:hAnsi="Times New Roman" w:eastAsia="Times New Roman" w:cs="Times New Roman"/>
            <w:color w:val="0563C1"/>
            <w:sz w:val="24"/>
            <w:u w:val="single"/>
          </w:rPr>
          <w:t>Technical Feasibility</w:t>
        </w:r>
      </w:hyperlink>
    </w:p>
    <w:p>
      <w:pPr>
        <w:pStyle w:val="ListNumber"/>
        <w:spacing w:before="0" w:after="60" w:line="276" w:lineRule="auto"/>
      </w:pPr>
      <w:r>
        <w:rPr>
          <w:rFonts w:ascii="Times New Roman" w:hAnsi="Times New Roman" w:eastAsia="Times New Roman" w:cs="Times New Roman"/>
          <w:sz w:val="24"/>
        </w:rPr>
        <w:t xml:space="preserve">6.2 </w:t>
      </w:r>
      <w:hyperlink r:id="rId16">
        <w:r>
          <w:rPr>
            <w:rFonts w:ascii="Times New Roman" w:hAnsi="Times New Roman" w:eastAsia="Times New Roman" w:cs="Times New Roman"/>
            <w:color w:val="0563C1"/>
            <w:sz w:val="24"/>
            <w:u w:val="single"/>
          </w:rPr>
          <w:t>Updated Cost Analysis - 2026 Adjustment</w:t>
        </w:r>
      </w:hyperlink>
    </w:p>
    <w:p>
      <w:pPr>
        <w:pStyle w:val="ListNumber"/>
        <w:spacing w:before="0" w:after="60" w:line="276" w:lineRule="auto"/>
      </w:pPr>
      <w:r>
        <w:rPr>
          <w:rFonts w:ascii="Times New Roman" w:hAnsi="Times New Roman" w:eastAsia="Times New Roman" w:cs="Times New Roman"/>
          <w:sz w:val="24"/>
        </w:rPr>
        <w:t xml:space="preserve">6.3 </w:t>
      </w:r>
      <w:hyperlink r:id="rId17">
        <w:r>
          <w:rPr>
            <w:rFonts w:ascii="Times New Roman" w:hAnsi="Times New Roman" w:eastAsia="Times New Roman" w:cs="Times New Roman"/>
            <w:color w:val="0563C1"/>
            <w:sz w:val="24"/>
            <w:u w:val="single"/>
          </w:rPr>
          <w:t>Revised Economic Feasibility</w:t>
        </w:r>
      </w:hyperlink>
    </w:p>
    <w:p>
      <w:pPr>
        <w:pStyle w:val="ListNumber"/>
        <w:spacing w:before="0" w:after="60" w:line="276" w:lineRule="auto"/>
      </w:pPr>
      <w:r>
        <w:rPr>
          <w:rFonts w:ascii="Times New Roman" w:hAnsi="Times New Roman" w:eastAsia="Times New Roman" w:cs="Times New Roman"/>
          <w:sz w:val="24"/>
        </w:rPr>
        <w:t xml:space="preserve">6.4 </w:t>
      </w:r>
      <w:hyperlink r:id="rId18">
        <w:r>
          <w:rPr>
            <w:rFonts w:ascii="Times New Roman" w:hAnsi="Times New Roman" w:eastAsia="Times New Roman" w:cs="Times New Roman"/>
            <w:color w:val="0563C1"/>
            <w:sz w:val="24"/>
            <w:u w:val="single"/>
          </w:rPr>
          <w:t>Social Feasibility</w:t>
        </w:r>
      </w:hyperlink>
    </w:p>
    <w:p>
      <w:pPr>
        <w:pStyle w:val="ListNumber"/>
        <w:spacing w:before="0" w:after="60" w:line="276" w:lineRule="auto"/>
      </w:pPr>
      <w:r>
        <w:rPr>
          <w:rFonts w:ascii="Times New Roman" w:hAnsi="Times New Roman" w:eastAsia="Times New Roman" w:cs="Times New Roman"/>
          <w:sz w:val="24"/>
        </w:rPr>
        <w:t xml:space="preserve">6.5 </w:t>
      </w:r>
      <w:hyperlink r:id="rId19">
        <w:r>
          <w:rPr>
            <w:rFonts w:ascii="Times New Roman" w:hAnsi="Times New Roman" w:eastAsia="Times New Roman" w:cs="Times New Roman"/>
            <w:color w:val="0563C1"/>
            <w:sz w:val="24"/>
            <w:u w:val="single"/>
          </w:rPr>
          <w:t>Environmental and Cultural Feasibility</w:t>
        </w:r>
      </w:hyperlink>
    </w:p>
    <w:p>
      <w:pPr>
        <w:pStyle w:val="ListNumber"/>
        <w:spacing w:before="0" w:after="60" w:line="276" w:lineRule="auto"/>
      </w:pPr>
      <w:r>
        <w:rPr>
          <w:rFonts w:ascii="Times New Roman" w:hAnsi="Times New Roman" w:eastAsia="Times New Roman" w:cs="Times New Roman"/>
          <w:sz w:val="24"/>
        </w:rPr>
        <w:t xml:space="preserve">6.6 </w:t>
      </w:r>
      <w:hyperlink r:id="rId20">
        <w:r>
          <w:rPr>
            <w:rFonts w:ascii="Times New Roman" w:hAnsi="Times New Roman" w:eastAsia="Times New Roman" w:cs="Times New Roman"/>
            <w:color w:val="0563C1"/>
            <w:sz w:val="24"/>
            <w:u w:val="single"/>
          </w:rPr>
          <w:t>Political and Legal Feasibility</w:t>
        </w:r>
      </w:hyperlink>
    </w:p>
    <w:p>
      <w:pPr>
        <w:pStyle w:val="ListNumber"/>
        <w:spacing w:before="0" w:after="60" w:line="276" w:lineRule="auto"/>
      </w:pPr>
      <w:r>
        <w:rPr>
          <w:rFonts w:ascii="Times New Roman" w:hAnsi="Times New Roman" w:eastAsia="Times New Roman" w:cs="Times New Roman"/>
          <w:sz w:val="24"/>
        </w:rPr>
        <w:t xml:space="preserve">6.7 </w:t>
      </w:r>
      <w:hyperlink r:id="rId21">
        <w:r>
          <w:rPr>
            <w:rFonts w:ascii="Times New Roman" w:hAnsi="Times New Roman" w:eastAsia="Times New Roman" w:cs="Times New Roman"/>
            <w:color w:val="0563C1"/>
            <w:sz w:val="24"/>
            <w:u w:val="single"/>
          </w:rPr>
          <w:t>Operational Feasibility</w:t>
        </w:r>
      </w:hyperlink>
    </w:p>
    <w:p>
      <w:pPr>
        <w:pStyle w:val="ListNumber"/>
        <w:spacing w:before="0" w:after="60" w:line="276" w:lineRule="auto"/>
      </w:pPr>
      <w:r>
        <w:rPr>
          <w:rFonts w:ascii="Times New Roman" w:hAnsi="Times New Roman" w:eastAsia="Times New Roman" w:cs="Times New Roman"/>
          <w:sz w:val="24"/>
        </w:rPr>
        <w:t xml:space="preserve">6.8 </w:t>
      </w:r>
      <w:hyperlink r:id="rId22">
        <w:r>
          <w:rPr>
            <w:rFonts w:ascii="Times New Roman" w:hAnsi="Times New Roman" w:eastAsia="Times New Roman" w:cs="Times New Roman"/>
            <w:color w:val="0563C1"/>
            <w:sz w:val="24"/>
            <w:u w:val="single"/>
          </w:rPr>
          <w:t>Schedule Feasibility</w:t>
        </w:r>
      </w:hyperlink>
    </w:p>
    <w:p>
      <w:pPr>
        <w:pStyle w:val="ListNumber"/>
        <w:spacing w:before="0" w:after="60" w:line="276" w:lineRule="auto"/>
      </w:pPr>
      <w:hyperlink r:id="rId23">
        <w:r>
          <w:rPr>
            <w:rFonts w:ascii="Times New Roman" w:hAnsi="Times New Roman" w:eastAsia="Times New Roman" w:cs="Times New Roman"/>
            <w:color w:val="0563C1"/>
            <w:sz w:val="24"/>
            <w:u w:val="single"/>
          </w:rPr>
          <w:t>Conclusion and Recommendation</w:t>
        </w:r>
      </w:hyperlink>
    </w:p>
    <w:p>
      <w:pPr>
        <w:pStyle w:val="ListNumber"/>
        <w:spacing w:before="0" w:after="60" w:line="276" w:lineRule="auto"/>
      </w:pPr>
      <w:hyperlink r:id="rId24">
        <w:r>
          <w:rPr>
            <w:rFonts w:ascii="Times New Roman" w:hAnsi="Times New Roman" w:eastAsia="Times New Roman" w:cs="Times New Roman"/>
            <w:color w:val="0563C1"/>
            <w:sz w:val="24"/>
            <w:u w:val="single"/>
          </w:rPr>
          <w:t>References</w:t>
        </w:r>
      </w:hyperlink>
    </w:p>
    <w:p>
      <w:r>
        <w:br w:type="page"/>
      </w:r>
    </w:p>
    <w:p>
      <w:pPr>
        <w:pStyle w:val="Heading2"/>
        <w:jc w:val="left"/>
      </w:pPr>
      <w:r>
        <w:rPr>
          <w:rFonts w:ascii="Times New Roman" w:hAnsi="Times New Roman" w:eastAsia="Times New Roman" w:cs="Times New Roman"/>
          <w:b/>
          <w:sz w:val="28"/>
        </w:rPr>
        <w:t>1. Introduction</w:t>
      </w:r>
    </w:p>
    <w:p>
      <w:pPr>
        <w:spacing w:before="0" w:after="120" w:line="276" w:lineRule="auto"/>
      </w:pPr>
      <w:r>
        <w:rPr>
          <w:rFonts w:ascii="Times New Roman" w:hAnsi="Times New Roman" w:eastAsia="Times New Roman" w:cs="Times New Roman"/>
          <w:sz w:val="24"/>
        </w:rPr>
        <w:t>This feasibility study assesses the viability of establishing the Crossroads Community STEM Centre, a proposed open-access technical learning facility in Langford, British Columbia. The study evaluates the project across technical, economic, social, environmental, political, and operational dimensions to determine whether the project should proceed to the funding acquisition and construction phases. All data presented herein is drawn from the Crossroads Community STEM Centre Project Proposal (March 2026), an independent 2026 local market cost analysis, and a community needs assessment survey conducted in February 2026.</w:t>
      </w:r>
    </w:p>
    <w:p>
      <w:r>
        <w:br w:type="page"/>
      </w:r>
    </w:p>
    <w:p>
      <w:pPr>
        <w:pStyle w:val="Heading2"/>
        <w:jc w:val="left"/>
      </w:pPr>
      <w:r>
        <w:rPr>
          <w:rFonts w:ascii="Times New Roman" w:hAnsi="Times New Roman" w:eastAsia="Times New Roman" w:cs="Times New Roman"/>
          <w:b/>
          <w:sz w:val="28"/>
        </w:rPr>
        <w:t>2. Needs Analysis</w:t>
      </w:r>
    </w:p>
    <w:p>
      <w:pPr>
        <w:spacing w:before="0" w:after="120" w:line="276" w:lineRule="auto"/>
      </w:pPr>
      <w:r>
        <w:rPr>
          <w:rFonts w:ascii="Times New Roman" w:hAnsi="Times New Roman" w:eastAsia="Times New Roman" w:cs="Times New Roman"/>
          <w:sz w:val="24"/>
        </w:rPr>
        <w:t>Langford is Vancouver Island’s fastest-growing municipality, with a 2024 population of 58,320 and a 5.0 percent year-over-year growth rate. Despite this expansion, the West Shore region lacks a centralized, open-access facility where residents can develop practical technical skills outside of formal post-secondary enrollment. Access to advanced tools and lab environments in the Greater Victoria area is concentrated within institutions that impose tuition, enrollment, and scheduling barriers.</w:t>
      </w:r>
    </w:p>
    <w:p>
      <w:pPr>
        <w:spacing w:before="0" w:after="120" w:line="276" w:lineRule="auto"/>
      </w:pPr>
      <w:r>
        <w:rPr>
          <w:rFonts w:ascii="Times New Roman" w:hAnsi="Times New Roman" w:eastAsia="Times New Roman" w:cs="Times New Roman"/>
          <w:sz w:val="24"/>
        </w:rPr>
        <w:t>A review of existing alternatives in the region confirms this gap. The University of Victoria and Camosun College maintain well-equipped STEM labs, but access is restricted to enrolled students during designated institutional hours. The Victoria Makerspace operates on an application-based membership model with limited public drop-in hours and a club-oriented atmosphere focused on a narrow range of hobbyist disciplines.</w:t>
      </w:r>
    </w:p>
    <w:p>
      <w:pPr>
        <w:spacing w:before="0" w:after="120" w:line="276" w:lineRule="auto"/>
      </w:pPr>
      <w:r>
        <w:rPr>
          <w:rFonts w:ascii="Times New Roman" w:hAnsi="Times New Roman" w:eastAsia="Times New Roman" w:cs="Times New Roman"/>
          <w:sz w:val="24"/>
        </w:rPr>
        <w:t>A community needs assessment survey of 54 respondents in the Langford and Greater Victoria area yielded the following results:</w:t>
      </w:r>
    </w:p>
    <w:p>
      <w:pPr>
        <w:pStyle w:val="ListBullet"/>
        <w:spacing w:before="0" w:after="60" w:line="276" w:lineRule="auto"/>
      </w:pPr>
      <w:r>
        <w:rPr>
          <w:rFonts w:ascii="Times New Roman" w:hAnsi="Times New Roman" w:eastAsia="Times New Roman" w:cs="Times New Roman"/>
          <w:sz w:val="24"/>
        </w:rPr>
        <w:t>78% identified “lack of affordable access to tools and lab space” as their primary barrier to developing technical skills.</w:t>
      </w:r>
    </w:p>
    <w:p>
      <w:pPr>
        <w:pStyle w:val="ListBullet"/>
        <w:spacing w:before="0" w:after="60" w:line="276" w:lineRule="auto"/>
      </w:pPr>
      <w:r>
        <w:rPr>
          <w:rFonts w:ascii="Times New Roman" w:hAnsi="Times New Roman" w:eastAsia="Times New Roman" w:cs="Times New Roman"/>
          <w:sz w:val="24"/>
        </w:rPr>
        <w:t>65% indicated they would “definitely” or “probably” use a drop-in community STEM facility in Langford.</w:t>
      </w:r>
    </w:p>
    <w:p>
      <w:pPr>
        <w:pStyle w:val="ListBullet"/>
        <w:spacing w:before="0" w:after="60" w:line="276" w:lineRule="auto"/>
      </w:pPr>
      <w:r>
        <w:rPr>
          <w:rFonts w:ascii="Times New Roman" w:hAnsi="Times New Roman" w:eastAsia="Times New Roman" w:cs="Times New Roman"/>
          <w:sz w:val="24"/>
        </w:rPr>
        <w:t>61% preferred a monthly membership fee in the $25 to $50 range, though market realities may necessitate adjustments.</w:t>
      </w:r>
    </w:p>
    <w:p>
      <w:pPr>
        <w:spacing w:before="0" w:after="120" w:line="276" w:lineRule="auto"/>
      </w:pPr>
      <w:r>
        <w:rPr>
          <w:rFonts w:ascii="Times New Roman" w:hAnsi="Times New Roman" w:eastAsia="Times New Roman" w:cs="Times New Roman"/>
          <w:sz w:val="24"/>
        </w:rPr>
        <w:t>The British Columbia Ministry of Education’s Applied Design, Skills, and Technologies (ADST) curriculum emphasizes experiential learning and iterative design across K-12 education. Crossroads directly extends the ADST model into the community setting, bridging the gap between secondary education and professional practice.</w:t>
      </w:r>
    </w:p>
    <w:p>
      <w:r>
        <w:br w:type="page"/>
      </w:r>
    </w:p>
    <w:p>
      <w:pPr>
        <w:pStyle w:val="Heading2"/>
        <w:jc w:val="left"/>
      </w:pPr>
      <w:r>
        <w:rPr>
          <w:rFonts w:ascii="Times New Roman" w:hAnsi="Times New Roman" w:eastAsia="Times New Roman" w:cs="Times New Roman"/>
          <w:b/>
          <w:sz w:val="28"/>
        </w:rPr>
        <w:t>3. System Identification</w:t>
      </w:r>
    </w:p>
    <w:p>
      <w:pPr>
        <w:spacing w:before="0" w:after="120" w:line="276" w:lineRule="auto"/>
      </w:pPr>
      <w:r>
        <w:rPr>
          <w:rFonts w:ascii="Times New Roman" w:hAnsi="Times New Roman" w:eastAsia="Times New Roman" w:cs="Times New Roman"/>
          <w:sz w:val="24"/>
        </w:rPr>
        <w:t>The proposed system is a nonprofit community STEM learning facility located in Langford, BC, operating across four core disciplines: Robotics and Electronics, Digital Fabrication, Software Development, and Creative and Applied Design.</w:t>
      </w:r>
    </w:p>
    <w:p>
      <w:pPr>
        <w:spacing w:before="0" w:after="120" w:line="276" w:lineRule="auto"/>
      </w:pPr>
      <w:r>
        <w:rPr>
          <w:rFonts w:ascii="Times New Roman" w:hAnsi="Times New Roman" w:eastAsia="Times New Roman" w:cs="Times New Roman"/>
          <w:b/>
          <w:sz w:val="24"/>
        </w:rPr>
        <w:t>Exogenous Variables:</w:t>
      </w:r>
    </w:p>
    <w:p>
      <w:pPr>
        <w:pStyle w:val="ListBullet"/>
        <w:spacing w:before="0" w:after="60" w:line="276" w:lineRule="auto"/>
      </w:pPr>
      <w:r>
        <w:rPr>
          <w:rFonts w:ascii="Times New Roman" w:hAnsi="Times New Roman" w:eastAsia="Times New Roman" w:cs="Times New Roman"/>
          <w:sz w:val="24"/>
        </w:rPr>
        <w:t>Municipal population growth rate and demographic shifts in the West Shore.</w:t>
      </w:r>
    </w:p>
    <w:p>
      <w:pPr>
        <w:pStyle w:val="ListBullet"/>
        <w:spacing w:before="0" w:after="60" w:line="276" w:lineRule="auto"/>
      </w:pPr>
      <w:r>
        <w:rPr>
          <w:rFonts w:ascii="Times New Roman" w:hAnsi="Times New Roman" w:eastAsia="Times New Roman" w:cs="Times New Roman"/>
          <w:sz w:val="24"/>
        </w:rPr>
        <w:t>Langford commercial real estate market lease rates (Net + NNN).</w:t>
      </w:r>
    </w:p>
    <w:p>
      <w:pPr>
        <w:pStyle w:val="ListBullet"/>
        <w:spacing w:before="0" w:after="60" w:line="276" w:lineRule="auto"/>
      </w:pPr>
      <w:r>
        <w:rPr>
          <w:rFonts w:ascii="Times New Roman" w:hAnsi="Times New Roman" w:eastAsia="Times New Roman" w:cs="Times New Roman"/>
          <w:sz w:val="24"/>
        </w:rPr>
        <w:t>Provincial and federal grant funding climate for educational nonprofits.</w:t>
      </w:r>
    </w:p>
    <w:p>
      <w:pPr>
        <w:pStyle w:val="ListBullet"/>
        <w:spacing w:before="0" w:after="60" w:line="276" w:lineRule="auto"/>
      </w:pPr>
      <w:r>
        <w:rPr>
          <w:rFonts w:ascii="Times New Roman" w:hAnsi="Times New Roman" w:eastAsia="Times New Roman" w:cs="Times New Roman"/>
          <w:sz w:val="24"/>
        </w:rPr>
        <w:t>WorkSafeBC regulatory requirements and premium rates for workshop environments.</w:t>
      </w:r>
    </w:p>
    <w:p>
      <w:pPr>
        <w:pStyle w:val="ListBullet"/>
        <w:spacing w:before="0" w:after="60" w:line="276" w:lineRule="auto"/>
      </w:pPr>
      <w:r>
        <w:rPr>
          <w:rFonts w:ascii="Times New Roman" w:hAnsi="Times New Roman" w:eastAsia="Times New Roman" w:cs="Times New Roman"/>
          <w:sz w:val="24"/>
        </w:rPr>
        <w:t>BC Societies Act requirements for nonprofit incorporation.</w:t>
      </w:r>
    </w:p>
    <w:p>
      <w:pPr>
        <w:pStyle w:val="ListBullet"/>
        <w:spacing w:before="0" w:after="60" w:line="276" w:lineRule="auto"/>
      </w:pPr>
      <w:r>
        <w:rPr>
          <w:rFonts w:ascii="Times New Roman" w:hAnsi="Times New Roman" w:eastAsia="Times New Roman" w:cs="Times New Roman"/>
          <w:sz w:val="24"/>
        </w:rPr>
        <w:t>Inflationary pressures on specialized equipment and regional wage benchmarks.</w:t>
      </w:r>
    </w:p>
    <w:p>
      <w:pPr>
        <w:spacing w:before="0" w:after="120" w:line="276" w:lineRule="auto"/>
      </w:pPr>
      <w:r>
        <w:rPr>
          <w:rFonts w:ascii="Times New Roman" w:hAnsi="Times New Roman" w:eastAsia="Times New Roman" w:cs="Times New Roman"/>
          <w:b/>
          <w:sz w:val="24"/>
        </w:rPr>
        <w:t>Overt Variables:</w:t>
      </w:r>
    </w:p>
    <w:p>
      <w:pPr>
        <w:pStyle w:val="ListBullet"/>
        <w:spacing w:before="0" w:after="60" w:line="276" w:lineRule="auto"/>
      </w:pPr>
      <w:r>
        <w:rPr>
          <w:rFonts w:ascii="Times New Roman" w:hAnsi="Times New Roman" w:eastAsia="Times New Roman" w:cs="Times New Roman"/>
          <w:sz w:val="24"/>
        </w:rPr>
        <w:t>Staffing model and compensation structure.</w:t>
      </w:r>
    </w:p>
    <w:p>
      <w:pPr>
        <w:pStyle w:val="ListBullet"/>
        <w:spacing w:before="0" w:after="60" w:line="276" w:lineRule="auto"/>
      </w:pPr>
      <w:r>
        <w:rPr>
          <w:rFonts w:ascii="Times New Roman" w:hAnsi="Times New Roman" w:eastAsia="Times New Roman" w:cs="Times New Roman"/>
          <w:sz w:val="24"/>
        </w:rPr>
        <w:t>Equipment selection, lifecycle management, and procurement strategy.</w:t>
      </w:r>
    </w:p>
    <w:p>
      <w:pPr>
        <w:pStyle w:val="ListBullet"/>
        <w:spacing w:before="0" w:after="60" w:line="276" w:lineRule="auto"/>
      </w:pPr>
      <w:r>
        <w:rPr>
          <w:rFonts w:ascii="Times New Roman" w:hAnsi="Times New Roman" w:eastAsia="Times New Roman" w:cs="Times New Roman"/>
          <w:sz w:val="24"/>
        </w:rPr>
        <w:t>Programming schedule spanning 73 total access hours.</w:t>
      </w:r>
    </w:p>
    <w:p>
      <w:pPr>
        <w:pStyle w:val="ListBullet"/>
        <w:spacing w:before="0" w:after="60" w:line="276" w:lineRule="auto"/>
      </w:pPr>
      <w:r>
        <w:rPr>
          <w:rFonts w:ascii="Times New Roman" w:hAnsi="Times New Roman" w:eastAsia="Times New Roman" w:cs="Times New Roman"/>
          <w:sz w:val="24"/>
        </w:rPr>
        <w:t>Fee structure encompassing sliding-scale memberships, drop-in passes, and workshop fees.</w:t>
      </w:r>
    </w:p>
    <w:p>
      <w:pPr>
        <w:pStyle w:val="ListBullet"/>
        <w:spacing w:before="0" w:after="60" w:line="276" w:lineRule="auto"/>
      </w:pPr>
      <w:r>
        <w:rPr>
          <w:rFonts w:ascii="Times New Roman" w:hAnsi="Times New Roman" w:eastAsia="Times New Roman" w:cs="Times New Roman"/>
          <w:sz w:val="24"/>
        </w:rPr>
        <w:t>Revenue diversification strategy capping single-source dependencies at 30%.</w:t>
      </w:r>
    </w:p>
    <w:p>
      <w:r>
        <w:br w:type="page"/>
      </w:r>
    </w:p>
    <w:p>
      <w:pPr>
        <w:pStyle w:val="Heading2"/>
        <w:jc w:val="left"/>
      </w:pPr>
      <w:r>
        <w:rPr>
          <w:rFonts w:ascii="Times New Roman" w:hAnsi="Times New Roman" w:eastAsia="Times New Roman" w:cs="Times New Roman"/>
          <w:b/>
          <w:sz w:val="28"/>
        </w:rPr>
        <w:t>4. Problem Formulation</w:t>
      </w:r>
    </w:p>
    <w:p>
      <w:pPr>
        <w:spacing w:before="0" w:after="120" w:line="276" w:lineRule="auto"/>
      </w:pPr>
      <w:r>
        <w:rPr>
          <w:rFonts w:ascii="Times New Roman" w:hAnsi="Times New Roman" w:eastAsia="Times New Roman" w:cs="Times New Roman"/>
          <w:sz w:val="24"/>
        </w:rPr>
        <w:t>Langford, BC, despite its rapid demographic and economic expansion, lacks an open-access community facility for residents to develop practical STEM skills using professional-grade equipment without post-secondary enrollment. Existing alternatives either restrict access to enrolled students or impose application-based membership barriers unsuited to beginners. Consequently, career changers, youth exploring STEM interests, and local professionals lack affordable, structured access to hands-on technical education.</w:t>
      </w:r>
    </w:p>
    <w:p>
      <w:r>
        <w:br w:type="page"/>
      </w:r>
    </w:p>
    <w:p>
      <w:pPr>
        <w:pStyle w:val="Heading2"/>
        <w:jc w:val="left"/>
      </w:pPr>
      <w:r>
        <w:rPr>
          <w:rFonts w:ascii="Times New Roman" w:hAnsi="Times New Roman" w:eastAsia="Times New Roman" w:cs="Times New Roman"/>
          <w:b/>
          <w:sz w:val="28"/>
        </w:rPr>
        <w:t>5. Generation of System Alternatives</w:t>
      </w:r>
    </w:p>
    <w:p>
      <w:pPr>
        <w:spacing w:before="0" w:after="120" w:line="276" w:lineRule="auto"/>
      </w:pPr>
      <w:r>
        <w:rPr>
          <w:rFonts w:ascii="Times New Roman" w:hAnsi="Times New Roman" w:eastAsia="Times New Roman" w:cs="Times New Roman"/>
          <w:sz w:val="24"/>
        </w:rPr>
        <w:t>Three system alternatives have been developed to address the problem formulation, representing different risk and investment profiles.</w:t>
      </w:r>
    </w:p>
    <w:p>
      <w:pPr>
        <w:spacing w:before="0" w:after="120" w:line="276" w:lineRule="auto"/>
      </w:pPr>
      <w:r>
        <w:rPr>
          <w:rFonts w:ascii="Times New Roman" w:hAnsi="Times New Roman" w:eastAsia="Times New Roman" w:cs="Times New Roman"/>
          <w:b/>
          <w:sz w:val="24"/>
        </w:rPr>
        <w:t>Alternative A - Lean Model (4,000 sqft):</w:t>
      </w:r>
      <w:r>
        <w:rPr>
          <w:rFonts w:ascii="Times New Roman" w:hAnsi="Times New Roman" w:eastAsia="Times New Roman" w:cs="Times New Roman"/>
          <w:sz w:val="24"/>
        </w:rPr>
        <w:t xml:space="preserve"> Focuses on core equipment clusters in 3D printing, electronics, and computing. Requires two full-time safety instructors for 63 staffed hours per week. This model prioritizes manageable capital risk and operational agility.</w:t>
      </w:r>
    </w:p>
    <w:p>
      <w:pPr>
        <w:spacing w:before="0" w:after="120" w:line="276" w:lineRule="auto"/>
      </w:pPr>
      <w:r>
        <w:rPr>
          <w:rFonts w:ascii="Times New Roman" w:hAnsi="Times New Roman" w:eastAsia="Times New Roman" w:cs="Times New Roman"/>
          <w:b/>
          <w:sz w:val="24"/>
        </w:rPr>
        <w:t>Alternative B - Expanded Model (6,000 sqft):</w:t>
      </w:r>
      <w:r>
        <w:rPr>
          <w:rFonts w:ascii="Times New Roman" w:hAnsi="Times New Roman" w:eastAsia="Times New Roman" w:cs="Times New Roman"/>
          <w:sz w:val="24"/>
        </w:rPr>
        <w:t xml:space="preserve"> Includes a full equipment complement, adding a larger CNC router, expanded fabrication lab, and dedicated enterprise-grade digital infrastructure. Maximizes service capacity but requires substantially higher initial capital and staffing overhead.</w:t>
      </w:r>
    </w:p>
    <w:p>
      <w:pPr>
        <w:spacing w:before="0" w:after="120" w:line="276" w:lineRule="auto"/>
      </w:pPr>
      <w:r>
        <w:rPr>
          <w:rFonts w:ascii="Times New Roman" w:hAnsi="Times New Roman" w:eastAsia="Times New Roman" w:cs="Times New Roman"/>
          <w:b/>
          <w:sz w:val="24"/>
        </w:rPr>
        <w:t>Alternative C - Pop-Up Fallback Model:</w:t>
      </w:r>
      <w:r>
        <w:rPr>
          <w:rFonts w:ascii="Times New Roman" w:hAnsi="Times New Roman" w:eastAsia="Times New Roman" w:cs="Times New Roman"/>
          <w:sz w:val="24"/>
        </w:rPr>
        <w:t xml:space="preserve"> A mobile workshop model renting existing community center space for targeted, schedule-bound programming. This functions purely as a risk-mitigation fallback if permanent facility acquisition is severely delayed, as it cannot deliver the continuous equipment access fundamental to the project’s core mission.</w:t>
      </w:r>
    </w:p>
    <w:p>
      <w:pPr>
        <w:spacing w:before="0" w:after="120" w:line="276" w:lineRule="auto"/>
      </w:pPr>
      <w:r>
        <w:rPr>
          <w:rFonts w:ascii="Times New Roman" w:hAnsi="Times New Roman" w:eastAsia="Times New Roman" w:cs="Times New Roman"/>
          <w:b/>
          <w:sz w:val="24"/>
        </w:rPr>
        <w:t>Comparison:</w:t>
      </w:r>
      <w:r>
        <w:rPr>
          <w:rFonts w:ascii="Times New Roman" w:hAnsi="Times New Roman" w:eastAsia="Times New Roman" w:cs="Times New Roman"/>
          <w:sz w:val="24"/>
        </w:rPr>
        <w:t xml:space="preserve"> Alternative A is recommended for initial launch. It carries a lower financial risk profile and can sustainably scale to Alternative B as earned revenue stabilizes.</w:t>
      </w:r>
    </w:p>
    <w:p>
      <w:r>
        <w:br w:type="page"/>
      </w:r>
    </w:p>
    <w:p>
      <w:pPr>
        <w:pStyle w:val="Heading2"/>
        <w:jc w:val="left"/>
      </w:pPr>
      <w:r>
        <w:rPr>
          <w:rFonts w:ascii="Times New Roman" w:hAnsi="Times New Roman" w:eastAsia="Times New Roman" w:cs="Times New Roman"/>
          <w:b/>
          <w:sz w:val="28"/>
        </w:rPr>
        <w:t>6. Determination of Viability</w:t>
      </w:r>
    </w:p>
    <w:p>
      <w:pPr>
        <w:pStyle w:val="Heading3"/>
        <w:jc w:val="left"/>
      </w:pPr>
      <w:r>
        <w:rPr>
          <w:rFonts w:ascii="Times New Roman" w:hAnsi="Times New Roman" w:eastAsia="Times New Roman" w:cs="Times New Roman"/>
          <w:b/>
          <w:sz w:val="24"/>
        </w:rPr>
        <w:t>6.1 Technical Feasibility</w:t>
      </w:r>
    </w:p>
    <w:p>
      <w:pPr>
        <w:spacing w:before="0" w:after="120" w:line="276" w:lineRule="auto"/>
      </w:pPr>
      <w:r>
        <w:rPr>
          <w:rFonts w:ascii="Times New Roman" w:hAnsi="Times New Roman" w:eastAsia="Times New Roman" w:cs="Times New Roman"/>
          <w:sz w:val="24"/>
        </w:rPr>
        <w:t xml:space="preserve">The required equipment is commercially available and well-documented. Specific acquisitions include standard FDM 3D printers, a 40W CO2 laser cutter, benchtop CNC routers, and standard electronics testing hardware. The facility requires 200-amp electrical service, industrial ventilation for fabrication areas, and compliance with the Accessible Canada Act. These requirements are standard for light industrial spaces available in Langford’s McCallum Road and West Shore Parkway zones. WorkSafeBC guidelines are satisfied through a mandatory safety orientation and dual-supervisor coverage during high-risk equipment operation. </w:t>
      </w:r>
      <w:r>
        <w:rPr>
          <w:rFonts w:ascii="Times New Roman" w:hAnsi="Times New Roman" w:eastAsia="Times New Roman" w:cs="Times New Roman"/>
          <w:b/>
          <w:sz w:val="24"/>
        </w:rPr>
        <w:t>Technical feasibility is confirmed.</w:t>
      </w:r>
    </w:p>
    <w:p>
      <w:pPr>
        <w:pStyle w:val="Heading3"/>
        <w:jc w:val="left"/>
      </w:pPr>
      <w:r>
        <w:rPr>
          <w:rFonts w:ascii="Times New Roman" w:hAnsi="Times New Roman" w:eastAsia="Times New Roman" w:cs="Times New Roman"/>
          <w:b/>
          <w:sz w:val="24"/>
        </w:rPr>
        <w:t>6.2 Updated Cost Analysis - 2026 Adjustment</w:t>
      </w:r>
    </w:p>
    <w:p>
      <w:pPr>
        <w:spacing w:before="0" w:after="120" w:line="276" w:lineRule="auto"/>
      </w:pPr>
      <w:r>
        <w:rPr>
          <w:rFonts w:ascii="Times New Roman" w:hAnsi="Times New Roman" w:eastAsia="Times New Roman" w:cs="Times New Roman"/>
          <w:sz w:val="24"/>
        </w:rPr>
        <w:t>An independent analysis of Langford, British Columbia’s 2026 economic conditions necessitates an adjustment of the original March 2026 startup estimates. Inflationary pressures in the West Shore commercial real estate market and provincial wage adjustments require a recalibration of initial assumptions.</w:t>
      </w:r>
    </w:p>
    <w:p>
      <w:pPr>
        <w:spacing w:before="0" w:after="120" w:line="276" w:lineRule="auto"/>
      </w:pPr>
      <w:r>
        <w:rPr>
          <w:rFonts w:ascii="Times New Roman" w:hAnsi="Times New Roman" w:eastAsia="Times New Roman" w:cs="Times New Roman"/>
          <w:b/>
          <w:sz w:val="24"/>
        </w:rPr>
        <w:t>Cost Adjustments and Identifications:</w:t>
      </w:r>
    </w:p>
    <w:p>
      <w:pPr>
        <w:spacing w:before="0" w:after="120" w:line="276" w:lineRule="auto"/>
      </w:pPr>
      <w:r>
        <w:rPr>
          <w:rFonts w:ascii="Times New Roman" w:hAnsi="Times New Roman" w:eastAsia="Times New Roman" w:cs="Times New Roman"/>
          <w:b/>
          <w:sz w:val="24"/>
        </w:rPr>
        <w:t>Underestimated Costs:</w:t>
      </w:r>
      <w:r>
        <w:rPr>
          <w:rFonts w:ascii="Times New Roman" w:hAnsi="Times New Roman" w:eastAsia="Times New Roman" w:cs="Times New Roman"/>
          <w:sz w:val="24"/>
        </w:rPr>
        <w:t xml:space="preserve"> Initial personnel costs ($110,000 for 2 FTEs + Admin) were sub-market for 2026. Retaining qualified, safety-certified technical instructors in BC requires competitive compensation (estimated $65,000/year per Lead Instructor) plus a 15-20% load for mandatory benefits (WorkSafeBC premiums, CPP, EI). Furthermore, commercial lease estimates must be adjusted to $28-$30/sqft gross to accurately reflect recent municipal property tax impacts on Triple Net (NNN) leases.</w:t>
      </w:r>
    </w:p>
    <w:p>
      <w:pPr>
        <w:spacing w:before="0" w:after="120" w:line="276" w:lineRule="auto"/>
      </w:pPr>
      <w:r>
        <w:rPr>
          <w:rFonts w:ascii="Times New Roman" w:hAnsi="Times New Roman" w:eastAsia="Times New Roman" w:cs="Times New Roman"/>
          <w:b/>
          <w:sz w:val="24"/>
        </w:rPr>
        <w:t>Overestimated Costs:</w:t>
      </w:r>
      <w:r>
        <w:rPr>
          <w:rFonts w:ascii="Times New Roman" w:hAnsi="Times New Roman" w:eastAsia="Times New Roman" w:cs="Times New Roman"/>
          <w:sz w:val="24"/>
        </w:rPr>
        <w:t xml:space="preserve"> The initial $10,000-$20,000 marketing budget can be reduced. Organic community demand and strategic partnerships with local school districts will yield high initial conversion rates with a leaner digital marketing spend.</w:t>
      </w:r>
    </w:p>
    <w:p>
      <w:pPr>
        <w:spacing w:before="0" w:after="120" w:line="276" w:lineRule="auto"/>
      </w:pPr>
      <w:r>
        <w:rPr>
          <w:rFonts w:ascii="Times New Roman" w:hAnsi="Times New Roman" w:eastAsia="Times New Roman" w:cs="Times New Roman"/>
          <w:b/>
          <w:sz w:val="24"/>
        </w:rPr>
        <w:t>Missing Cost Categories:</w:t>
      </w:r>
      <w:r>
        <w:rPr>
          <w:rFonts w:ascii="Times New Roman" w:hAnsi="Times New Roman" w:eastAsia="Times New Roman" w:cs="Times New Roman"/>
          <w:sz w:val="24"/>
        </w:rPr>
        <w:t xml:space="preserve"> The original budget omitted an equipment depreciation/sinking fund and explicit accounting for commercial general liability (CGL) insurance riders specific to public-access high-risk machinery.</w:t>
      </w:r>
    </w:p>
    <w:p>
      <w:pPr>
        <w:spacing w:before="0" w:after="120" w:line="276" w:lineRule="auto"/>
      </w:pPr>
      <w:r>
        <w:rPr>
          <w:rFonts w:ascii="Times New Roman" w:hAnsi="Times New Roman" w:eastAsia="Times New Roman" w:cs="Times New Roman"/>
          <w:b/>
          <w:sz w:val="24"/>
        </w:rPr>
        <w:t>Table 1: 2026 Market Cost Adjustment Matrix (Startup &amp; Year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Category</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Initial Estimate (Lean)</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2026 Adjusted Reality (Lean)</w:t>
            </w:r>
          </w:p>
        </w:tc>
        <w:tc>
          <w:tcPr>
            <w:tcW w:type="dxa" w:w="234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Variance</w:t>
            </w:r>
          </w:p>
        </w:tc>
      </w:tr>
      <w:tr>
        <w:tc>
          <w:tcPr>
            <w:tcW w:type="dxa" w:w="2340"/>
          </w:tcPr>
          <w:p>
            <w:r>
              <w:rPr>
                <w:rFonts w:ascii="Times New Roman" w:hAnsi="Times New Roman"/>
                <w:sz w:val="20"/>
              </w:rPr>
            </w:r>
            <w:r>
              <w:rPr>
                <w:rFonts w:ascii="Times New Roman" w:hAnsi="Times New Roman" w:eastAsia="Times New Roman" w:cs="Times New Roman"/>
                <w:sz w:val="20"/>
              </w:rPr>
              <w:t>Facility Operations (Lease + Utilities)</w:t>
            </w:r>
          </w:p>
        </w:tc>
        <w:tc>
          <w:tcPr>
            <w:tcW w:type="dxa" w:w="2340"/>
          </w:tcPr>
          <w:p>
            <w:r>
              <w:rPr>
                <w:rFonts w:ascii="Times New Roman" w:hAnsi="Times New Roman"/>
                <w:sz w:val="20"/>
              </w:rPr>
            </w:r>
            <w:r>
              <w:rPr>
                <w:rFonts w:ascii="Times New Roman" w:hAnsi="Times New Roman" w:eastAsia="Times New Roman" w:cs="Times New Roman"/>
                <w:sz w:val="20"/>
              </w:rPr>
              <w:t>$96,000</w:t>
            </w:r>
          </w:p>
        </w:tc>
        <w:tc>
          <w:tcPr>
            <w:tcW w:type="dxa" w:w="2340"/>
          </w:tcPr>
          <w:p>
            <w:r>
              <w:rPr>
                <w:rFonts w:ascii="Times New Roman" w:hAnsi="Times New Roman"/>
                <w:sz w:val="20"/>
              </w:rPr>
            </w:r>
            <w:r>
              <w:rPr>
                <w:rFonts w:ascii="Times New Roman" w:hAnsi="Times New Roman" w:eastAsia="Times New Roman" w:cs="Times New Roman"/>
                <w:sz w:val="20"/>
              </w:rPr>
              <w:t>$120,000</w:t>
            </w:r>
          </w:p>
        </w:tc>
        <w:tc>
          <w:tcPr>
            <w:tcW w:type="dxa" w:w="2340"/>
          </w:tcPr>
          <w:p>
            <w:r>
              <w:rPr>
                <w:rFonts w:ascii="Times New Roman" w:hAnsi="Times New Roman"/>
                <w:sz w:val="20"/>
              </w:rPr>
            </w:r>
            <w:r>
              <w:rPr>
                <w:rFonts w:ascii="Times New Roman" w:hAnsi="Times New Roman" w:eastAsia="Times New Roman" w:cs="Times New Roman"/>
                <w:sz w:val="20"/>
              </w:rPr>
              <w:t>+25.0%</w:t>
            </w:r>
          </w:p>
        </w:tc>
      </w:tr>
      <w:tr>
        <w:tc>
          <w:tcPr>
            <w:tcW w:type="dxa" w:w="2340"/>
          </w:tcPr>
          <w:p>
            <w:r>
              <w:rPr>
                <w:rFonts w:ascii="Times New Roman" w:hAnsi="Times New Roman"/>
                <w:sz w:val="20"/>
              </w:rPr>
            </w:r>
            <w:r>
              <w:rPr>
                <w:rFonts w:ascii="Times New Roman" w:hAnsi="Times New Roman" w:eastAsia="Times New Roman" w:cs="Times New Roman"/>
                <w:sz w:val="20"/>
              </w:rPr>
              <w:t>Personnel (Wages + Mandatory Benefits)</w:t>
            </w:r>
          </w:p>
        </w:tc>
        <w:tc>
          <w:tcPr>
            <w:tcW w:type="dxa" w:w="2340"/>
          </w:tcPr>
          <w:p>
            <w:r>
              <w:rPr>
                <w:rFonts w:ascii="Times New Roman" w:hAnsi="Times New Roman"/>
                <w:sz w:val="20"/>
              </w:rPr>
            </w:r>
            <w:r>
              <w:rPr>
                <w:rFonts w:ascii="Times New Roman" w:hAnsi="Times New Roman" w:eastAsia="Times New Roman" w:cs="Times New Roman"/>
                <w:sz w:val="20"/>
              </w:rPr>
              <w:t>$110,000</w:t>
            </w:r>
          </w:p>
        </w:tc>
        <w:tc>
          <w:tcPr>
            <w:tcW w:type="dxa" w:w="2340"/>
          </w:tcPr>
          <w:p>
            <w:r>
              <w:rPr>
                <w:rFonts w:ascii="Times New Roman" w:hAnsi="Times New Roman"/>
                <w:sz w:val="20"/>
              </w:rPr>
            </w:r>
            <w:r>
              <w:rPr>
                <w:rFonts w:ascii="Times New Roman" w:hAnsi="Times New Roman" w:eastAsia="Times New Roman" w:cs="Times New Roman"/>
                <w:sz w:val="20"/>
              </w:rPr>
              <w:t>$165,000</w:t>
            </w:r>
          </w:p>
        </w:tc>
        <w:tc>
          <w:tcPr>
            <w:tcW w:type="dxa" w:w="2340"/>
          </w:tcPr>
          <w:p>
            <w:r>
              <w:rPr>
                <w:rFonts w:ascii="Times New Roman" w:hAnsi="Times New Roman"/>
                <w:sz w:val="20"/>
              </w:rPr>
            </w:r>
            <w:r>
              <w:rPr>
                <w:rFonts w:ascii="Times New Roman" w:hAnsi="Times New Roman" w:eastAsia="Times New Roman" w:cs="Times New Roman"/>
                <w:sz w:val="20"/>
              </w:rPr>
              <w:t>+50.0%</w:t>
            </w:r>
          </w:p>
        </w:tc>
      </w:tr>
      <w:tr>
        <w:tc>
          <w:tcPr>
            <w:tcW w:type="dxa" w:w="2340"/>
          </w:tcPr>
          <w:p>
            <w:r>
              <w:rPr>
                <w:rFonts w:ascii="Times New Roman" w:hAnsi="Times New Roman"/>
                <w:sz w:val="20"/>
              </w:rPr>
            </w:r>
            <w:r>
              <w:rPr>
                <w:rFonts w:ascii="Times New Roman" w:hAnsi="Times New Roman" w:eastAsia="Times New Roman" w:cs="Times New Roman"/>
                <w:sz w:val="20"/>
              </w:rPr>
              <w:t>Equipment, Tooling, &amp; Shipping</w:t>
            </w:r>
          </w:p>
        </w:tc>
        <w:tc>
          <w:tcPr>
            <w:tcW w:type="dxa" w:w="2340"/>
          </w:tcPr>
          <w:p>
            <w:r>
              <w:rPr>
                <w:rFonts w:ascii="Times New Roman" w:hAnsi="Times New Roman"/>
                <w:sz w:val="20"/>
              </w:rPr>
            </w:r>
            <w:r>
              <w:rPr>
                <w:rFonts w:ascii="Times New Roman" w:hAnsi="Times New Roman" w:eastAsia="Times New Roman" w:cs="Times New Roman"/>
                <w:sz w:val="20"/>
              </w:rPr>
              <w:t>$60,000</w:t>
            </w:r>
          </w:p>
        </w:tc>
        <w:tc>
          <w:tcPr>
            <w:tcW w:type="dxa" w:w="2340"/>
          </w:tcPr>
          <w:p>
            <w:r>
              <w:rPr>
                <w:rFonts w:ascii="Times New Roman" w:hAnsi="Times New Roman"/>
                <w:sz w:val="20"/>
              </w:rPr>
            </w:r>
            <w:r>
              <w:rPr>
                <w:rFonts w:ascii="Times New Roman" w:hAnsi="Times New Roman" w:eastAsia="Times New Roman" w:cs="Times New Roman"/>
                <w:sz w:val="20"/>
              </w:rPr>
              <w:t>$68,000</w:t>
            </w:r>
          </w:p>
        </w:tc>
        <w:tc>
          <w:tcPr>
            <w:tcW w:type="dxa" w:w="2340"/>
          </w:tcPr>
          <w:p>
            <w:r>
              <w:rPr>
                <w:rFonts w:ascii="Times New Roman" w:hAnsi="Times New Roman"/>
                <w:sz w:val="20"/>
              </w:rPr>
            </w:r>
            <w:r>
              <w:rPr>
                <w:rFonts w:ascii="Times New Roman" w:hAnsi="Times New Roman" w:eastAsia="Times New Roman" w:cs="Times New Roman"/>
                <w:sz w:val="20"/>
              </w:rPr>
              <w:t>+13.3%</w:t>
            </w:r>
          </w:p>
        </w:tc>
      </w:tr>
      <w:tr>
        <w:tc>
          <w:tcPr>
            <w:tcW w:type="dxa" w:w="2340"/>
          </w:tcPr>
          <w:p>
            <w:r>
              <w:rPr>
                <w:rFonts w:ascii="Times New Roman" w:hAnsi="Times New Roman"/>
                <w:sz w:val="20"/>
              </w:rPr>
            </w:r>
            <w:r>
              <w:rPr>
                <w:rFonts w:ascii="Times New Roman" w:hAnsi="Times New Roman" w:eastAsia="Times New Roman" w:cs="Times New Roman"/>
                <w:sz w:val="20"/>
              </w:rPr>
              <w:t>Legal, Permits, &amp; High-Risk Insurance</w:t>
            </w:r>
          </w:p>
        </w:tc>
        <w:tc>
          <w:tcPr>
            <w:tcW w:type="dxa" w:w="2340"/>
          </w:tcPr>
          <w:p>
            <w:r>
              <w:rPr>
                <w:rFonts w:ascii="Times New Roman" w:hAnsi="Times New Roman"/>
                <w:sz w:val="20"/>
              </w:rPr>
            </w:r>
            <w:r>
              <w:rPr>
                <w:rFonts w:ascii="Times New Roman" w:hAnsi="Times New Roman" w:eastAsia="Times New Roman" w:cs="Times New Roman"/>
                <w:sz w:val="20"/>
              </w:rPr>
              <w:t>$20,000</w:t>
            </w:r>
          </w:p>
        </w:tc>
        <w:tc>
          <w:tcPr>
            <w:tcW w:type="dxa" w:w="2340"/>
          </w:tcPr>
          <w:p>
            <w:r>
              <w:rPr>
                <w:rFonts w:ascii="Times New Roman" w:hAnsi="Times New Roman"/>
                <w:sz w:val="20"/>
              </w:rPr>
            </w:r>
            <w:r>
              <w:rPr>
                <w:rFonts w:ascii="Times New Roman" w:hAnsi="Times New Roman" w:eastAsia="Times New Roman" w:cs="Times New Roman"/>
                <w:sz w:val="20"/>
              </w:rPr>
              <w:t>$28,000</w:t>
            </w:r>
          </w:p>
        </w:tc>
        <w:tc>
          <w:tcPr>
            <w:tcW w:type="dxa" w:w="2340"/>
          </w:tcPr>
          <w:p>
            <w:r>
              <w:rPr>
                <w:rFonts w:ascii="Times New Roman" w:hAnsi="Times New Roman"/>
                <w:sz w:val="20"/>
              </w:rPr>
            </w:r>
            <w:r>
              <w:rPr>
                <w:rFonts w:ascii="Times New Roman" w:hAnsi="Times New Roman" w:eastAsia="Times New Roman" w:cs="Times New Roman"/>
                <w:sz w:val="20"/>
              </w:rPr>
              <w:t>+40.0%</w:t>
            </w:r>
          </w:p>
        </w:tc>
      </w:tr>
      <w:tr>
        <w:tc>
          <w:tcPr>
            <w:tcW w:type="dxa" w:w="2340"/>
          </w:tcPr>
          <w:p>
            <w:r>
              <w:rPr>
                <w:rFonts w:ascii="Times New Roman" w:hAnsi="Times New Roman"/>
                <w:sz w:val="20"/>
              </w:rPr>
            </w:r>
            <w:r>
              <w:rPr>
                <w:rFonts w:ascii="Times New Roman" w:hAnsi="Times New Roman" w:eastAsia="Times New Roman" w:cs="Times New Roman"/>
                <w:sz w:val="20"/>
              </w:rPr>
              <w:t>Marketing &amp; Outreach</w:t>
            </w:r>
          </w:p>
        </w:tc>
        <w:tc>
          <w:tcPr>
            <w:tcW w:type="dxa" w:w="2340"/>
          </w:tcPr>
          <w:p>
            <w:r>
              <w:rPr>
                <w:rFonts w:ascii="Times New Roman" w:hAnsi="Times New Roman"/>
                <w:sz w:val="20"/>
              </w:rPr>
            </w:r>
            <w:r>
              <w:rPr>
                <w:rFonts w:ascii="Times New Roman" w:hAnsi="Times New Roman" w:eastAsia="Times New Roman" w:cs="Times New Roman"/>
                <w:sz w:val="20"/>
              </w:rPr>
              <w:t>$10,000</w:t>
            </w:r>
          </w:p>
        </w:tc>
        <w:tc>
          <w:tcPr>
            <w:tcW w:type="dxa" w:w="2340"/>
          </w:tcPr>
          <w:p>
            <w:r>
              <w:rPr>
                <w:rFonts w:ascii="Times New Roman" w:hAnsi="Times New Roman"/>
                <w:sz w:val="20"/>
              </w:rPr>
            </w:r>
            <w:r>
              <w:rPr>
                <w:rFonts w:ascii="Times New Roman" w:hAnsi="Times New Roman" w:eastAsia="Times New Roman" w:cs="Times New Roman"/>
                <w:sz w:val="20"/>
              </w:rPr>
              <w:t>$6,000</w:t>
            </w:r>
          </w:p>
        </w:tc>
        <w:tc>
          <w:tcPr>
            <w:tcW w:type="dxa" w:w="2340"/>
          </w:tcPr>
          <w:p>
            <w:r>
              <w:rPr>
                <w:rFonts w:ascii="Times New Roman" w:hAnsi="Times New Roman"/>
                <w:sz w:val="20"/>
              </w:rPr>
            </w:r>
            <w:r>
              <w:rPr>
                <w:rFonts w:ascii="Times New Roman" w:hAnsi="Times New Roman" w:eastAsia="Times New Roman" w:cs="Times New Roman"/>
                <w:sz w:val="20"/>
              </w:rPr>
              <w:t>-40.0%</w:t>
            </w:r>
          </w:p>
        </w:tc>
      </w:tr>
      <w:tr>
        <w:tc>
          <w:tcPr>
            <w:tcW w:type="dxa" w:w="2340"/>
          </w:tcPr>
          <w:p>
            <w:r>
              <w:rPr>
                <w:rFonts w:ascii="Times New Roman" w:hAnsi="Times New Roman"/>
                <w:sz w:val="20"/>
              </w:rPr>
            </w:r>
            <w:r>
              <w:rPr>
                <w:rFonts w:ascii="Times New Roman" w:hAnsi="Times New Roman" w:eastAsia="Times New Roman" w:cs="Times New Roman"/>
                <w:sz w:val="20"/>
              </w:rPr>
              <w:t>Development Labor</w:t>
            </w:r>
          </w:p>
        </w:tc>
        <w:tc>
          <w:tcPr>
            <w:tcW w:type="dxa" w:w="2340"/>
          </w:tcPr>
          <w:p>
            <w:r>
              <w:rPr>
                <w:rFonts w:ascii="Times New Roman" w:hAnsi="Times New Roman"/>
                <w:sz w:val="20"/>
              </w:rPr>
            </w:r>
            <w:r>
              <w:rPr>
                <w:rFonts w:ascii="Times New Roman" w:hAnsi="Times New Roman" w:eastAsia="Times New Roman" w:cs="Times New Roman"/>
                <w:sz w:val="20"/>
              </w:rPr>
              <w:t>$17,000</w:t>
            </w:r>
          </w:p>
        </w:tc>
        <w:tc>
          <w:tcPr>
            <w:tcW w:type="dxa" w:w="2340"/>
          </w:tcPr>
          <w:p>
            <w:r>
              <w:rPr>
                <w:rFonts w:ascii="Times New Roman" w:hAnsi="Times New Roman"/>
                <w:sz w:val="20"/>
              </w:rPr>
            </w:r>
            <w:r>
              <w:rPr>
                <w:rFonts w:ascii="Times New Roman" w:hAnsi="Times New Roman" w:eastAsia="Times New Roman" w:cs="Times New Roman"/>
                <w:sz w:val="20"/>
              </w:rPr>
              <w:t>$17,000</w:t>
            </w:r>
          </w:p>
        </w:tc>
        <w:tc>
          <w:tcPr>
            <w:tcW w:type="dxa" w:w="2340"/>
          </w:tcPr>
          <w:p>
            <w:r>
              <w:rPr>
                <w:rFonts w:ascii="Times New Roman" w:hAnsi="Times New Roman"/>
                <w:sz w:val="20"/>
              </w:rPr>
            </w:r>
            <w:r>
              <w:rPr>
                <w:rFonts w:ascii="Times New Roman" w:hAnsi="Times New Roman" w:eastAsia="Times New Roman" w:cs="Times New Roman"/>
                <w:sz w:val="20"/>
              </w:rPr>
              <w:t>0.0%</w:t>
            </w:r>
          </w:p>
        </w:tc>
      </w:tr>
      <w:tr>
        <w:tc>
          <w:tcPr>
            <w:tcW w:type="dxa" w:w="2340"/>
          </w:tcPr>
          <w:p>
            <w:r>
              <w:rPr>
                <w:rFonts w:ascii="Times New Roman" w:hAnsi="Times New Roman"/>
                <w:sz w:val="20"/>
              </w:rPr>
            </w:r>
            <w:r>
              <w:rPr>
                <w:rFonts w:ascii="Times New Roman" w:hAnsi="Times New Roman" w:eastAsia="Times New Roman" w:cs="Times New Roman"/>
                <w:sz w:val="20"/>
              </w:rPr>
              <w:t>Equipment Sinking Fund (New)</w:t>
            </w:r>
          </w:p>
        </w:tc>
        <w:tc>
          <w:tcPr>
            <w:tcW w:type="dxa" w:w="2340"/>
          </w:tcPr>
          <w:p>
            <w:r>
              <w:rPr>
                <w:rFonts w:ascii="Times New Roman" w:hAnsi="Times New Roman"/>
                <w:sz w:val="20"/>
              </w:rPr>
            </w:r>
            <w:r>
              <w:rPr>
                <w:rFonts w:ascii="Times New Roman" w:hAnsi="Times New Roman" w:eastAsia="Times New Roman" w:cs="Times New Roman"/>
                <w:sz w:val="20"/>
              </w:rPr>
              <w:t>$0</w:t>
            </w:r>
          </w:p>
        </w:tc>
        <w:tc>
          <w:tcPr>
            <w:tcW w:type="dxa" w:w="2340"/>
          </w:tcPr>
          <w:p>
            <w:r>
              <w:rPr>
                <w:rFonts w:ascii="Times New Roman" w:hAnsi="Times New Roman"/>
                <w:sz w:val="20"/>
              </w:rPr>
            </w:r>
            <w:r>
              <w:rPr>
                <w:rFonts w:ascii="Times New Roman" w:hAnsi="Times New Roman" w:eastAsia="Times New Roman" w:cs="Times New Roman"/>
                <w:sz w:val="20"/>
              </w:rPr>
              <w:t>$10,000</w:t>
            </w:r>
          </w:p>
        </w:tc>
        <w:tc>
          <w:tcPr>
            <w:tcW w:type="dxa" w:w="2340"/>
          </w:tcPr>
          <w:p>
            <w:r>
              <w:rPr>
                <w:rFonts w:ascii="Times New Roman" w:hAnsi="Times New Roman"/>
                <w:sz w:val="20"/>
              </w:rPr>
            </w:r>
            <w:r>
              <w:rPr>
                <w:rFonts w:ascii="Times New Roman" w:hAnsi="Times New Roman" w:eastAsia="Times New Roman" w:cs="Times New Roman"/>
                <w:sz w:val="20"/>
              </w:rPr>
              <w:t>N/A</w:t>
            </w:r>
          </w:p>
        </w:tc>
      </w:tr>
      <w:tr>
        <w:tc>
          <w:tcPr>
            <w:tcW w:type="dxa" w:w="2340"/>
          </w:tcPr>
          <w:p>
            <w:r>
              <w:rPr>
                <w:rFonts w:ascii="Times New Roman" w:hAnsi="Times New Roman"/>
                <w:sz w:val="20"/>
              </w:rPr>
            </w:r>
            <w:r>
              <w:rPr>
                <w:rFonts w:ascii="Times New Roman" w:hAnsi="Times New Roman" w:eastAsia="Times New Roman" w:cs="Times New Roman"/>
                <w:sz w:val="20"/>
              </w:rPr>
              <w:t>Contingency (15% of Subtotal)</w:t>
            </w:r>
          </w:p>
        </w:tc>
        <w:tc>
          <w:tcPr>
            <w:tcW w:type="dxa" w:w="2340"/>
          </w:tcPr>
          <w:p>
            <w:r>
              <w:rPr>
                <w:rFonts w:ascii="Times New Roman" w:hAnsi="Times New Roman"/>
                <w:sz w:val="20"/>
              </w:rPr>
            </w:r>
            <w:r>
              <w:rPr>
                <w:rFonts w:ascii="Times New Roman" w:hAnsi="Times New Roman" w:eastAsia="Times New Roman" w:cs="Times New Roman"/>
                <w:sz w:val="20"/>
              </w:rPr>
              <w:t>$46,950</w:t>
            </w:r>
          </w:p>
        </w:tc>
        <w:tc>
          <w:tcPr>
            <w:tcW w:type="dxa" w:w="2340"/>
          </w:tcPr>
          <w:p>
            <w:r>
              <w:rPr>
                <w:rFonts w:ascii="Times New Roman" w:hAnsi="Times New Roman"/>
                <w:sz w:val="20"/>
              </w:rPr>
            </w:r>
            <w:r>
              <w:rPr>
                <w:rFonts w:ascii="Times New Roman" w:hAnsi="Times New Roman" w:eastAsia="Times New Roman" w:cs="Times New Roman"/>
                <w:sz w:val="20"/>
              </w:rPr>
              <w:t>$62,100</w:t>
            </w:r>
          </w:p>
        </w:tc>
        <w:tc>
          <w:tcPr>
            <w:tcW w:type="dxa" w:w="2340"/>
          </w:tcPr>
          <w:p>
            <w:r>
              <w:rPr>
                <w:rFonts w:ascii="Times New Roman" w:hAnsi="Times New Roman"/>
                <w:sz w:val="20"/>
              </w:rPr>
            </w:r>
            <w:r>
              <w:rPr>
                <w:rFonts w:ascii="Times New Roman" w:hAnsi="Times New Roman" w:eastAsia="Times New Roman" w:cs="Times New Roman"/>
                <w:sz w:val="20"/>
              </w:rPr>
              <w:t>+32.2%</w:t>
            </w:r>
          </w:p>
        </w:tc>
      </w:tr>
      <w:tr>
        <w:tc>
          <w:tcPr>
            <w:tcW w:type="dxa" w:w="2340"/>
          </w:tcPr>
          <w:p>
            <w:r>
              <w:rPr>
                <w:rFonts w:ascii="Times New Roman" w:hAnsi="Times New Roman"/>
                <w:sz w:val="20"/>
              </w:rPr>
            </w:r>
            <w:r>
              <w:rPr>
                <w:rFonts w:ascii="Times New Roman" w:hAnsi="Times New Roman" w:eastAsia="Times New Roman" w:cs="Times New Roman"/>
                <w:b/>
                <w:sz w:val="20"/>
              </w:rPr>
              <w:t>Total Year 1 Capital Required</w:t>
            </w:r>
          </w:p>
        </w:tc>
        <w:tc>
          <w:tcPr>
            <w:tcW w:type="dxa" w:w="2340"/>
          </w:tcPr>
          <w:p>
            <w:r>
              <w:rPr>
                <w:rFonts w:ascii="Times New Roman" w:hAnsi="Times New Roman"/>
                <w:sz w:val="20"/>
              </w:rPr>
            </w:r>
            <w:r>
              <w:rPr>
                <w:rFonts w:ascii="Times New Roman" w:hAnsi="Times New Roman" w:eastAsia="Times New Roman" w:cs="Times New Roman"/>
                <w:b/>
                <w:sz w:val="20"/>
              </w:rPr>
              <w:t>$359,950</w:t>
            </w:r>
          </w:p>
        </w:tc>
        <w:tc>
          <w:tcPr>
            <w:tcW w:type="dxa" w:w="2340"/>
          </w:tcPr>
          <w:p>
            <w:r>
              <w:rPr>
                <w:rFonts w:ascii="Times New Roman" w:hAnsi="Times New Roman"/>
                <w:sz w:val="20"/>
              </w:rPr>
            </w:r>
            <w:r>
              <w:rPr>
                <w:rFonts w:ascii="Times New Roman" w:hAnsi="Times New Roman" w:eastAsia="Times New Roman" w:cs="Times New Roman"/>
                <w:b/>
                <w:sz w:val="20"/>
              </w:rPr>
              <w:t>$476,100</w:t>
            </w:r>
          </w:p>
        </w:tc>
        <w:tc>
          <w:tcPr>
            <w:tcW w:type="dxa" w:w="2340"/>
          </w:tcPr>
          <w:p>
            <w:r>
              <w:rPr>
                <w:rFonts w:ascii="Times New Roman" w:hAnsi="Times New Roman"/>
                <w:sz w:val="20"/>
              </w:rPr>
            </w:r>
            <w:r>
              <w:rPr>
                <w:rFonts w:ascii="Times New Roman" w:hAnsi="Times New Roman" w:eastAsia="Times New Roman" w:cs="Times New Roman"/>
                <w:b/>
                <w:sz w:val="20"/>
              </w:rPr>
              <w:t>+32.2%</w:t>
            </w:r>
          </w:p>
        </w:tc>
      </w:tr>
    </w:tbl>
    <w:p>
      <w:pPr>
        <w:spacing w:before="0" w:after="120"/>
      </w:pPr>
    </w:p>
    <w:p>
      <w:pPr>
        <w:pStyle w:val="Heading3"/>
        <w:jc w:val="left"/>
      </w:pPr>
      <w:r>
        <w:rPr>
          <w:rFonts w:ascii="Times New Roman" w:hAnsi="Times New Roman" w:eastAsia="Times New Roman" w:cs="Times New Roman"/>
          <w:b/>
          <w:sz w:val="24"/>
        </w:rPr>
        <w:t>6.3 Revised Economic Feasibility</w:t>
      </w:r>
    </w:p>
    <w:p>
      <w:pPr>
        <w:spacing w:before="0" w:after="120" w:line="276" w:lineRule="auto"/>
      </w:pPr>
      <w:r>
        <w:rPr>
          <w:rFonts w:ascii="Times New Roman" w:hAnsi="Times New Roman" w:eastAsia="Times New Roman" w:cs="Times New Roman"/>
          <w:sz w:val="24"/>
        </w:rPr>
        <w:t>The revised 2026 cost analysis confirms that the project remains economically viable, but the break-even threshold and revenue targets must be adjusted upward.</w:t>
      </w:r>
    </w:p>
    <w:p>
      <w:pPr>
        <w:spacing w:before="0" w:after="120" w:line="276" w:lineRule="auto"/>
      </w:pPr>
      <w:r>
        <w:rPr>
          <w:rFonts w:ascii="Times New Roman" w:hAnsi="Times New Roman" w:eastAsia="Times New Roman" w:cs="Times New Roman"/>
          <w:b/>
          <w:sz w:val="24"/>
        </w:rPr>
        <w:t>Table 2: Revised Annual Operating Costs (Ongoing)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Cost Item</w:t>
            </w:r>
          </w:p>
        </w:tc>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Lean Model (4,000 sqft)</w:t>
            </w:r>
          </w:p>
        </w:tc>
        <w:tc>
          <w:tcPr>
            <w:tcW w:type="dxa" w:w="3120"/>
            <w:shd w:fill="2E4057" w:val="clear"/>
          </w:tcPr>
          <w:p>
            <w:r>
              <w:rPr>
                <w:rFonts w:ascii="Times New Roman" w:hAnsi="Times New Roman"/>
                <w:b/>
                <w:color w:val="FFFFFF"/>
                <w:sz w:val="20"/>
              </w:rPr>
            </w:r>
            <w:r>
              <w:rPr>
                <w:rFonts w:ascii="Times New Roman" w:hAnsi="Times New Roman" w:eastAsia="Times New Roman" w:cs="Times New Roman"/>
                <w:b/>
                <w:color w:val="FFFFFF"/>
                <w:sz w:val="20"/>
              </w:rPr>
              <w:t>Expanded Model (6,000 sqft)</w:t>
            </w:r>
          </w:p>
        </w:tc>
      </w:tr>
      <w:tr>
        <w:tc>
          <w:tcPr>
            <w:tcW w:type="dxa" w:w="3120"/>
          </w:tcPr>
          <w:p>
            <w:r>
              <w:rPr>
                <w:rFonts w:ascii="Times New Roman" w:hAnsi="Times New Roman"/>
                <w:sz w:val="20"/>
              </w:rPr>
            </w:r>
            <w:r>
              <w:rPr>
                <w:rFonts w:ascii="Times New Roman" w:hAnsi="Times New Roman" w:eastAsia="Times New Roman" w:cs="Times New Roman"/>
                <w:sz w:val="20"/>
              </w:rPr>
              <w:t>Facility Lease (Gross) &amp; Utilities</w:t>
            </w:r>
          </w:p>
        </w:tc>
        <w:tc>
          <w:tcPr>
            <w:tcW w:type="dxa" w:w="3120"/>
          </w:tcPr>
          <w:p>
            <w:r>
              <w:rPr>
                <w:rFonts w:ascii="Times New Roman" w:hAnsi="Times New Roman"/>
                <w:sz w:val="20"/>
              </w:rPr>
            </w:r>
            <w:r>
              <w:rPr>
                <w:rFonts w:ascii="Times New Roman" w:hAnsi="Times New Roman" w:eastAsia="Times New Roman" w:cs="Times New Roman"/>
                <w:sz w:val="20"/>
              </w:rPr>
              <w:t>$120,000</w:t>
            </w:r>
          </w:p>
        </w:tc>
        <w:tc>
          <w:tcPr>
            <w:tcW w:type="dxa" w:w="3120"/>
          </w:tcPr>
          <w:p>
            <w:r>
              <w:rPr>
                <w:rFonts w:ascii="Times New Roman" w:hAnsi="Times New Roman"/>
                <w:sz w:val="20"/>
              </w:rPr>
            </w:r>
            <w:r>
              <w:rPr>
                <w:rFonts w:ascii="Times New Roman" w:hAnsi="Times New Roman" w:eastAsia="Times New Roman" w:cs="Times New Roman"/>
                <w:sz w:val="20"/>
              </w:rPr>
              <w:t>$180,000</w:t>
            </w:r>
          </w:p>
        </w:tc>
      </w:tr>
      <w:tr>
        <w:tc>
          <w:tcPr>
            <w:tcW w:type="dxa" w:w="3120"/>
          </w:tcPr>
          <w:p>
            <w:r>
              <w:rPr>
                <w:rFonts w:ascii="Times New Roman" w:hAnsi="Times New Roman"/>
                <w:sz w:val="20"/>
              </w:rPr>
            </w:r>
            <w:r>
              <w:rPr>
                <w:rFonts w:ascii="Times New Roman" w:hAnsi="Times New Roman" w:eastAsia="Times New Roman" w:cs="Times New Roman"/>
                <w:sz w:val="20"/>
              </w:rPr>
              <w:t>Personnel (including Benefits)</w:t>
            </w:r>
          </w:p>
        </w:tc>
        <w:tc>
          <w:tcPr>
            <w:tcW w:type="dxa" w:w="3120"/>
          </w:tcPr>
          <w:p>
            <w:r>
              <w:rPr>
                <w:rFonts w:ascii="Times New Roman" w:hAnsi="Times New Roman"/>
                <w:sz w:val="20"/>
              </w:rPr>
            </w:r>
            <w:r>
              <w:rPr>
                <w:rFonts w:ascii="Times New Roman" w:hAnsi="Times New Roman" w:eastAsia="Times New Roman" w:cs="Times New Roman"/>
                <w:sz w:val="20"/>
              </w:rPr>
              <w:t>$165,000</w:t>
            </w:r>
          </w:p>
        </w:tc>
        <w:tc>
          <w:tcPr>
            <w:tcW w:type="dxa" w:w="3120"/>
          </w:tcPr>
          <w:p>
            <w:r>
              <w:rPr>
                <w:rFonts w:ascii="Times New Roman" w:hAnsi="Times New Roman"/>
                <w:sz w:val="20"/>
              </w:rPr>
            </w:r>
            <w:r>
              <w:rPr>
                <w:rFonts w:ascii="Times New Roman" w:hAnsi="Times New Roman" w:eastAsia="Times New Roman" w:cs="Times New Roman"/>
                <w:sz w:val="20"/>
              </w:rPr>
              <w:t>$230,000</w:t>
            </w:r>
          </w:p>
        </w:tc>
      </w:tr>
      <w:tr>
        <w:tc>
          <w:tcPr>
            <w:tcW w:type="dxa" w:w="3120"/>
          </w:tcPr>
          <w:p>
            <w:r>
              <w:rPr>
                <w:rFonts w:ascii="Times New Roman" w:hAnsi="Times New Roman"/>
                <w:sz w:val="20"/>
              </w:rPr>
            </w:r>
            <w:r>
              <w:rPr>
                <w:rFonts w:ascii="Times New Roman" w:hAnsi="Times New Roman" w:eastAsia="Times New Roman" w:cs="Times New Roman"/>
                <w:sz w:val="20"/>
              </w:rPr>
              <w:t>Maintenance &amp; Sinking Fund</w:t>
            </w:r>
          </w:p>
        </w:tc>
        <w:tc>
          <w:tcPr>
            <w:tcW w:type="dxa" w:w="3120"/>
          </w:tcPr>
          <w:p>
            <w:r>
              <w:rPr>
                <w:rFonts w:ascii="Times New Roman" w:hAnsi="Times New Roman"/>
                <w:sz w:val="20"/>
              </w:rPr>
            </w:r>
            <w:r>
              <w:rPr>
                <w:rFonts w:ascii="Times New Roman" w:hAnsi="Times New Roman" w:eastAsia="Times New Roman" w:cs="Times New Roman"/>
                <w:sz w:val="20"/>
              </w:rPr>
              <w:t>$10,000</w:t>
            </w:r>
          </w:p>
        </w:tc>
        <w:tc>
          <w:tcPr>
            <w:tcW w:type="dxa" w:w="3120"/>
          </w:tcPr>
          <w:p>
            <w:r>
              <w:rPr>
                <w:rFonts w:ascii="Times New Roman" w:hAnsi="Times New Roman"/>
                <w:sz w:val="20"/>
              </w:rPr>
            </w:r>
            <w:r>
              <w:rPr>
                <w:rFonts w:ascii="Times New Roman" w:hAnsi="Times New Roman" w:eastAsia="Times New Roman" w:cs="Times New Roman"/>
                <w:sz w:val="20"/>
              </w:rPr>
              <w:t>$18,000</w:t>
            </w:r>
          </w:p>
        </w:tc>
      </w:tr>
      <w:tr>
        <w:tc>
          <w:tcPr>
            <w:tcW w:type="dxa" w:w="3120"/>
          </w:tcPr>
          <w:p>
            <w:r>
              <w:rPr>
                <w:rFonts w:ascii="Times New Roman" w:hAnsi="Times New Roman"/>
                <w:sz w:val="20"/>
              </w:rPr>
            </w:r>
            <w:r>
              <w:rPr>
                <w:rFonts w:ascii="Times New Roman" w:hAnsi="Times New Roman" w:eastAsia="Times New Roman" w:cs="Times New Roman"/>
                <w:sz w:val="20"/>
              </w:rPr>
              <w:t>Insurance, Operations &amp; Legal</w:t>
            </w:r>
          </w:p>
        </w:tc>
        <w:tc>
          <w:tcPr>
            <w:tcW w:type="dxa" w:w="3120"/>
          </w:tcPr>
          <w:p>
            <w:r>
              <w:rPr>
                <w:rFonts w:ascii="Times New Roman" w:hAnsi="Times New Roman"/>
                <w:sz w:val="20"/>
              </w:rPr>
            </w:r>
            <w:r>
              <w:rPr>
                <w:rFonts w:ascii="Times New Roman" w:hAnsi="Times New Roman" w:eastAsia="Times New Roman" w:cs="Times New Roman"/>
                <w:sz w:val="20"/>
              </w:rPr>
              <w:t>$15,000</w:t>
            </w:r>
          </w:p>
        </w:tc>
        <w:tc>
          <w:tcPr>
            <w:tcW w:type="dxa" w:w="3120"/>
          </w:tcPr>
          <w:p>
            <w:r>
              <w:rPr>
                <w:rFonts w:ascii="Times New Roman" w:hAnsi="Times New Roman"/>
                <w:sz w:val="20"/>
              </w:rPr>
            </w:r>
            <w:r>
              <w:rPr>
                <w:rFonts w:ascii="Times New Roman" w:hAnsi="Times New Roman" w:eastAsia="Times New Roman" w:cs="Times New Roman"/>
                <w:sz w:val="20"/>
              </w:rPr>
              <w:t>$22,000</w:t>
            </w:r>
          </w:p>
        </w:tc>
      </w:tr>
      <w:tr>
        <w:tc>
          <w:tcPr>
            <w:tcW w:type="dxa" w:w="3120"/>
          </w:tcPr>
          <w:p>
            <w:r>
              <w:rPr>
                <w:rFonts w:ascii="Times New Roman" w:hAnsi="Times New Roman"/>
                <w:sz w:val="20"/>
              </w:rPr>
            </w:r>
            <w:r>
              <w:rPr>
                <w:rFonts w:ascii="Times New Roman" w:hAnsi="Times New Roman" w:eastAsia="Times New Roman" w:cs="Times New Roman"/>
                <w:b/>
                <w:sz w:val="20"/>
              </w:rPr>
              <w:t>Total Annual Operating</w:t>
            </w:r>
          </w:p>
        </w:tc>
        <w:tc>
          <w:tcPr>
            <w:tcW w:type="dxa" w:w="3120"/>
          </w:tcPr>
          <w:p>
            <w:r>
              <w:rPr>
                <w:rFonts w:ascii="Times New Roman" w:hAnsi="Times New Roman"/>
                <w:sz w:val="20"/>
              </w:rPr>
            </w:r>
            <w:r>
              <w:rPr>
                <w:rFonts w:ascii="Times New Roman" w:hAnsi="Times New Roman" w:eastAsia="Times New Roman" w:cs="Times New Roman"/>
                <w:b/>
                <w:sz w:val="20"/>
              </w:rPr>
              <w:t>$310,000</w:t>
            </w:r>
          </w:p>
        </w:tc>
        <w:tc>
          <w:tcPr>
            <w:tcW w:type="dxa" w:w="3120"/>
          </w:tcPr>
          <w:p>
            <w:r>
              <w:rPr>
                <w:rFonts w:ascii="Times New Roman" w:hAnsi="Times New Roman"/>
                <w:sz w:val="20"/>
              </w:rPr>
            </w:r>
            <w:r>
              <w:rPr>
                <w:rFonts w:ascii="Times New Roman" w:hAnsi="Times New Roman" w:eastAsia="Times New Roman" w:cs="Times New Roman"/>
                <w:b/>
                <w:sz w:val="20"/>
              </w:rPr>
              <w:t>$450,000</w:t>
            </w:r>
          </w:p>
        </w:tc>
      </w:tr>
    </w:tbl>
    <w:p>
      <w:pPr>
        <w:spacing w:before="0" w:after="120"/>
      </w:pPr>
    </w:p>
    <w:p>
      <w:pPr>
        <w:spacing w:before="0" w:after="120" w:line="276" w:lineRule="auto"/>
      </w:pPr>
      <w:r>
        <w:rPr>
          <w:rFonts w:ascii="Times New Roman" w:hAnsi="Times New Roman" w:eastAsia="Times New Roman" w:cs="Times New Roman"/>
          <w:b/>
          <w:sz w:val="24"/>
        </w:rPr>
        <w:t>Break-Even Discussion &amp; Revenue Assumptions:</w:t>
      </w:r>
    </w:p>
    <w:p>
      <w:pPr>
        <w:spacing w:before="0" w:after="120" w:line="276" w:lineRule="auto"/>
      </w:pPr>
      <w:r>
        <w:rPr>
          <w:rFonts w:ascii="Times New Roman" w:hAnsi="Times New Roman" w:eastAsia="Times New Roman" w:cs="Times New Roman"/>
          <w:sz w:val="24"/>
        </w:rPr>
        <w:t>Under the adjusted Lean Model, monthly operating expenses average approximately $25,833. To achieve a sustainable surplus for the contingency reserve, monthly revenue must target $29,000.</w:t>
      </w:r>
    </w:p>
    <w:p>
      <w:pPr>
        <w:spacing w:before="0" w:after="120" w:line="276" w:lineRule="auto"/>
      </w:pPr>
      <w:r>
        <w:rPr>
          <w:rFonts w:ascii="Times New Roman" w:hAnsi="Times New Roman" w:eastAsia="Times New Roman" w:cs="Times New Roman"/>
          <w:sz w:val="24"/>
        </w:rPr>
        <w:t>To meet this, the original membership pricing assumption must shift. The target becomes 200 active members at $60/month ($12,000), supported by $17,000 monthly distributed across workshop fees, corporate training contracts, institutional partnerships, and sustained grant funding. The commitment to capping any single funding source at 30% of total revenue remains intact, ensuring the center is shielded from abrupt grant cancellations.</w:t>
      </w:r>
    </w:p>
    <w:p>
      <w:pPr>
        <w:spacing w:before="0" w:after="120" w:line="276" w:lineRule="auto"/>
      </w:pPr>
      <w:r>
        <w:rPr>
          <w:rFonts w:ascii="Times New Roman" w:hAnsi="Times New Roman" w:eastAsia="Times New Roman" w:cs="Times New Roman"/>
          <w:b/>
          <w:sz w:val="24"/>
        </w:rPr>
        <w:t>Cost Sensitivity Analysis:</w:t>
      </w:r>
    </w:p>
    <w:p>
      <w:pPr>
        <w:spacing w:before="0" w:after="120" w:line="276" w:lineRule="auto"/>
      </w:pPr>
      <w:r>
        <w:rPr>
          <w:rFonts w:ascii="Times New Roman" w:hAnsi="Times New Roman" w:eastAsia="Times New Roman" w:cs="Times New Roman"/>
          <w:b/>
          <w:sz w:val="24"/>
        </w:rPr>
        <w:t>Best-Case Scenario:</w:t>
      </w:r>
      <w:r>
        <w:rPr>
          <w:rFonts w:ascii="Times New Roman" w:hAnsi="Times New Roman" w:eastAsia="Times New Roman" w:cs="Times New Roman"/>
          <w:sz w:val="24"/>
        </w:rPr>
        <w:t xml:space="preserve"> Equipment donations from institutional partners (e.g., Camosun College CTAC) offset up to $25,000 in capital expenditures; membership caps at 250 users, generating a comfortable monthly surplus.</w:t>
      </w:r>
    </w:p>
    <w:p>
      <w:pPr>
        <w:spacing w:before="0" w:after="120" w:line="276" w:lineRule="auto"/>
      </w:pPr>
      <w:r>
        <w:rPr>
          <w:rFonts w:ascii="Times New Roman" w:hAnsi="Times New Roman" w:eastAsia="Times New Roman" w:cs="Times New Roman"/>
          <w:b/>
          <w:sz w:val="24"/>
        </w:rPr>
        <w:t>Expected Scenario:</w:t>
      </w:r>
      <w:r>
        <w:rPr>
          <w:rFonts w:ascii="Times New Roman" w:hAnsi="Times New Roman" w:eastAsia="Times New Roman" w:cs="Times New Roman"/>
          <w:sz w:val="24"/>
        </w:rPr>
        <w:t xml:space="preserve"> Break-even is achieved in Month 8. Operating costs align with the $310,000 annual projection, requiring sustained baseline grant support alongside earned revenue.</w:t>
      </w:r>
    </w:p>
    <w:p>
      <w:pPr>
        <w:spacing w:before="0" w:after="120" w:line="276" w:lineRule="auto"/>
      </w:pPr>
      <w:r>
        <w:rPr>
          <w:rFonts w:ascii="Times New Roman" w:hAnsi="Times New Roman" w:eastAsia="Times New Roman" w:cs="Times New Roman"/>
          <w:b/>
          <w:sz w:val="24"/>
        </w:rPr>
        <w:t>Worst-Case Scenario:</w:t>
      </w:r>
      <w:r>
        <w:rPr>
          <w:rFonts w:ascii="Times New Roman" w:hAnsi="Times New Roman" w:eastAsia="Times New Roman" w:cs="Times New Roman"/>
          <w:sz w:val="24"/>
        </w:rPr>
        <w:t xml:space="preserve"> Commercial lease rates spike above $32/sqft or membership stalls below 120 users. The facility must immediately pivot to the Pop-Up Fallback Model to restrict overhead exposure while rebuilding community engagement.</w:t>
      </w:r>
    </w:p>
    <w:p>
      <w:pPr>
        <w:pStyle w:val="Heading3"/>
        <w:jc w:val="left"/>
      </w:pPr>
      <w:r>
        <w:rPr>
          <w:rFonts w:ascii="Times New Roman" w:hAnsi="Times New Roman" w:eastAsia="Times New Roman" w:cs="Times New Roman"/>
          <w:b/>
          <w:sz w:val="24"/>
        </w:rPr>
        <w:t>6.4 Social Feasibility</w:t>
      </w:r>
    </w:p>
    <w:p>
      <w:pPr>
        <w:spacing w:before="0" w:after="120" w:line="276" w:lineRule="auto"/>
      </w:pPr>
      <w:r>
        <w:rPr>
          <w:rFonts w:ascii="Times New Roman" w:hAnsi="Times New Roman" w:eastAsia="Times New Roman" w:cs="Times New Roman"/>
          <w:sz w:val="24"/>
        </w:rPr>
        <w:t xml:space="preserve">Crossroads operates on a sliding-scale fee structure to ensure equitable access, mitigating the impact of the increased $60 base membership fee. Targeted outreach for low-income populations through partnerships with School Districts 61, 62, and 63 remains a priority. The volunteer mentorship cohort, projected at 15 to 25 active members, fosters a peer-support ecosystem, anchoring the facility as a vital “third place” for community development. </w:t>
      </w:r>
      <w:r>
        <w:rPr>
          <w:rFonts w:ascii="Times New Roman" w:hAnsi="Times New Roman" w:eastAsia="Times New Roman" w:cs="Times New Roman"/>
          <w:b/>
          <w:sz w:val="24"/>
        </w:rPr>
        <w:t>Social feasibility remains highly robust.</w:t>
      </w:r>
    </w:p>
    <w:p>
      <w:pPr>
        <w:pStyle w:val="Heading3"/>
        <w:jc w:val="left"/>
      </w:pPr>
      <w:r>
        <w:rPr>
          <w:rFonts w:ascii="Times New Roman" w:hAnsi="Times New Roman" w:eastAsia="Times New Roman" w:cs="Times New Roman"/>
          <w:b/>
          <w:sz w:val="24"/>
        </w:rPr>
        <w:t>6.5 Environmental and Cultural Feasibility</w:t>
      </w:r>
    </w:p>
    <w:p>
      <w:pPr>
        <w:spacing w:before="0" w:after="120" w:line="276" w:lineRule="auto"/>
      </w:pPr>
      <w:r>
        <w:rPr>
          <w:rFonts w:ascii="Times New Roman" w:hAnsi="Times New Roman" w:eastAsia="Times New Roman" w:cs="Times New Roman"/>
          <w:sz w:val="24"/>
        </w:rPr>
        <w:t xml:space="preserve">The project aligns cleanly with provincial initiatives promoting experiential, design-based learning. Light fabrication waste is managed via standard commercial protocols, and an emphasis is placed on iterative prototyping which inherently minimizes raw material waste. Culturally, the facility addresses the infrastructure deficit caused by rapid municipal expansion. </w:t>
      </w:r>
      <w:r>
        <w:rPr>
          <w:rFonts w:ascii="Times New Roman" w:hAnsi="Times New Roman" w:eastAsia="Times New Roman" w:cs="Times New Roman"/>
          <w:b/>
          <w:sz w:val="24"/>
        </w:rPr>
        <w:t>Environmental and cultural feasibility is confirmed.</w:t>
      </w:r>
    </w:p>
    <w:p>
      <w:pPr>
        <w:pStyle w:val="Heading3"/>
        <w:jc w:val="left"/>
      </w:pPr>
      <w:r>
        <w:rPr>
          <w:rFonts w:ascii="Times New Roman" w:hAnsi="Times New Roman" w:eastAsia="Times New Roman" w:cs="Times New Roman"/>
          <w:b/>
          <w:sz w:val="24"/>
        </w:rPr>
        <w:t>6.6 Political and Legal Feasibility</w:t>
      </w:r>
    </w:p>
    <w:p>
      <w:pPr>
        <w:spacing w:before="0" w:after="120" w:line="276" w:lineRule="auto"/>
      </w:pPr>
      <w:r>
        <w:rPr>
          <w:rFonts w:ascii="Times New Roman" w:hAnsi="Times New Roman" w:eastAsia="Times New Roman" w:cs="Times New Roman"/>
          <w:sz w:val="24"/>
        </w:rPr>
        <w:t xml:space="preserve">Incorporation as a nonprofit society under the BC Societies Act is required to maximize public trust and grant eligibility. The updated budget properly accounts for the comprehensive Commercial General Liability and specialized riders necessary for an open-access facility housing equipment like CO2 lasers and CNC mills. Political support for workforce readiness programs in the West Shore is strong. </w:t>
      </w:r>
      <w:r>
        <w:rPr>
          <w:rFonts w:ascii="Times New Roman" w:hAnsi="Times New Roman" w:eastAsia="Times New Roman" w:cs="Times New Roman"/>
          <w:b/>
          <w:sz w:val="24"/>
        </w:rPr>
        <w:t>Political and legal feasibility is confirmed.</w:t>
      </w:r>
    </w:p>
    <w:p>
      <w:pPr>
        <w:pStyle w:val="Heading3"/>
        <w:jc w:val="left"/>
      </w:pPr>
      <w:r>
        <w:rPr>
          <w:rFonts w:ascii="Times New Roman" w:hAnsi="Times New Roman" w:eastAsia="Times New Roman" w:cs="Times New Roman"/>
          <w:b/>
          <w:sz w:val="24"/>
        </w:rPr>
        <w:t>6.7 Operational Feasibility</w:t>
      </w:r>
    </w:p>
    <w:p>
      <w:pPr>
        <w:spacing w:before="0" w:after="120" w:line="276" w:lineRule="auto"/>
      </w:pPr>
      <w:r>
        <w:rPr>
          <w:rFonts w:ascii="Times New Roman" w:hAnsi="Times New Roman" w:eastAsia="Times New Roman" w:cs="Times New Roman"/>
          <w:sz w:val="24"/>
        </w:rPr>
        <w:t xml:space="preserve">The operational model relies on two full-time safety instructors working staggered shifts to cover 63 staffed hours per week, with an overlapping presence during peak afternoon and weekend hours. A mandatory safety orientation protocol complies with provincial health and safety mandates. </w:t>
      </w:r>
      <w:r>
        <w:rPr>
          <w:rFonts w:ascii="Times New Roman" w:hAnsi="Times New Roman" w:eastAsia="Times New Roman" w:cs="Times New Roman"/>
          <w:b/>
          <w:sz w:val="24"/>
        </w:rPr>
        <w:t>Operational feasibility is confirmed.</w:t>
      </w:r>
    </w:p>
    <w:p>
      <w:pPr>
        <w:pStyle w:val="Heading3"/>
        <w:jc w:val="left"/>
      </w:pPr>
      <w:r>
        <w:rPr>
          <w:rFonts w:ascii="Times New Roman" w:hAnsi="Times New Roman" w:eastAsia="Times New Roman" w:cs="Times New Roman"/>
          <w:b/>
          <w:sz w:val="24"/>
        </w:rPr>
        <w:t>6.8 Schedule Feasibility</w:t>
      </w:r>
    </w:p>
    <w:p>
      <w:pPr>
        <w:spacing w:before="0" w:after="120" w:line="276" w:lineRule="auto"/>
      </w:pPr>
      <w:r>
        <w:rPr>
          <w:rFonts w:ascii="Times New Roman" w:hAnsi="Times New Roman" w:eastAsia="Times New Roman" w:cs="Times New Roman"/>
          <w:sz w:val="24"/>
        </w:rPr>
        <w:t>A 12-month phased implementation timeline is maintained:</w:t>
      </w:r>
    </w:p>
    <w:p>
      <w:pPr>
        <w:pStyle w:val="ListBullet"/>
        <w:spacing w:before="0" w:after="60" w:line="276" w:lineRule="auto"/>
      </w:pPr>
      <w:r>
        <w:rPr>
          <w:rFonts w:ascii="Times New Roman" w:hAnsi="Times New Roman" w:eastAsia="Times New Roman" w:cs="Times New Roman"/>
          <w:b/>
          <w:sz w:val="24"/>
        </w:rPr>
        <w:t>Months 1 to 3:</w:t>
      </w:r>
      <w:r>
        <w:rPr>
          <w:rFonts w:ascii="Times New Roman" w:hAnsi="Times New Roman" w:eastAsia="Times New Roman" w:cs="Times New Roman"/>
          <w:sz w:val="24"/>
        </w:rPr>
        <w:t xml:space="preserve"> Nonprofit incorporation and lease negotiation.</w:t>
      </w:r>
    </w:p>
    <w:p>
      <w:pPr>
        <w:pStyle w:val="ListBullet"/>
        <w:spacing w:before="0" w:after="60" w:line="276" w:lineRule="auto"/>
      </w:pPr>
      <w:r>
        <w:rPr>
          <w:rFonts w:ascii="Times New Roman" w:hAnsi="Times New Roman" w:eastAsia="Times New Roman" w:cs="Times New Roman"/>
          <w:b/>
          <w:sz w:val="24"/>
        </w:rPr>
        <w:t>Months 4 to 6:</w:t>
      </w:r>
      <w:r>
        <w:rPr>
          <w:rFonts w:ascii="Times New Roman" w:hAnsi="Times New Roman" w:eastAsia="Times New Roman" w:cs="Times New Roman"/>
          <w:sz w:val="24"/>
        </w:rPr>
        <w:t xml:space="preserve"> Facility renovation and equipment commissioning.</w:t>
      </w:r>
    </w:p>
    <w:p>
      <w:pPr>
        <w:pStyle w:val="ListBullet"/>
        <w:spacing w:before="0" w:after="60" w:line="276" w:lineRule="auto"/>
      </w:pPr>
      <w:r>
        <w:rPr>
          <w:rFonts w:ascii="Times New Roman" w:hAnsi="Times New Roman" w:eastAsia="Times New Roman" w:cs="Times New Roman"/>
          <w:b/>
          <w:sz w:val="24"/>
        </w:rPr>
        <w:t>Months 7 to 9:</w:t>
      </w:r>
      <w:r>
        <w:rPr>
          <w:rFonts w:ascii="Times New Roman" w:hAnsi="Times New Roman" w:eastAsia="Times New Roman" w:cs="Times New Roman"/>
          <w:sz w:val="24"/>
        </w:rPr>
        <w:t xml:space="preserve"> Soft launch, pilot workshops, and protocol testing.</w:t>
      </w:r>
    </w:p>
    <w:p>
      <w:pPr>
        <w:pStyle w:val="ListBullet"/>
        <w:spacing w:before="0" w:after="60" w:line="276" w:lineRule="auto"/>
      </w:pPr>
      <w:r>
        <w:rPr>
          <w:rFonts w:ascii="Times New Roman" w:hAnsi="Times New Roman" w:eastAsia="Times New Roman" w:cs="Times New Roman"/>
          <w:b/>
          <w:sz w:val="24"/>
        </w:rPr>
        <w:t>Months 10 to 12:</w:t>
      </w:r>
      <w:r>
        <w:rPr>
          <w:rFonts w:ascii="Times New Roman" w:hAnsi="Times New Roman" w:eastAsia="Times New Roman" w:cs="Times New Roman"/>
          <w:sz w:val="24"/>
        </w:rPr>
        <w:t xml:space="preserve"> Full public launch and comprehensive evaluation.</w:t>
      </w:r>
    </w:p>
    <w:p>
      <w:pPr>
        <w:spacing w:before="0" w:after="120" w:line="276" w:lineRule="auto"/>
      </w:pPr>
      <w:r>
        <w:rPr>
          <w:rFonts w:ascii="Times New Roman" w:hAnsi="Times New Roman" w:eastAsia="Times New Roman" w:cs="Times New Roman"/>
          <w:b/>
          <w:sz w:val="24"/>
        </w:rPr>
        <w:t>Schedule feasibility is confirmed.</w:t>
      </w:r>
    </w:p>
    <w:p>
      <w:r>
        <w:br w:type="page"/>
      </w:r>
    </w:p>
    <w:p>
      <w:pPr>
        <w:pStyle w:val="Heading2"/>
        <w:jc w:val="left"/>
      </w:pPr>
      <w:r>
        <w:rPr>
          <w:rFonts w:ascii="Times New Roman" w:hAnsi="Times New Roman" w:eastAsia="Times New Roman" w:cs="Times New Roman"/>
          <w:b/>
          <w:sz w:val="28"/>
        </w:rPr>
        <w:t>7. Conclusion and Recommendation</w:t>
      </w:r>
    </w:p>
    <w:p>
      <w:pPr>
        <w:spacing w:before="0" w:after="120" w:line="276" w:lineRule="auto"/>
      </w:pPr>
      <w:r>
        <w:rPr>
          <w:rFonts w:ascii="Times New Roman" w:hAnsi="Times New Roman" w:eastAsia="Times New Roman" w:cs="Times New Roman"/>
          <w:sz w:val="24"/>
        </w:rPr>
        <w:t>This feasibility study confirms that the Crossroads Community STEM Centre remains viable in the 2026 economic landscape. While regional market pressures in Langford, specifically commercial real estate rates and professional wage benchmarks, have increased the Year 1 Lean Model startup requirement to $476,100, the underlying demand for accessible technical education is thoroughly validated.</w:t>
      </w:r>
    </w:p>
    <w:p>
      <w:pPr>
        <w:spacing w:before="0" w:after="120" w:line="276" w:lineRule="auto"/>
      </w:pPr>
      <w:r>
        <w:rPr>
          <w:rFonts w:ascii="Times New Roman" w:hAnsi="Times New Roman" w:eastAsia="Times New Roman" w:cs="Times New Roman"/>
          <w:b/>
          <w:sz w:val="24"/>
        </w:rPr>
        <w:t>Recommendation:</w:t>
      </w:r>
      <w:r>
        <w:rPr>
          <w:rFonts w:ascii="Times New Roman" w:hAnsi="Times New Roman" w:eastAsia="Times New Roman" w:cs="Times New Roman"/>
          <w:sz w:val="24"/>
        </w:rPr>
        <w:t xml:space="preserve"> The project should immediately proceed to the funding acquisition phase utilizing the adjusted Lean Model (Alternative A). The revised operational budget of $310,000 annually is sustainable given the calculated break-even threshold of 200 members and diversified ancillary revenue streams. Execution should commence with the formalization of the nonprofit society and the initiation of targeted grant applications to secure the necessary startup capital.</w:t>
      </w:r>
    </w:p>
    <w:p>
      <w:r>
        <w:br w:type="page"/>
      </w:r>
    </w:p>
    <w:p>
      <w:pPr>
        <w:pStyle w:val="Heading2"/>
        <w:jc w:val="left"/>
      </w:pPr>
      <w:r>
        <w:rPr>
          <w:rFonts w:ascii="Times New Roman" w:hAnsi="Times New Roman" w:eastAsia="Times New Roman" w:cs="Times New Roman"/>
          <w:b/>
          <w:sz w:val="28"/>
        </w:rPr>
        <w:t>8. References</w:t>
      </w:r>
    </w:p>
    <w:p>
      <w:pPr>
        <w:spacing w:before="0" w:after="120" w:line="276" w:lineRule="auto"/>
      </w:pPr>
      <w:r>
        <w:rPr>
          <w:rFonts w:ascii="Times New Roman" w:hAnsi="Times New Roman" w:eastAsia="Times New Roman" w:cs="Times New Roman"/>
          <w:sz w:val="24"/>
        </w:rPr>
        <w:t>[1] Statistics Canada, “Census profile, 2021 Census of Population: Langford, City [Census subdivision], British Columbia,” Government of Canada, Ottawa, ON, 2023.</w:t>
      </w:r>
    </w:p>
    <w:p>
      <w:pPr>
        <w:spacing w:before="0" w:after="120" w:line="276" w:lineRule="auto"/>
      </w:pPr>
      <w:r>
        <w:rPr>
          <w:rFonts w:ascii="Times New Roman" w:hAnsi="Times New Roman" w:eastAsia="Times New Roman" w:cs="Times New Roman"/>
          <w:sz w:val="24"/>
        </w:rPr>
        <w:t xml:space="preserve">[2] M. Rahman and M. Best, “Sustainability of makerspaces: Developing a framework for sustainable community innovation centers,” </w:t>
      </w:r>
      <w:r>
        <w:rPr>
          <w:rFonts w:ascii="Times New Roman" w:hAnsi="Times New Roman" w:eastAsia="Times New Roman" w:cs="Times New Roman"/>
          <w:i/>
          <w:sz w:val="24"/>
        </w:rPr>
        <w:t>ACM Journal on Computing and Sustainable Societies</w:t>
      </w:r>
      <w:r>
        <w:rPr>
          <w:rFonts w:ascii="Times New Roman" w:hAnsi="Times New Roman" w:eastAsia="Times New Roman" w:cs="Times New Roman"/>
          <w:sz w:val="24"/>
        </w:rPr>
        <w:t>, vol. 2, no. 3, art. 33, pp. 1-20, Sep. 2024.</w:t>
      </w:r>
    </w:p>
    <w:p>
      <w:pPr>
        <w:spacing w:before="0" w:after="120" w:line="276" w:lineRule="auto"/>
      </w:pPr>
      <w:r>
        <w:rPr>
          <w:rFonts w:ascii="Times New Roman" w:hAnsi="Times New Roman" w:eastAsia="Times New Roman" w:cs="Times New Roman"/>
          <w:sz w:val="24"/>
        </w:rPr>
        <w:t>[3] WorkSafeBC, “Education health and safety guidelines,” Richmond, BC, 2024.</w:t>
      </w:r>
    </w:p>
    <w:p>
      <w:pPr>
        <w:spacing w:before="0" w:after="120" w:line="276" w:lineRule="auto"/>
      </w:pPr>
      <w:r>
        <w:rPr>
          <w:rFonts w:ascii="Times New Roman" w:hAnsi="Times New Roman" w:eastAsia="Times New Roman" w:cs="Times New Roman"/>
          <w:sz w:val="24"/>
        </w:rPr>
        <w:t>[4] British Columbia Ministry of Education, “Applied design, skills, and technologies curriculum,” Victoria, BC, 2024.</w:t>
      </w:r>
    </w:p>
    <w:p>
      <w:pPr>
        <w:spacing w:before="0" w:after="120" w:line="276" w:lineRule="auto"/>
      </w:pPr>
      <w:r>
        <w:rPr>
          <w:rFonts w:ascii="Times New Roman" w:hAnsi="Times New Roman" w:eastAsia="Times New Roman" w:cs="Times New Roman"/>
          <w:sz w:val="24"/>
        </w:rPr>
        <w:t xml:space="preserve">[5] D. A. Kolb, </w:t>
      </w:r>
      <w:r>
        <w:rPr>
          <w:rFonts w:ascii="Times New Roman" w:hAnsi="Times New Roman" w:eastAsia="Times New Roman" w:cs="Times New Roman"/>
          <w:i/>
          <w:sz w:val="24"/>
        </w:rPr>
        <w:t>Experiential Learning: Experience as the Source of Learning and Development</w:t>
      </w:r>
      <w:r>
        <w:rPr>
          <w:rFonts w:ascii="Times New Roman" w:hAnsi="Times New Roman" w:eastAsia="Times New Roman" w:cs="Times New Roman"/>
          <w:sz w:val="24"/>
        </w:rPr>
        <w:t>, 2nd ed. Upper Saddle River, NJ: Pearson Education, 2015.</w:t>
      </w:r>
    </w:p>
    <w:p>
      <w:pPr>
        <w:spacing w:before="0" w:after="120" w:line="276" w:lineRule="auto"/>
      </w:pPr>
      <w:r>
        <w:rPr>
          <w:rFonts w:ascii="Times New Roman" w:hAnsi="Times New Roman" w:eastAsia="Times New Roman" w:cs="Times New Roman"/>
          <w:sz w:val="24"/>
        </w:rPr>
        <w:t xml:space="preserve">[6] A. Y. Kolb and D. A. Kolb, “Learning styles and learning spaces: Enhancing experiential learning in higher education,” </w:t>
      </w:r>
      <w:r>
        <w:rPr>
          <w:rFonts w:ascii="Times New Roman" w:hAnsi="Times New Roman" w:eastAsia="Times New Roman" w:cs="Times New Roman"/>
          <w:i/>
          <w:sz w:val="24"/>
        </w:rPr>
        <w:t>Academy of Management Learning and Education</w:t>
      </w:r>
      <w:r>
        <w:rPr>
          <w:rFonts w:ascii="Times New Roman" w:hAnsi="Times New Roman" w:eastAsia="Times New Roman" w:cs="Times New Roman"/>
          <w:sz w:val="24"/>
        </w:rPr>
        <w:t>, vol. 4, no. 2, pp. 193-212, Jun. 2005.</w:t>
      </w:r>
    </w:p>
    <w:p>
      <w:pPr>
        <w:spacing w:before="0" w:after="120" w:line="276" w:lineRule="auto"/>
      </w:pPr>
      <w:r>
        <w:rPr>
          <w:rFonts w:ascii="Times New Roman" w:hAnsi="Times New Roman" w:eastAsia="Times New Roman" w:cs="Times New Roman"/>
          <w:sz w:val="24"/>
        </w:rPr>
        <w:t xml:space="preserve">[7] R. Oldenburg, </w:t>
      </w:r>
      <w:r>
        <w:rPr>
          <w:rFonts w:ascii="Times New Roman" w:hAnsi="Times New Roman" w:eastAsia="Times New Roman" w:cs="Times New Roman"/>
          <w:i/>
          <w:sz w:val="24"/>
        </w:rPr>
        <w:t>The Great Good Place: Cafes, Coffee Shops, Bookstores, Bars, Hair Salons, and Other Hangouts at the Heart of a Community</w:t>
      </w:r>
      <w:r>
        <w:rPr>
          <w:rFonts w:ascii="Times New Roman" w:hAnsi="Times New Roman" w:eastAsia="Times New Roman" w:cs="Times New Roman"/>
          <w:sz w:val="24"/>
        </w:rPr>
        <w:t>, 3rd ed. New York, NY: Da Capo Press, 1999.</w:t>
      </w:r>
    </w:p>
    <w:p>
      <w:pPr>
        <w:spacing w:before="0" w:after="120" w:line="276" w:lineRule="auto"/>
      </w:pPr>
      <w:r>
        <w:rPr>
          <w:rFonts w:ascii="Times New Roman" w:hAnsi="Times New Roman" w:eastAsia="Times New Roman" w:cs="Times New Roman"/>
          <w:sz w:val="24"/>
        </w:rPr>
        <w:t xml:space="preserve">[8] D. Oblinger, Ed., </w:t>
      </w:r>
      <w:r>
        <w:rPr>
          <w:rFonts w:ascii="Times New Roman" w:hAnsi="Times New Roman" w:eastAsia="Times New Roman" w:cs="Times New Roman"/>
          <w:i/>
          <w:sz w:val="24"/>
        </w:rPr>
        <w:t>Learning Spaces</w:t>
      </w:r>
      <w:r>
        <w:rPr>
          <w:rFonts w:ascii="Times New Roman" w:hAnsi="Times New Roman" w:eastAsia="Times New Roman" w:cs="Times New Roman"/>
          <w:sz w:val="24"/>
        </w:rPr>
        <w:t>. Boulder, CO: EDUCAUSE, 2006.</w:t>
      </w:r>
    </w:p>
    <w:p>
      <w:pPr>
        <w:spacing w:before="0" w:after="120" w:line="276" w:lineRule="auto"/>
      </w:pPr>
      <w:r>
        <w:rPr>
          <w:rFonts w:ascii="Times New Roman" w:hAnsi="Times New Roman" w:eastAsia="Times New Roman" w:cs="Times New Roman"/>
          <w:sz w:val="24"/>
        </w:rPr>
        <w:t>[9] British Columbia Ministry of Education, “Student Learning Survey: Provincial results,” Victoria, BC, 2023.</w:t>
      </w:r>
    </w:p>
    <w:p>
      <w:pPr>
        <w:spacing w:before="0" w:after="120" w:line="276" w:lineRule="auto"/>
      </w:pPr>
      <w:r>
        <w:rPr>
          <w:rFonts w:ascii="Times New Roman" w:hAnsi="Times New Roman" w:eastAsia="Times New Roman" w:cs="Times New Roman"/>
          <w:sz w:val="24"/>
        </w:rPr>
        <w:t>[10] Council of Canadian Academies, “Some Assembly Required: STEM Skills and Canada’s Economic Productivity,” Ottawa, ON, 2015.</w:t>
      </w:r>
    </w:p>
    <w:p>
      <w:pPr>
        <w:spacing w:before="0" w:after="120" w:line="276" w:lineRule="auto"/>
      </w:pPr>
      <w:r>
        <w:rPr>
          <w:rFonts w:ascii="Times New Roman" w:hAnsi="Times New Roman" w:eastAsia="Times New Roman" w:cs="Times New Roman"/>
          <w:sz w:val="24"/>
        </w:rPr>
        <w:t>[11] Canada Not-for-profit Corporations Act, S.C. 2009, c. 23. Government of Canada, Ottawa, ON, 2009.</w:t>
      </w:r>
    </w:p>
    <w:p>
      <w:pPr>
        <w:spacing w:before="0" w:after="120" w:line="276" w:lineRule="auto"/>
      </w:pPr>
      <w:r>
        <w:rPr>
          <w:rFonts w:ascii="Times New Roman" w:hAnsi="Times New Roman" w:eastAsia="Times New Roman" w:cs="Times New Roman"/>
          <w:sz w:val="24"/>
        </w:rPr>
        <w:t>[12] Innovation, Science and Economic Development Canada, “SME Research and Statistics,” Government of Canada, Ottawa, ON, 2023.</w:t>
      </w:r>
    </w:p>
    <w:p>
      <w:pPr>
        <w:spacing w:before="0" w:after="120" w:line="276" w:lineRule="auto"/>
      </w:pPr>
      <w:r>
        <w:rPr>
          <w:rFonts w:ascii="Times New Roman" w:hAnsi="Times New Roman" w:eastAsia="Times New Roman" w:cs="Times New Roman"/>
          <w:sz w:val="24"/>
        </w:rPr>
        <w:t xml:space="preserve">[13] A. Cun, S. Abramovich, and J. M. Smith, “An assessment matrix for library makerspaces,” </w:t>
      </w:r>
      <w:r>
        <w:rPr>
          <w:rFonts w:ascii="Times New Roman" w:hAnsi="Times New Roman" w:eastAsia="Times New Roman" w:cs="Times New Roman"/>
          <w:i/>
          <w:sz w:val="24"/>
        </w:rPr>
        <w:t>Library &amp; Information Science Research</w:t>
      </w:r>
      <w:r>
        <w:rPr>
          <w:rFonts w:ascii="Times New Roman" w:hAnsi="Times New Roman" w:eastAsia="Times New Roman" w:cs="Times New Roman"/>
          <w:sz w:val="24"/>
        </w:rPr>
        <w:t>, vol. 41, no. 1, pp. 39-47, 2019.</w:t>
      </w:r>
    </w:p>
    <w:sectPr w:rsidR="00FC693F" w:rsidRPr="0006063C" w:rsidSect="00034616">
      <w:footerReference w:type="default" r:id="rI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1-introduction" TargetMode="External"/><Relationship Id="rId10" Type="http://schemas.openxmlformats.org/officeDocument/2006/relationships/hyperlink" Target="#2-needs-analysis" TargetMode="External"/><Relationship Id="rId11" Type="http://schemas.openxmlformats.org/officeDocument/2006/relationships/hyperlink" Target="#3-system-identification" TargetMode="External"/><Relationship Id="rId12" Type="http://schemas.openxmlformats.org/officeDocument/2006/relationships/hyperlink" Target="#4-problem-formulation" TargetMode="External"/><Relationship Id="rId13" Type="http://schemas.openxmlformats.org/officeDocument/2006/relationships/hyperlink" Target="#5-generation-of-system-alternatives" TargetMode="External"/><Relationship Id="rId14" Type="http://schemas.openxmlformats.org/officeDocument/2006/relationships/hyperlink" Target="#6-determination-of-viability" TargetMode="External"/><Relationship Id="rId15" Type="http://schemas.openxmlformats.org/officeDocument/2006/relationships/hyperlink" Target="#61-technical-feasibility" TargetMode="External"/><Relationship Id="rId16" Type="http://schemas.openxmlformats.org/officeDocument/2006/relationships/hyperlink" Target="#62-updated-cost-analysis--2026-adjustment" TargetMode="External"/><Relationship Id="rId17" Type="http://schemas.openxmlformats.org/officeDocument/2006/relationships/hyperlink" Target="#63-revised-economic-feasibility" TargetMode="External"/><Relationship Id="rId18" Type="http://schemas.openxmlformats.org/officeDocument/2006/relationships/hyperlink" Target="#64-social-feasibility" TargetMode="External"/><Relationship Id="rId19" Type="http://schemas.openxmlformats.org/officeDocument/2006/relationships/hyperlink" Target="#65-environmental-and-cultural-feasibility" TargetMode="External"/><Relationship Id="rId20" Type="http://schemas.openxmlformats.org/officeDocument/2006/relationships/hyperlink" Target="#66-political-and-legal-feasibility" TargetMode="External"/><Relationship Id="rId21" Type="http://schemas.openxmlformats.org/officeDocument/2006/relationships/hyperlink" Target="#67-operational-feasibility" TargetMode="External"/><Relationship Id="rId22" Type="http://schemas.openxmlformats.org/officeDocument/2006/relationships/hyperlink" Target="#68-schedule-feasibility" TargetMode="External"/><Relationship Id="rId23" Type="http://schemas.openxmlformats.org/officeDocument/2006/relationships/hyperlink" Target="#7-conclusion-and-recommendation" TargetMode="External"/><Relationship Id="rId24" Type="http://schemas.openxmlformats.org/officeDocument/2006/relationships/hyperlink" Target="#8-references" TargetMode="Externa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