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1ef8918e4d181bbeeda7780712670afc159283"/>
      <w:r>
        <w:t xml:space="preserve">Capstone — General AI Fluency · Impact Project</w:t>
      </w:r>
      <w:bookmarkEnd w:id="20"/>
    </w:p>
    <w:p>
      <w:pPr>
        <w:pStyle w:val="FirstParagraph"/>
      </w:pPr>
      <w:r>
        <w:rPr>
          <w:b/>
        </w:rPr>
        <w:t xml:space="preserve">Ziyad Alboghdady — Final checkpoint</w:t>
      </w:r>
    </w:p>
    <w:p>
      <w:pPr>
        <w:pStyle w:val="Heading2"/>
      </w:pPr>
      <w:bookmarkStart w:id="21" w:name="what-the-capstone-is"/>
      <w:r>
        <w:t xml:space="preserve">What the capstone is</w:t>
      </w:r>
      <w:bookmarkEnd w:id="21"/>
    </w:p>
    <w:p>
      <w:pPr>
        <w:pStyle w:val="FirstParagraph"/>
      </w:pPr>
      <w:r>
        <w:t xml:space="preserve">One package that a stranger can open and understand in five minutes: the site, the agent, every deliverable from the track, and an honest account of what changed.</w:t>
      </w:r>
    </w:p>
    <w:p>
      <w:pPr>
        <w:pStyle w:val="Heading2"/>
      </w:pPr>
      <w:bookmarkStart w:id="22" w:name="the-two-built-things"/>
      <w:r>
        <w:t xml:space="preserve">1. The two built things</w:t>
      </w:r>
      <w:bookmarkEnd w:id="22"/>
    </w:p>
    <w:p>
      <w:pPr>
        <w:pStyle w:val="FirstParagraph"/>
      </w:pPr>
      <w:r>
        <w:rPr>
          <w:b/>
        </w:rPr>
        <w:t xml:space="preserve">The portfolio</w:t>
      </w:r>
      <w:r>
        <w:t xml:space="preserve"> </w:t>
      </w:r>
      <w:r>
        <w:t xml:space="preserve">— nine pages of static HTML on a CDN, generated by a ~300-line stdlib Python script. Four backend case studies in a fixed three-beat shape, one working dynamic feature, one action. Live at https://ziyad-alboghdady.netlify.app.</w:t>
      </w:r>
    </w:p>
    <w:p>
      <w:pPr>
        <w:pStyle w:val="BodyText"/>
      </w:pPr>
      <w:r>
        <w:rPr>
          <w:b/>
        </w:rPr>
        <w:t xml:space="preserve">The study coach</w:t>
      </w:r>
      <w:r>
        <w:t xml:space="preserve"> </w:t>
      </w:r>
      <w:r>
        <w:t xml:space="preserve">— a grounded revision agent with real memory, five eval cases, and guardrails written before the build. Lives in</w:t>
      </w:r>
      <w:r>
        <w:t xml:space="preserve"> </w:t>
      </w:r>
      <w:r>
        <w:rPr>
          <w:rStyle w:val="VerbatimChar"/>
        </w:rPr>
        <w:t xml:space="preserve">study-coach-agent/</w:t>
      </w:r>
      <w:r>
        <w:t xml:space="preserve">.</w:t>
      </w:r>
    </w:p>
    <w:p>
      <w:pPr>
        <w:pStyle w:val="BodyText"/>
      </w:pPr>
      <w:r>
        <w:t xml:space="preserve">They are not related by subject, and that is fine. One is the artefact; the other is the proof that I can specify, build and</w:t>
      </w:r>
      <w:r>
        <w:t xml:space="preserve"> </w:t>
      </w:r>
      <w:r>
        <w:rPr>
          <w:i/>
        </w:rPr>
        <w:t xml:space="preserve">constrain</w:t>
      </w:r>
      <w:r>
        <w:t xml:space="preserve"> </w:t>
      </w:r>
      <w:r>
        <w:t xml:space="preserve">a system that acts on its own.</w:t>
      </w:r>
    </w:p>
    <w:p>
      <w:pPr>
        <w:pStyle w:val="Heading2"/>
      </w:pPr>
      <w:bookmarkStart w:id="23" w:name="index"/>
      <w:r>
        <w:t xml:space="preserve">2. Index</w:t>
      </w:r>
      <w:bookmarkEnd w:id="23"/>
    </w:p>
    <w:p>
      <w:pPr>
        <w:pStyle w:val="FirstParagraph"/>
      </w:pPr>
      <w:r>
        <w:t xml:space="preserve">Every deliverable, reachable from one page — see</w:t>
      </w:r>
      <w:r>
        <w:t xml:space="preserve"> </w:t>
      </w:r>
      <w:r>
        <w:rPr>
          <w:rStyle w:val="VerbatimChar"/>
        </w:rPr>
        <w:t xml:space="preserve">task23</w:t>
      </w:r>
      <w:r>
        <w:t xml:space="preserve">.</w:t>
      </w:r>
    </w:p>
    <w:p>
      <w:pPr>
        <w:pStyle w:val="Heading2"/>
      </w:pPr>
      <w:bookmarkStart w:id="24" w:name="retrospective-500800-words"/>
      <w:r>
        <w:t xml:space="preserve">3. Retrospective (500–800 words)</w:t>
      </w:r>
      <w:bookmarkEnd w:id="24"/>
    </w:p>
    <w:p>
      <w:pPr>
        <w:pStyle w:val="FirstParagraph"/>
      </w:pPr>
      <w:r>
        <w:rPr>
          <w:i/>
        </w:rPr>
        <w:t xml:space="preserve">Written for the person I was in Week 1.</w:t>
      </w:r>
    </w:p>
    <w:p>
      <w:pPr>
        <w:pStyle w:val="BodyText"/>
      </w:pPr>
      <w:r>
        <w:t xml:space="preserve">You are about to write a proof statement, and you will write a paragraph. Then you will rewrite it as one sentence, and the one sentence will be better. That pattern repeats for twelve weeks: almost everything you produce is too long on the first pass because you are trying to cover yourself rather than say the thing.</w:t>
      </w:r>
    </w:p>
    <w:p>
      <w:pPr>
        <w:pStyle w:val="BodyText"/>
      </w:pPr>
      <w:r>
        <w:rPr>
          <w:b/>
        </w:rPr>
        <w:t xml:space="preserve">What you set out to do.</w:t>
      </w:r>
      <w:r>
        <w:t xml:space="preserve"> </w:t>
      </w:r>
      <w:r>
        <w:t xml:space="preserve">Build a portfolio that gets an engineering manager to invite you to a technical interview. That goal survived intact, which is unusual and worth noticing — most of what changed underneath it changed</w:t>
      </w:r>
      <w:r>
        <w:t xml:space="preserve"> </w:t>
      </w:r>
      <w:r>
        <w:rPr>
          <w:i/>
        </w:rPr>
        <w:t xml:space="preserve">because</w:t>
      </w:r>
      <w:r>
        <w:t xml:space="preserve"> </w:t>
      </w:r>
      <w:r>
        <w:t xml:space="preserve">the goal stayed fixed and kept rejecting things.</w:t>
      </w:r>
    </w:p>
    <w:p>
      <w:pPr>
        <w:pStyle w:val="BodyText"/>
      </w:pPr>
      <w:r>
        <w:rPr>
          <w:b/>
        </w:rPr>
        <w:t xml:space="preserve">What changed.</w:t>
      </w:r>
    </w:p>
    <w:p>
      <w:pPr>
        <w:pStyle w:val="BodyText"/>
      </w:pPr>
      <w:r>
        <w:t xml:space="preserve">The first one: you assumed the portfolio would be an ASP.NET Core app, because that is what you build. It is static HTML. Working through the stack decision properly — four constraints, three options, four pressure-test questions — produced an answer you did not want. Nine pages, changing four times a year, one contact form, and an absolute requirement to be up at 2am. A server buys flexibility you do not need and introduces downtime you cannot afford.</w:t>
      </w:r>
    </w:p>
    <w:p>
      <w:pPr>
        <w:pStyle w:val="BodyText"/>
      </w:pPr>
      <w:r>
        <w:t xml:space="preserve">That was uncomfortable, and the discomfort is the lesson.</w:t>
      </w:r>
      <w:r>
        <w:t xml:space="preserve"> </w:t>
      </w:r>
      <w:r>
        <w:rPr>
          <w:b/>
        </w:rPr>
        <w:t xml:space="preserve">The impressive-looking option was the wrong engineering call, and you wanted to make it anyway.</w:t>
      </w:r>
      <w:r>
        <w:t xml:space="preserve"> </w:t>
      </w:r>
      <w:r>
        <w:t xml:space="preserve">Knowing when not to build a backend is part of being a backend engineer, and you would not have learned it by building the backend.</w:t>
      </w:r>
    </w:p>
    <w:p>
      <w:pPr>
        <w:pStyle w:val="BodyText"/>
      </w:pPr>
      <w:r>
        <w:t xml:space="preserve">The second: you thought</w:t>
      </w:r>
      <w:r>
        <w:t xml:space="preserve"> </w:t>
      </w:r>
      <w:r>
        <w:t xml:space="preserve">“</w:t>
      </w:r>
      <w:r>
        <w:t xml:space="preserve">AI fluency</w:t>
      </w:r>
      <w:r>
        <w:t xml:space="preserve">”</w:t>
      </w:r>
      <w:r>
        <w:t xml:space="preserve"> </w:t>
      </w:r>
      <w:r>
        <w:t xml:space="preserve">meant better prompts. The prompt ladder made you better at asking, but the thing that actually changed how you work was narrower —</w:t>
      </w:r>
      <w:r>
        <w:t xml:space="preserve"> </w:t>
      </w:r>
      <w:r>
        <w:rPr>
          <w:b/>
        </w:rPr>
        <w:t xml:space="preserve">structure beats instruction.</w:t>
      </w:r>
      <w:r>
        <w:t xml:space="preserve"> </w:t>
      </w:r>
      <w:r>
        <w:t xml:space="preserve">The agent that must fill a sentence naming both the score and the exam distance behaves correctly. The agent told to</w:t>
      </w:r>
      <w:r>
        <w:t xml:space="preserve"> </w:t>
      </w:r>
      <w:r>
        <w:t xml:space="preserve">“</w:t>
      </w:r>
      <w:r>
        <w:t xml:space="preserve">consider urgency</w:t>
      </w:r>
      <w:r>
        <w:t xml:space="preserve">”</w:t>
      </w:r>
      <w:r>
        <w:t xml:space="preserve"> </w:t>
      </w:r>
      <w:r>
        <w:t xml:space="preserve">mentions urgency and then does what it wanted. A shape someone must fill is harder to skip than a factor they should weigh. That is true of prompts, of API contracts, of DTOs, and of your own to-do list.</w:t>
      </w:r>
    </w:p>
    <w:p>
      <w:pPr>
        <w:pStyle w:val="BodyText"/>
      </w:pPr>
      <w:r>
        <w:t xml:space="preserve">The third: you learned what you do not know by writing explanations for people who know less than you. You could use</w:t>
      </w:r>
      <w:r>
        <w:t xml:space="preserve"> </w:t>
      </w:r>
      <w:r>
        <w:rPr>
          <w:rStyle w:val="VerbatimChar"/>
        </w:rPr>
        <w:t xml:space="preserve">preventDefault()</w:t>
      </w:r>
      <w:r>
        <w:t xml:space="preserve"> </w:t>
      </w:r>
      <w:r>
        <w:t xml:space="preserve">correctly for months without being able to say what it prevents. Nine lines of JavaScript on your own contact form exposed three gaps, one of which —</w:t>
      </w:r>
      <w:r>
        <w:t xml:space="preserve"> </w:t>
      </w:r>
      <w:r>
        <w:rPr>
          <w:rStyle w:val="VerbatimChar"/>
        </w:rPr>
        <w:t xml:space="preserve">Accept</w:t>
      </w:r>
      <w:r>
        <w:t xml:space="preserve"> </w:t>
      </w:r>
      <w:r>
        <w:t xml:space="preserve">versus</w:t>
      </w:r>
      <w:r>
        <w:t xml:space="preserve"> </w:t>
      </w:r>
      <w:r>
        <w:rPr>
          <w:rStyle w:val="VerbatimChar"/>
        </w:rPr>
        <w:t xml:space="preserve">Content-Type</w:t>
      </w:r>
      <w:r>
        <w:t xml:space="preserve"> </w:t>
      </w:r>
      <w:r>
        <w:t xml:space="preserve">— you had been getting away with because you had only ever seen content negotiation from the server side.</w:t>
      </w:r>
      <w:r>
        <w:t xml:space="preserve"> </w:t>
      </w:r>
      <w:r>
        <w:rPr>
          <w:b/>
        </w:rPr>
        <w:t xml:space="preserve">The explanation is the test.</w:t>
      </w:r>
    </w:p>
    <w:p>
      <w:pPr>
        <w:pStyle w:val="BodyText"/>
      </w:pPr>
      <w:r>
        <w:rPr>
          <w:b/>
        </w:rPr>
        <w:t xml:space="preserve">What you would build next.</w:t>
      </w:r>
      <w:r>
        <w:t xml:space="preserve"> </w:t>
      </w:r>
      <w:r>
        <w:t xml:space="preserve">Swap the Task Management API’s persistence from</w:t>
      </w:r>
      <w:r>
        <w:t xml:space="preserve"> </w:t>
      </w:r>
      <w:r>
        <w:rPr>
          <w:rStyle w:val="VerbatimChar"/>
        </w:rPr>
        <w:t xml:space="preserve">ConcurrentDictionary</w:t>
      </w:r>
      <w:r>
        <w:t xml:space="preserve"> </w:t>
      </w:r>
      <w:r>
        <w:t xml:space="preserve">to EF Core and PostgreSQL, and count the files you have to change. The case study currently</w:t>
      </w:r>
      <w:r>
        <w:t xml:space="preserve"> </w:t>
      </w:r>
      <w:r>
        <w:rPr>
          <w:i/>
        </w:rPr>
        <w:t xml:space="preserve">claims</w:t>
      </w:r>
      <w:r>
        <w:t xml:space="preserve"> </w:t>
      </w:r>
      <w:r>
        <w:t xml:space="preserve">that decision is reversible. Doing it turns the claim into evidence — and if it takes twelve files instead of three, that is the more interesting case study, and you should write that one.</w:t>
      </w:r>
    </w:p>
    <w:p>
      <w:pPr>
        <w:pStyle w:val="BodyText"/>
      </w:pPr>
      <w:r>
        <w:rPr>
          <w:b/>
        </w:rPr>
        <w:t xml:space="preserve">The three most transferable things.</w:t>
      </w:r>
    </w:p>
    <w:p>
      <w:pPr>
        <w:numPr>
          <w:ilvl w:val="0"/>
          <w:numId w:val="1001"/>
        </w:numPr>
      </w:pPr>
      <w:r>
        <w:rPr>
          <w:b/>
        </w:rPr>
        <w:t xml:space="preserve">Reversibility is worth more than correctness at the point of decision.</w:t>
      </w:r>
      <w:r>
        <w:t xml:space="preserve"> </w:t>
      </w:r>
      <w:r>
        <w:t xml:space="preserve">Persistence behind an interface, the site’s URL behind one</w:t>
      </w:r>
      <w:r>
        <w:t xml:space="preserve"> </w:t>
      </w:r>
      <w:r>
        <w:rPr>
          <w:rStyle w:val="VerbatimChar"/>
        </w:rPr>
        <w:t xml:space="preserve">SITE</w:t>
      </w:r>
      <w:r>
        <w:t xml:space="preserve"> </w:t>
      </w:r>
      <w:r>
        <w:t xml:space="preserve">constant, the footer defined once. None of those made the first version better. All of them made the second version cheap. Most of what looks like good architecture is just refusing to make decisions expensive to undo.</w:t>
      </w:r>
    </w:p>
    <w:p>
      <w:pPr>
        <w:numPr>
          <w:ilvl w:val="0"/>
          <w:numId w:val="1001"/>
        </w:numPr>
      </w:pPr>
      <w:r>
        <w:rPr>
          <w:b/>
        </w:rPr>
        <w:t xml:space="preserve">Name the limitation before someone finds it.</w:t>
      </w:r>
      <w:r>
        <w:t xml:space="preserve"> </w:t>
      </w:r>
      <w:r>
        <w:t xml:space="preserve">The form depends on a third-party free tier. The agent’s grounding is only as good as the upload. The site does not work opened from disk. Saying those out loud costs nothing and buys the reader’s trust in everything else you claimed — and the alternative is that they find one themselves and start discounting the rest.</w:t>
      </w:r>
    </w:p>
    <w:p>
      <w:pPr>
        <w:numPr>
          <w:ilvl w:val="0"/>
          <w:numId w:val="1001"/>
        </w:numPr>
      </w:pPr>
      <w:r>
        <w:rPr>
          <w:b/>
        </w:rPr>
        <w:t xml:space="preserve">A workflow you do not run is a diagram.</w:t>
      </w:r>
      <w:r>
        <w:t xml:space="preserve"> </w:t>
      </w:r>
      <w:r>
        <w:t xml:space="preserve">You picked exam revision over a weekly industry brief for the automation assignment specifically because revision is non-negotiable and the brief was not. The same instinct applies to the portfolio: a recurring calendar event with a named action, not an intention to keep it updated.</w:t>
      </w:r>
    </w:p>
    <w:p>
      <w:pPr>
        <w:pStyle w:val="FirstParagraph"/>
      </w:pPr>
      <w:r>
        <w:rPr>
          <w:b/>
        </w:rPr>
        <w:t xml:space="preserve">One thing you got wrong the whole way through</w:t>
      </w:r>
      <w:r>
        <w:t xml:space="preserve"> </w:t>
      </w:r>
      <w:r>
        <w:t xml:space="preserve">and should watch for: you consistently produced the polished version first and the honest version second. The rejection notes, the limitations sections, the fix logs — those were the parts reviewers found most convincing, and they were the parts you wrote last and nearly left out.</w:t>
      </w:r>
    </w:p>
    <w:p>
      <w:pPr>
        <w:pStyle w:val="Heading2"/>
      </w:pPr>
      <w:bookmarkStart w:id="25" w:name="final-checklist"/>
      <w:r>
        <w:t xml:space="preserve">4. Final checklist</w:t>
      </w:r>
      <w:bookmarkEnd w:id="25"/>
    </w:p>
    <w:p>
      <w:pPr>
        <w:pStyle w:val="FirstParagraph"/>
      </w:pPr>
      <w:r>
        <w:t xml:space="preserve">☐ Every deliverable present and reachable from the index</w:t>
      </w:r>
      <w:r>
        <w:t xml:space="preserve"> </w:t>
      </w:r>
      <w:r>
        <w:t xml:space="preserve">☐ Retrospective specific to this build, not generic reflection</w:t>
      </w:r>
      <w:r>
        <w:t xml:space="preserve"> </w:t>
      </w:r>
      <w:r>
        <w:t xml:space="preserve">☐ Hours log complete and plausible against timestamps</w:t>
      </w:r>
      <w:r>
        <w:t xml:space="preserve"> </w:t>
      </w:r>
      <w:r>
        <w:t xml:space="preserve">☐ Site live on the FlyRank domain, navigable in five minutes</w:t>
      </w:r>
      <w:r>
        <w:t xml:space="preserve"> </w:t>
      </w:r>
      <w:r>
        <w:t xml:space="preserve">☐ Build-in-public post published — one real decision, one real limitation</w:t>
      </w:r>
      <w:r>
        <w:t xml:space="preserve"> </w:t>
      </w:r>
      <w:r>
        <w:t xml:space="preserve">☐ FlyRank graduate badge installed in the footer once approved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2026-10-08T07:01:55Z</dcterms:created>
  <dcterms:modified xsi:type="dcterms:W3CDTF">2026-10-08T07:01:55Z</dcterms:modified>
</cp:coreProperties>
</file>

<file path=docProps/custom.xml><?xml version="1.0" encoding="utf-8"?>
<Properties xmlns="http://schemas.openxmlformats.org/officeDocument/2006/custom-properties" xmlns:vt="http://schemas.openxmlformats.org/officeDocument/2006/docPropsVTypes"/>
</file>