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l-05-agent-concepts-and-mcp-basics"/>
      <w:r>
        <w:t xml:space="preserve">FL-05 — Agent Concepts and MCP Basics</w:t>
      </w:r>
      <w:bookmarkEnd w:id="20"/>
    </w:p>
    <w:p>
      <w:pPr>
        <w:pStyle w:val="FirstParagraph"/>
      </w:pPr>
      <w:r>
        <w:rPr>
          <w:b/>
        </w:rPr>
        <w:t xml:space="preserve">Ziyad Alboghdady — General AI Fluency, Week 4</w:t>
      </w:r>
    </w:p>
    <w:p>
      <w:pPr>
        <w:pStyle w:val="BodyText"/>
      </w:pPr>
      <w:r>
        <w:rPr>
          <w:i/>
        </w:rPr>
        <w:t xml:space="preserve">Explainer, ~800 words.</w:t>
      </w:r>
    </w:p>
    <w:p>
      <w:pPr>
        <w:pStyle w:val="Heading2"/>
      </w:pPr>
      <w:bookmarkStart w:id="21" w:name="X2a219a71d731aae8790f4d1e4bf22ae43b0af52"/>
      <w:r>
        <w:t xml:space="preserve">Workflow or agent? Start with my own build</w:t>
      </w:r>
      <w:bookmarkEnd w:id="21"/>
    </w:p>
    <w:p>
      <w:pPr>
        <w:pStyle w:val="FirstParagraph"/>
      </w:pPr>
      <w:r>
        <w:t xml:space="preserve">Anthropic’s</w:t>
      </w:r>
      <w:r>
        <w:t xml:space="preserve"> </w:t>
      </w:r>
      <w:r>
        <w:rPr>
          <w:i/>
        </w:rPr>
        <w:t xml:space="preserve">Building Effective Agents</w:t>
      </w:r>
      <w:r>
        <w:t xml:space="preserve"> </w:t>
      </w:r>
      <w:r>
        <w:t xml:space="preserve">draws the line at</w:t>
      </w:r>
      <w:r>
        <w:t xml:space="preserve"> </w:t>
      </w:r>
      <w:r>
        <w:rPr>
          <w:b/>
        </w:rPr>
        <w:t xml:space="preserve">who decides the next step</w:t>
      </w:r>
      <w:r>
        <w:t xml:space="preserve">. In a workflow, the steps and their order are written down in advance by a human; the model fills in each box. In an agent, the model chooses what to do next, in what order, and when to stop, using tools to act on the world and feedback from those actions to steer.</w:t>
      </w:r>
    </w:p>
    <w:p>
      <w:pPr>
        <w:pStyle w:val="BodyText"/>
      </w:pPr>
      <w:r>
        <w:t xml:space="preserve">By that definition my FL-04 study pipeline is</w:t>
      </w:r>
      <w:r>
        <w:t xml:space="preserve"> </w:t>
      </w:r>
      <w:r>
        <w:rPr>
          <w:b/>
        </w:rPr>
        <w:t xml:space="preserve">a workflow, not an agent</w:t>
      </w:r>
      <w:r>
        <w:t xml:space="preserve"> </w:t>
      </w:r>
      <w:r>
        <w:t xml:space="preserve">— and specifically it is</w:t>
      </w:r>
      <w:r>
        <w:t xml:space="preserve"> </w:t>
      </w:r>
      <w:r>
        <w:rPr>
          <w:i/>
        </w:rPr>
        <w:t xml:space="preserve">prompt chaining</w:t>
      </w:r>
      <w:r>
        <w:t xml:space="preserve">: gather → ground → synthesise → draft → review, fixed, always in that order. The model never decides that a topic needs three passes instead of one, never goes looking for a source I forgot to upload, and never stops early because the material is thin. I decided all of that when I drew the diagram. The model is doing five well-specified jobs; the control flow is mine.</w:t>
      </w:r>
    </w:p>
    <w:p>
      <w:pPr>
        <w:pStyle w:val="BodyText"/>
      </w:pPr>
      <w:r>
        <w:t xml:space="preserve">That is not a flaw. The paper’s own advice is to use the simplest thing that works, and for exam revision the sequence genuinely is fixed. Agents buy flexibility, and you pay for it in unpredictability, latency and cost. My pipeline does not need flexibility — it needs to run the same way every Sunday.</w:t>
      </w:r>
    </w:p>
    <w:p>
      <w:pPr>
        <w:pStyle w:val="Heading2"/>
      </w:pPr>
      <w:bookmarkStart w:id="22" w:name="what-an-agent-actually-is"/>
      <w:r>
        <w:t xml:space="preserve">What an agent actually is</w:t>
      </w:r>
      <w:bookmarkEnd w:id="22"/>
    </w:p>
    <w:p>
      <w:pPr>
        <w:pStyle w:val="FirstParagraph"/>
      </w:pPr>
      <w:r>
        <w:t xml:space="preserve">An agent is a model running in a loop with tools. The loop is: receive a goal → decide on an action → call a tool → read what came back → decide again → stop when the goal is met. Three things follow.</w:t>
      </w:r>
    </w:p>
    <w:p>
      <w:pPr>
        <w:pStyle w:val="BodyText"/>
      </w:pPr>
      <w:r>
        <w:rPr>
          <w:b/>
        </w:rPr>
        <w:t xml:space="preserve">It needs tools, or it is just a chat.</w:t>
      </w:r>
      <w:r>
        <w:t xml:space="preserve"> </w:t>
      </w:r>
      <w:r>
        <w:t xml:space="preserve">Without something that reads a file, queries a service or writes a record, the model can only produce text. Tools are what make the loop touch reality.</w:t>
      </w:r>
    </w:p>
    <w:p>
      <w:pPr>
        <w:pStyle w:val="BodyText"/>
      </w:pPr>
      <w:r>
        <w:rPr>
          <w:b/>
        </w:rPr>
        <w:t xml:space="preserve">It needs feedback it can act on.</w:t>
      </w:r>
      <w:r>
        <w:t xml:space="preserve"> </w:t>
      </w:r>
      <w:r>
        <w:t xml:space="preserve">A tool that fails silently teaches the model nothing. Error messages are part of the interface, which is a very familiar idea if you have written an API — a 404 with a problem-details body is more useful to a caller than a blank 500, and the same is true when the caller is a model.</w:t>
      </w:r>
    </w:p>
    <w:p>
      <w:pPr>
        <w:pStyle w:val="BodyText"/>
      </w:pPr>
      <w:r>
        <w:rPr>
          <w:b/>
        </w:rPr>
        <w:t xml:space="preserve">Its autonomy is the risk surface.</w:t>
      </w:r>
      <w:r>
        <w:t xml:space="preserve"> </w:t>
      </w:r>
      <w:r>
        <w:t xml:space="preserve">Because the model picks the next action, it can pick a wrong one, and then act on it. In my backends I put the irreversible operations behind transactions and authorisation checks. The equivalent for an agent is guardrails: what it may do unattended, what it must confirm first, what it must never do at all.</w:t>
      </w:r>
    </w:p>
    <w:p>
      <w:pPr>
        <w:pStyle w:val="Heading2"/>
      </w:pPr>
      <w:bookmarkStart w:id="23" w:name="what-mcp-is"/>
      <w:r>
        <w:t xml:space="preserve">What MCP is</w:t>
      </w:r>
      <w:bookmarkEnd w:id="23"/>
    </w:p>
    <w:p>
      <w:pPr>
        <w:pStyle w:val="FirstParagraph"/>
      </w:pPr>
      <w:r>
        <w:t xml:space="preserve">The Model Context Protocol is an open standard for how a model connects to tools and data. Before it, every integration was bespoke: this client, that service, custom glue. MCP makes it an interface instead of a pile of adapters — write an MCP server once, and any MCP-capable client can use it.</w:t>
      </w:r>
    </w:p>
    <w:p>
      <w:pPr>
        <w:pStyle w:val="BodyText"/>
      </w:pPr>
      <w:r>
        <w:t xml:space="preserve">Three primitives:</w:t>
      </w:r>
    </w:p>
    <w:p>
      <w:pPr>
        <w:numPr>
          <w:ilvl w:val="0"/>
          <w:numId w:val="1001"/>
        </w:numPr>
        <w:pStyle w:val="Compact"/>
      </w:pPr>
      <w:r>
        <w:rPr>
          <w:b/>
        </w:rPr>
        <w:t xml:space="preserve">Tools</w:t>
      </w:r>
      <w:r>
        <w:t xml:space="preserve"> </w:t>
      </w:r>
      <w:r>
        <w:t xml:space="preserve">— actions the model can invoke. Model-controlled: the model decides when to call them.</w:t>
      </w:r>
      <w:r>
        <w:t xml:space="preserve"> </w:t>
      </w:r>
      <w:r>
        <w:rPr>
          <w:rStyle w:val="VerbatimChar"/>
        </w:rPr>
        <w:t xml:space="preserve">queryDatabase</w:t>
      </w:r>
      <w:r>
        <w:t xml:space="preserve">,</w:t>
      </w:r>
      <w:r>
        <w:t xml:space="preserve"> </w:t>
      </w:r>
      <w:r>
        <w:rPr>
          <w:rStyle w:val="VerbatimChar"/>
        </w:rPr>
        <w:t xml:space="preserve">sendEmail</w:t>
      </w:r>
      <w:r>
        <w:t xml:space="preserve">.</w:t>
      </w:r>
    </w:p>
    <w:p>
      <w:pPr>
        <w:numPr>
          <w:ilvl w:val="0"/>
          <w:numId w:val="1001"/>
        </w:numPr>
        <w:pStyle w:val="Compact"/>
      </w:pPr>
      <w:r>
        <w:rPr>
          <w:b/>
        </w:rPr>
        <w:t xml:space="preserve">Resources</w:t>
      </w:r>
      <w:r>
        <w:t xml:space="preserve"> </w:t>
      </w:r>
      <w:r>
        <w:t xml:space="preserve">— data the client can read and put into context. Application-controlled: files, records, documents. Read-only context, not actions.</w:t>
      </w:r>
    </w:p>
    <w:p>
      <w:pPr>
        <w:numPr>
          <w:ilvl w:val="0"/>
          <w:numId w:val="1001"/>
        </w:numPr>
        <w:pStyle w:val="Compact"/>
      </w:pPr>
      <w:r>
        <w:rPr>
          <w:b/>
        </w:rPr>
        <w:t xml:space="preserve">Prompts</w:t>
      </w:r>
      <w:r>
        <w:t xml:space="preserve"> </w:t>
      </w:r>
      <w:r>
        <w:t xml:space="preserve">— reusable templates the</w:t>
      </w:r>
      <w:r>
        <w:t xml:space="preserve"> </w:t>
      </w:r>
      <w:r>
        <w:rPr>
          <w:i/>
        </w:rPr>
        <w:t xml:space="preserve">user</w:t>
      </w:r>
      <w:r>
        <w:t xml:space="preserve"> </w:t>
      </w:r>
      <w:r>
        <w:t xml:space="preserve">selects, typically surfaced as slash commands. User-controlled.</w:t>
      </w:r>
    </w:p>
    <w:p>
      <w:pPr>
        <w:pStyle w:val="FirstParagraph"/>
      </w:pPr>
      <w:r>
        <w:t xml:space="preserve">The split by</w:t>
      </w:r>
      <w:r>
        <w:t xml:space="preserve"> </w:t>
      </w:r>
      <w:r>
        <w:rPr>
          <w:i/>
        </w:rPr>
        <w:t xml:space="preserve">who is in control</w:t>
      </w:r>
      <w:r>
        <w:t xml:space="preserve"> </w:t>
      </w:r>
      <w:r>
        <w:t xml:space="preserve">is the part worth internalising. It is the same instinct as separating a controller from a service from a repository: give each concern one owner, and the blast radius of a mistake stays inside one boundary. A model that could silently invoke anything labelled a</w:t>
      </w:r>
      <w:r>
        <w:t xml:space="preserve"> </w:t>
      </w:r>
      <w:r>
        <w:t xml:space="preserve">“</w:t>
      </w:r>
      <w:r>
        <w:t xml:space="preserve">prompt</w:t>
      </w:r>
      <w:r>
        <w:t xml:space="preserve">”</w:t>
      </w:r>
      <w:r>
        <w:t xml:space="preserve"> </w:t>
      </w:r>
      <w:r>
        <w:t xml:space="preserve">would be a system where nobody owns the decision.</w:t>
      </w:r>
    </w:p>
    <w:p>
      <w:pPr>
        <w:pStyle w:val="Heading2"/>
      </w:pPr>
      <w:bookmarkStart w:id="24" w:name="X2fca4034d634db0949093f35ccb293865650028"/>
      <w:r>
        <w:t xml:space="preserve">Connector in use: three things chat alone could not do</w:t>
      </w:r>
      <w:bookmarkEnd w:id="24"/>
    </w:p>
    <w:p>
      <w:pPr>
        <w:pStyle w:val="FirstParagraph"/>
      </w:pPr>
      <w:r>
        <w:rPr>
          <w:i/>
        </w:rPr>
        <w:t xml:space="preserve">Connector used: ____________ · Client: ____________</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Why plain chat could not do it</w:t>
            </w:r>
          </w:p>
        </w:tc>
        <w:tc>
          <w:tcPr>
            <w:tcBorders>
              <w:bottom w:val="single"/>
            </w:tcBorders>
            <w:vAlign w:val="bottom"/>
          </w:tcPr>
          <w:p>
            <w:pPr>
              <w:pStyle w:val="Compact"/>
              <w:jc w:val="left"/>
            </w:pPr>
            <w:r>
              <w:t xml:space="preserve">Evidence of tool use</w:t>
            </w:r>
          </w:p>
        </w:tc>
      </w:tr>
      <w:tr>
        <w:tc>
          <w:p>
            <w:pPr>
              <w:pStyle w:val="Compact"/>
              <w:jc w:val="left"/>
            </w:pPr>
            <w:r>
              <w:t xml:space="preserve">1</w:t>
            </w:r>
          </w:p>
        </w:tc>
        <w:tc>
          <w:p>
            <w:pPr>
              <w:pStyle w:val="Compact"/>
              <w:jc w:val="left"/>
            </w:pPr>
            <w:r>
              <w:t xml:space="preserve">Read the actual files in my portfolio build folder and report which images are still placeholders</w:t>
            </w:r>
          </w:p>
        </w:tc>
        <w:tc>
          <w:p>
            <w:pPr>
              <w:pStyle w:val="Compact"/>
              <w:jc w:val="left"/>
            </w:pPr>
            <w:r>
              <w:t xml:space="preserve">Requires reading my local filesystem — the model has no access to it from a chat box</w:t>
            </w:r>
          </w:p>
        </w:tc>
        <w:tc>
          <w:p>
            <w:pPr>
              <w:pStyle w:val="Compact"/>
              <w:jc w:val="left"/>
            </w:pPr>
            <w:r>
              <w:t xml:space="preserve">Tool call visible; filenames match what is on disk</w:t>
            </w:r>
          </w:p>
        </w:tc>
      </w:tr>
      <w:tr>
        <w:tc>
          <w:p>
            <w:pPr>
              <w:pStyle w:val="Compact"/>
              <w:jc w:val="left"/>
            </w:pPr>
            <w:r>
              <w:t xml:space="preserve">2</w:t>
            </w:r>
          </w:p>
        </w:tc>
        <w:tc>
          <w:p>
            <w:pPr>
              <w:pStyle w:val="Compact"/>
              <w:jc w:val="left"/>
            </w:pPr>
            <w:r>
              <w:t xml:space="preserve">Pull my live FlyRank portal assignment list and tell me what is outstanding</w:t>
            </w:r>
          </w:p>
        </w:tc>
        <w:tc>
          <w:p>
            <w:pPr>
              <w:pStyle w:val="Compact"/>
              <w:jc w:val="left"/>
            </w:pPr>
            <w:r>
              <w:t xml:space="preserve">Requires an authenticated live fetch; a chat model can only guess from memory</w:t>
            </w:r>
          </w:p>
        </w:tc>
        <w:tc>
          <w:p>
            <w:pPr>
              <w:pStyle w:val="Compact"/>
              <w:jc w:val="left"/>
            </w:pPr>
            <w:r>
              <w:t xml:space="preserve">Output includes items that did not exist at training time</w:t>
            </w:r>
          </w:p>
        </w:tc>
      </w:tr>
      <w:tr>
        <w:tc>
          <w:p>
            <w:pPr>
              <w:pStyle w:val="Compact"/>
              <w:jc w:val="left"/>
            </w:pPr>
            <w:r>
              <w:t xml:space="preserve">3</w:t>
            </w:r>
          </w:p>
        </w:tc>
        <w:tc>
          <w:p>
            <w:pPr>
              <w:pStyle w:val="Compact"/>
              <w:jc w:val="left"/>
            </w:pPr>
            <w:r>
              <w:t xml:space="preserve">Search my repositories for every place</w:t>
            </w:r>
            <w:r>
              <w:t xml:space="preserve"> </w:t>
            </w:r>
            <w:r>
              <w:rPr>
                <w:rStyle w:val="VerbatimChar"/>
              </w:rPr>
              <w:t xml:space="preserve">ITasksRepository</w:t>
            </w:r>
            <w:r>
              <w:t xml:space="preserve"> </w:t>
            </w:r>
            <w:r>
              <w:t xml:space="preserve">is referenced</w:t>
            </w:r>
          </w:p>
        </w:tc>
        <w:tc>
          <w:p>
            <w:pPr>
              <w:pStyle w:val="Compact"/>
              <w:jc w:val="left"/>
            </w:pPr>
            <w:r>
              <w:t xml:space="preserve">Requires searching files that exist only on my machine</w:t>
            </w:r>
          </w:p>
        </w:tc>
        <w:tc>
          <w:p>
            <w:pPr>
              <w:pStyle w:val="Compact"/>
              <w:jc w:val="left"/>
            </w:pPr>
            <w:r>
              <w:t xml:space="preserve">Exact line references I can open and verify</w:t>
            </w:r>
          </w:p>
        </w:tc>
      </w:tr>
    </w:tbl>
    <w:p>
      <w:pPr>
        <w:pStyle w:val="BodyText"/>
      </w:pPr>
      <w:r>
        <w:t xml:space="preserve">The tell in every case: the output contains something the model could not have known — a filename I never typed, a deadline that post-dates its training, a line number. That is the difference between a tool call and a confident guess, and it is worth checking for rather than assuming.</w:t>
      </w:r>
    </w:p>
    <w:p>
      <w:pPr>
        <w:pStyle w:val="Heading2"/>
      </w:pPr>
      <w:bookmarkStart w:id="25" w:name="X5cfc1ae32824d08fae2d9c8062997337cbc89d6"/>
      <w:r>
        <w:t xml:space="preserve">What my FL-04 workflow would need to become an agent</w:t>
      </w:r>
      <w:bookmarkEnd w:id="25"/>
    </w:p>
    <w:p>
      <w:pPr>
        <w:pStyle w:val="FirstParagraph"/>
      </w:pPr>
      <w:r>
        <w:rPr>
          <w:b/>
        </w:rPr>
        <w:t xml:space="preserve">One concrete upgrade: let it choose its own next topic.</w:t>
      </w:r>
    </w:p>
    <w:p>
      <w:pPr>
        <w:pStyle w:val="BodyText"/>
      </w:pPr>
      <w:r>
        <w:t xml:space="preserve">Today I read my gap list and decide what to revise next. An agent version would: read the gap list as a resource, query my course schedule for what is examined soonest, weight the gaps by how badly I scored and how close the exam is, pick the topic, run the pipeline, and add whatever I got wrong back to the gap list — then decide whether the score is good enough to move on or whether the same topic needs another pass.</w:t>
      </w:r>
    </w:p>
    <w:p>
      <w:pPr>
        <w:pStyle w:val="BodyText"/>
      </w:pPr>
      <w:r>
        <w:t xml:space="preserve">That is a real agent: the loop decides</w:t>
      </w:r>
      <w:r>
        <w:t xml:space="preserve"> </w:t>
      </w:r>
      <w:r>
        <w:rPr>
          <w:i/>
        </w:rPr>
        <w:t xml:space="preserve">what to work on</w:t>
      </w:r>
      <w:r>
        <w:t xml:space="preserve"> </w:t>
      </w:r>
      <w:r>
        <w:t xml:space="preserve">and</w:t>
      </w:r>
      <w:r>
        <w:t xml:space="preserve"> </w:t>
      </w:r>
      <w:r>
        <w:rPr>
          <w:i/>
        </w:rPr>
        <w:t xml:space="preserve">when to stop</w:t>
      </w:r>
      <w:r>
        <w:t xml:space="preserve">, not just how to phrase the summary. It needs three tools (read gap list, read schedule, write results back) and one guardrail I would set on day one —</w:t>
      </w:r>
      <w:r>
        <w:t xml:space="preserve"> </w:t>
      </w:r>
      <w:r>
        <w:rPr>
          <w:b/>
        </w:rPr>
        <w:t xml:space="preserve">it may never overwrite the gap list, only append to it</w:t>
      </w:r>
      <w:r>
        <w:t xml:space="preserve">, because a bad scoring pass that silently wipes the record of what I do not know is the one failure I could not detect from the output.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2026-09-25T14:15:06Z</dcterms:created>
  <dcterms:modified xsi:type="dcterms:W3CDTF">2026-09-25T14:15:06Z</dcterms:modified>
</cp:coreProperties>
</file>

<file path=docProps/custom.xml><?xml version="1.0" encoding="utf-8"?>
<Properties xmlns="http://schemas.openxmlformats.org/officeDocument/2006/custom-properties" xmlns:vt="http://schemas.openxmlformats.org/officeDocument/2006/docPropsVTypes"/>
</file>